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8F8BB" w14:textId="77777777" w:rsidR="00E9637B" w:rsidRDefault="00E9637B" w:rsidP="00E9637B">
      <w:pPr>
        <w:spacing w:line="360" w:lineRule="auto"/>
        <w:jc w:val="both"/>
        <w:rPr>
          <w:b/>
        </w:rPr>
      </w:pPr>
    </w:p>
    <w:p w14:paraId="5F6B0FF9" w14:textId="77777777" w:rsidR="00E9637B" w:rsidRDefault="00E9637B" w:rsidP="00E9637B">
      <w:pPr>
        <w:spacing w:line="360" w:lineRule="auto"/>
        <w:jc w:val="both"/>
        <w:rPr>
          <w:shd w:val="clear" w:color="auto" w:fill="FFFFFF" w:themeFill="background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8FCC782" wp14:editId="347E925B">
            <wp:simplePos x="0" y="0"/>
            <wp:positionH relativeFrom="margin">
              <wp:posOffset>0</wp:posOffset>
            </wp:positionH>
            <wp:positionV relativeFrom="margin">
              <wp:align>top</wp:align>
            </wp:positionV>
            <wp:extent cx="5842000" cy="2095500"/>
            <wp:effectExtent l="0" t="0" r="0" b="0"/>
            <wp:wrapTight wrapText="bothSides">
              <wp:wrapPolygon edited="0">
                <wp:start x="0" y="0"/>
                <wp:lineTo x="0" y="21469"/>
                <wp:lineTo x="21553" y="21469"/>
                <wp:lineTo x="21553" y="0"/>
                <wp:lineTo x="0" y="0"/>
              </wp:wrapPolygon>
            </wp:wrapTight>
            <wp:docPr id="169988455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884551" name="Image 169988455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3A65">
        <w:rPr>
          <w:b/>
        </w:rPr>
        <w:t xml:space="preserve">Extended data Fig. 1. </w:t>
      </w:r>
      <w:r w:rsidRPr="00453A65">
        <w:rPr>
          <w:b/>
          <w:bCs/>
          <w:color w:val="131413"/>
        </w:rPr>
        <w:t xml:space="preserve">Early induction of DKK1 aggravates structural damage after stroke. </w:t>
      </w:r>
      <w:proofErr w:type="gramStart"/>
      <w:r w:rsidRPr="00453A65">
        <w:rPr>
          <w:b/>
        </w:rPr>
        <w:t>a,</w:t>
      </w:r>
      <w:proofErr w:type="gramEnd"/>
      <w:r w:rsidRPr="00453A65">
        <w:rPr>
          <w:b/>
        </w:rPr>
        <w:t xml:space="preserve"> </w:t>
      </w:r>
      <w:r w:rsidRPr="00453A65">
        <w:rPr>
          <w:shd w:val="clear" w:color="auto" w:fill="FFFFFF" w:themeFill="background1"/>
        </w:rPr>
        <w:t xml:space="preserve">Representative images of </w:t>
      </w:r>
      <w:proofErr w:type="spellStart"/>
      <w:r w:rsidRPr="00453A65">
        <w:rPr>
          <w:shd w:val="clear" w:color="auto" w:fill="FFFFFF" w:themeFill="background1"/>
        </w:rPr>
        <w:t>cresyl</w:t>
      </w:r>
      <w:proofErr w:type="spellEnd"/>
      <w:r w:rsidRPr="00453A65">
        <w:rPr>
          <w:shd w:val="clear" w:color="auto" w:fill="FFFFFF" w:themeFill="background1"/>
        </w:rPr>
        <w:t xml:space="preserve"> violet histology showing the lesion surrounded by white dashed lines and immunohistology showing IgG extravasation surrounded by white dashed lines in the brain of WT/DOX and DKK1/ON mice 1 week after </w:t>
      </w:r>
      <w:proofErr w:type="spellStart"/>
      <w:r w:rsidRPr="00453A65">
        <w:rPr>
          <w:shd w:val="clear" w:color="auto" w:fill="FFFFFF" w:themeFill="background1"/>
        </w:rPr>
        <w:t>MCAo</w:t>
      </w:r>
      <w:proofErr w:type="spellEnd"/>
      <w:r w:rsidRPr="00453A65">
        <w:rPr>
          <w:shd w:val="clear" w:color="auto" w:fill="FFFFFF" w:themeFill="background1"/>
        </w:rPr>
        <w:t xml:space="preserve"> (ischemic stroke onset). </w:t>
      </w:r>
      <w:r w:rsidRPr="00453A65">
        <w:rPr>
          <w:b/>
          <w:shd w:val="clear" w:color="auto" w:fill="FFFFFF" w:themeFill="background1"/>
        </w:rPr>
        <w:t>b,</w:t>
      </w:r>
      <w:r w:rsidRPr="00453A65">
        <w:rPr>
          <w:shd w:val="clear" w:color="auto" w:fill="FFFFFF" w:themeFill="background1"/>
        </w:rPr>
        <w:t xml:space="preserve"> Analysis of brain oedema size (percent of contral</w:t>
      </w:r>
      <w:r>
        <w:rPr>
          <w:shd w:val="clear" w:color="auto" w:fill="FFFFFF" w:themeFill="background1"/>
        </w:rPr>
        <w:t>ateral</w:t>
      </w:r>
      <w:r w:rsidRPr="00453A65">
        <w:rPr>
          <w:shd w:val="clear" w:color="auto" w:fill="FFFFFF" w:themeFill="background1"/>
        </w:rPr>
        <w:t xml:space="preserve">) WT/DOX and DKK1/ON mice 1 week after stroke. </w:t>
      </w:r>
      <w:r w:rsidRPr="00453A65">
        <w:rPr>
          <w:b/>
          <w:shd w:val="clear" w:color="auto" w:fill="FFFFFF" w:themeFill="background1"/>
        </w:rPr>
        <w:t>c,</w:t>
      </w:r>
      <w:r w:rsidRPr="00453A65">
        <w:rPr>
          <w:shd w:val="clear" w:color="auto" w:fill="FFFFFF" w:themeFill="background1"/>
        </w:rPr>
        <w:t xml:space="preserve"> Analysis of IgG extravasation (precent of contral</w:t>
      </w:r>
      <w:r>
        <w:rPr>
          <w:shd w:val="clear" w:color="auto" w:fill="FFFFFF" w:themeFill="background1"/>
        </w:rPr>
        <w:t>ateral</w:t>
      </w:r>
      <w:r w:rsidRPr="00453A65">
        <w:rPr>
          <w:shd w:val="clear" w:color="auto" w:fill="FFFFFF" w:themeFill="background1"/>
        </w:rPr>
        <w:t>) in WT/DOX and DKK1/ON mice 1 week after stroke. For graphs, data are boxplot with min/max. Data are boxplot with min/max (center line = median, box limits = 25</w:t>
      </w:r>
      <w:r w:rsidRPr="00453A65">
        <w:rPr>
          <w:shd w:val="clear" w:color="auto" w:fill="FFFFFF" w:themeFill="background1"/>
          <w:vertAlign w:val="superscript"/>
        </w:rPr>
        <w:t>th</w:t>
      </w:r>
      <w:r w:rsidRPr="00453A65">
        <w:rPr>
          <w:shd w:val="clear" w:color="auto" w:fill="FFFFFF" w:themeFill="background1"/>
        </w:rPr>
        <w:t xml:space="preserve"> to 75</w:t>
      </w:r>
      <w:r w:rsidRPr="00453A65">
        <w:rPr>
          <w:shd w:val="clear" w:color="auto" w:fill="FFFFFF" w:themeFill="background1"/>
          <w:vertAlign w:val="superscript"/>
        </w:rPr>
        <w:t>th</w:t>
      </w:r>
      <w:r w:rsidRPr="00453A65">
        <w:rPr>
          <w:shd w:val="clear" w:color="auto" w:fill="FFFFFF" w:themeFill="background1"/>
        </w:rPr>
        <w:t xml:space="preserve"> percentiles, whiskers = min/max values, and symbols = individual mice). For the experiments (n=7-10 animals/group). </w:t>
      </w:r>
      <w:r w:rsidRPr="00453A65">
        <w:rPr>
          <w:shd w:val="clear" w:color="auto" w:fill="FFFFFF" w:themeFill="background1"/>
          <w:vertAlign w:val="superscript"/>
        </w:rPr>
        <w:t>**</w:t>
      </w:r>
      <w:r w:rsidRPr="00453A65">
        <w:rPr>
          <w:i/>
          <w:shd w:val="clear" w:color="auto" w:fill="FFFFFF" w:themeFill="background1"/>
        </w:rPr>
        <w:t>P</w:t>
      </w:r>
      <w:r w:rsidRPr="00453A65">
        <w:rPr>
          <w:shd w:val="clear" w:color="auto" w:fill="FFFFFF" w:themeFill="background1"/>
        </w:rPr>
        <w:t>&lt;0.01 DKK1/ON compared to WT/DOX mice (</w:t>
      </w:r>
      <w:r w:rsidRPr="00453A65">
        <w:rPr>
          <w:b/>
          <w:shd w:val="clear" w:color="auto" w:fill="FFFFFF" w:themeFill="background1"/>
        </w:rPr>
        <w:t>c</w:t>
      </w:r>
      <w:r w:rsidRPr="00453A65">
        <w:rPr>
          <w:shd w:val="clear" w:color="auto" w:fill="FFFFFF" w:themeFill="background1"/>
        </w:rPr>
        <w:t>, Mann-Whitney test).</w:t>
      </w:r>
    </w:p>
    <w:p w14:paraId="2950AEFB" w14:textId="77777777" w:rsidR="00E9637B" w:rsidRDefault="00E9637B" w:rsidP="00E9637B">
      <w:pPr>
        <w:spacing w:line="360" w:lineRule="auto"/>
        <w:jc w:val="both"/>
        <w:rPr>
          <w:shd w:val="clear" w:color="auto" w:fill="FFFFFF" w:themeFill="background1"/>
        </w:rPr>
      </w:pPr>
    </w:p>
    <w:p w14:paraId="17559FC3" w14:textId="77777777" w:rsidR="00E9637B" w:rsidRDefault="00E9637B" w:rsidP="00E9637B">
      <w:pPr>
        <w:spacing w:line="360" w:lineRule="auto"/>
        <w:jc w:val="both"/>
        <w:rPr>
          <w:shd w:val="clear" w:color="auto" w:fill="FFFFFF" w:themeFill="background1"/>
        </w:rPr>
      </w:pPr>
    </w:p>
    <w:p w14:paraId="4ADEC7BE" w14:textId="77777777" w:rsidR="00E9637B" w:rsidRDefault="00E9637B" w:rsidP="00E9637B">
      <w:pPr>
        <w:spacing w:line="360" w:lineRule="auto"/>
        <w:jc w:val="both"/>
        <w:rPr>
          <w:shd w:val="clear" w:color="auto" w:fill="FFFFFF" w:themeFill="background1"/>
        </w:rPr>
      </w:pPr>
    </w:p>
    <w:p w14:paraId="5FA19DF0" w14:textId="77777777" w:rsidR="00E9637B" w:rsidRDefault="00E9637B" w:rsidP="00E9637B">
      <w:pPr>
        <w:spacing w:line="360" w:lineRule="auto"/>
        <w:jc w:val="both"/>
        <w:rPr>
          <w:shd w:val="clear" w:color="auto" w:fill="FFFFFF" w:themeFill="background1"/>
        </w:rPr>
      </w:pPr>
    </w:p>
    <w:p w14:paraId="5634D8D4" w14:textId="77777777" w:rsidR="00E9637B" w:rsidRDefault="00E9637B" w:rsidP="00E9637B">
      <w:pPr>
        <w:spacing w:line="360" w:lineRule="auto"/>
        <w:jc w:val="both"/>
        <w:rPr>
          <w:shd w:val="clear" w:color="auto" w:fill="FFFFFF" w:themeFill="background1"/>
        </w:rPr>
      </w:pPr>
    </w:p>
    <w:p w14:paraId="446F1249" w14:textId="77777777" w:rsidR="00E9637B" w:rsidRDefault="00E9637B" w:rsidP="00E9637B">
      <w:pPr>
        <w:spacing w:line="360" w:lineRule="auto"/>
        <w:jc w:val="both"/>
        <w:rPr>
          <w:shd w:val="clear" w:color="auto" w:fill="FFFFFF" w:themeFill="background1"/>
        </w:rPr>
      </w:pPr>
    </w:p>
    <w:p w14:paraId="741D491E" w14:textId="77777777" w:rsidR="00E9637B" w:rsidRDefault="00E9637B" w:rsidP="00E9637B">
      <w:pPr>
        <w:spacing w:line="360" w:lineRule="auto"/>
        <w:jc w:val="both"/>
        <w:rPr>
          <w:shd w:val="clear" w:color="auto" w:fill="FFFFFF" w:themeFill="background1"/>
        </w:rPr>
      </w:pPr>
    </w:p>
    <w:p w14:paraId="228AF27F" w14:textId="77777777" w:rsidR="00E9637B" w:rsidRDefault="00E9637B" w:rsidP="00E9637B">
      <w:pPr>
        <w:spacing w:line="360" w:lineRule="auto"/>
        <w:jc w:val="both"/>
        <w:rPr>
          <w:shd w:val="clear" w:color="auto" w:fill="FFFFFF" w:themeFill="background1"/>
        </w:rPr>
      </w:pPr>
    </w:p>
    <w:p w14:paraId="4785A982" w14:textId="77777777" w:rsidR="00E9637B" w:rsidRDefault="00E9637B" w:rsidP="00E9637B">
      <w:pPr>
        <w:spacing w:line="360" w:lineRule="auto"/>
        <w:jc w:val="both"/>
        <w:rPr>
          <w:shd w:val="clear" w:color="auto" w:fill="FFFFFF" w:themeFill="background1"/>
        </w:rPr>
      </w:pPr>
    </w:p>
    <w:p w14:paraId="6DC4C2FB" w14:textId="77777777" w:rsidR="00E9637B" w:rsidRDefault="00E9637B" w:rsidP="00E9637B">
      <w:pPr>
        <w:spacing w:line="360" w:lineRule="auto"/>
        <w:jc w:val="both"/>
        <w:rPr>
          <w:shd w:val="clear" w:color="auto" w:fill="FFFFFF" w:themeFill="background1"/>
        </w:rPr>
      </w:pPr>
    </w:p>
    <w:p w14:paraId="30790076" w14:textId="77777777" w:rsidR="00E9637B" w:rsidRDefault="00E9637B" w:rsidP="00E9637B">
      <w:pPr>
        <w:spacing w:line="360" w:lineRule="auto"/>
        <w:jc w:val="both"/>
        <w:rPr>
          <w:shd w:val="clear" w:color="auto" w:fill="FFFFFF" w:themeFill="background1"/>
        </w:rPr>
      </w:pPr>
    </w:p>
    <w:p w14:paraId="2D136A49" w14:textId="77777777" w:rsidR="00E9637B" w:rsidRDefault="00E9637B" w:rsidP="00E9637B">
      <w:pPr>
        <w:spacing w:line="360" w:lineRule="auto"/>
        <w:jc w:val="both"/>
        <w:rPr>
          <w:shd w:val="clear" w:color="auto" w:fill="FFFFFF" w:themeFill="background1"/>
        </w:rPr>
      </w:pPr>
    </w:p>
    <w:p w14:paraId="5CE14DEE" w14:textId="77777777" w:rsidR="00E9637B" w:rsidRDefault="00E9637B" w:rsidP="00E963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noProof/>
          <w:shd w:val="clear" w:color="auto" w:fill="FFFFFF" w:themeFill="background1"/>
        </w:rPr>
        <w:lastRenderedPageBreak/>
        <w:drawing>
          <wp:anchor distT="0" distB="0" distL="114300" distR="114300" simplePos="0" relativeHeight="251664384" behindDoc="1" locked="0" layoutInCell="1" allowOverlap="1" wp14:anchorId="76C17583" wp14:editId="76C6153A">
            <wp:simplePos x="0" y="0"/>
            <wp:positionH relativeFrom="margin">
              <wp:align>center</wp:align>
            </wp:positionH>
            <wp:positionV relativeFrom="paragraph">
              <wp:posOffset>-4445</wp:posOffset>
            </wp:positionV>
            <wp:extent cx="5971540" cy="6830060"/>
            <wp:effectExtent l="0" t="0" r="0" b="2540"/>
            <wp:wrapTight wrapText="bothSides">
              <wp:wrapPolygon edited="0">
                <wp:start x="0" y="0"/>
                <wp:lineTo x="0" y="21568"/>
                <wp:lineTo x="21545" y="21568"/>
                <wp:lineTo x="21545" y="0"/>
                <wp:lineTo x="0" y="0"/>
              </wp:wrapPolygon>
            </wp:wrapTight>
            <wp:docPr id="76035031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350316" name="Image 76035031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683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Extended data Fig. 2</w:t>
      </w:r>
      <w:r w:rsidRPr="002B33C4">
        <w:rPr>
          <w:b/>
        </w:rPr>
        <w:t xml:space="preserve">. </w:t>
      </w:r>
      <w:r>
        <w:rPr>
          <w:b/>
          <w:color w:val="131413"/>
        </w:rPr>
        <w:t>DKK1 induction prior to stroke impairs neuronal differentiation and neuronal activity.</w:t>
      </w:r>
      <w:r>
        <w:rPr>
          <w:b/>
        </w:rPr>
        <w:t xml:space="preserve"> a,</w:t>
      </w:r>
      <w:r>
        <w:rPr>
          <w:color w:val="000000"/>
        </w:rPr>
        <w:t xml:space="preserve"> Representative fluorescen</w:t>
      </w:r>
      <w:r>
        <w:t>ce</w:t>
      </w:r>
      <w:r>
        <w:rPr>
          <w:color w:val="000000"/>
        </w:rPr>
        <w:t xml:space="preserve"> images of </w:t>
      </w:r>
      <w:proofErr w:type="spellStart"/>
      <w:r>
        <w:rPr>
          <w:color w:val="000000"/>
        </w:rPr>
        <w:t>Dcx</w:t>
      </w:r>
      <w:proofErr w:type="spellEnd"/>
      <w:r>
        <w:t xml:space="preserve">-immunolabeled </w:t>
      </w:r>
      <w:r>
        <w:rPr>
          <w:color w:val="000000"/>
        </w:rPr>
        <w:t xml:space="preserve">NPCs in the SVZ/LV of the ipsilateral hemisphere </w:t>
      </w:r>
      <w:r>
        <w:t>of</w:t>
      </w:r>
      <w:r>
        <w:rPr>
          <w:color w:val="000000"/>
        </w:rPr>
        <w:t xml:space="preserve"> WT/DOX and DKK1/ON </w:t>
      </w:r>
      <w:r>
        <w:t xml:space="preserve">mice 1 week after </w:t>
      </w:r>
      <w:proofErr w:type="spellStart"/>
      <w:r>
        <w:t>MCAo</w:t>
      </w:r>
      <w:proofErr w:type="spellEnd"/>
      <w:r>
        <w:t xml:space="preserve"> (ischemic stroke onset) (doxycycline, 200 mg/kg for 14 days)</w:t>
      </w:r>
      <w:r>
        <w:rPr>
          <w:color w:val="000000"/>
        </w:rPr>
        <w:t xml:space="preserve">. </w:t>
      </w:r>
      <w:r>
        <w:rPr>
          <w:b/>
        </w:rPr>
        <w:t>b,</w:t>
      </w:r>
      <w:r>
        <w:rPr>
          <w:color w:val="000000"/>
        </w:rPr>
        <w:t xml:space="preserve"> Stereological analysis of the density of </w:t>
      </w:r>
      <w:proofErr w:type="spellStart"/>
      <w:r>
        <w:rPr>
          <w:color w:val="000000"/>
        </w:rPr>
        <w:t>Dcx</w:t>
      </w:r>
      <w:proofErr w:type="spellEnd"/>
      <w:r>
        <w:rPr>
          <w:color w:val="000000"/>
          <w:vertAlign w:val="superscript"/>
        </w:rPr>
        <w:t>+</w:t>
      </w:r>
      <w:r>
        <w:rPr>
          <w:color w:val="000000"/>
        </w:rPr>
        <w:t xml:space="preserve"> cell</w:t>
      </w:r>
      <w:r>
        <w:t xml:space="preserve">s </w:t>
      </w:r>
      <w:r>
        <w:rPr>
          <w:color w:val="000000"/>
        </w:rPr>
        <w:t xml:space="preserve">in the SVZ/LV ipsilateral hemisphere. </w:t>
      </w:r>
      <w:r>
        <w:rPr>
          <w:b/>
        </w:rPr>
        <w:t>c,</w:t>
      </w:r>
      <w:r>
        <w:rPr>
          <w:color w:val="000000"/>
        </w:rPr>
        <w:t xml:space="preserve"> </w:t>
      </w:r>
      <w:r>
        <w:t>R</w:t>
      </w:r>
      <w:r>
        <w:rPr>
          <w:color w:val="000000"/>
        </w:rPr>
        <w:t>epresentative fluorescen</w:t>
      </w:r>
      <w:r>
        <w:t>ce</w:t>
      </w:r>
      <w:r>
        <w:rPr>
          <w:color w:val="000000"/>
        </w:rPr>
        <w:t xml:space="preserve"> images </w:t>
      </w:r>
      <w:r>
        <w:rPr>
          <w:color w:val="000000"/>
        </w:rPr>
        <w:lastRenderedPageBreak/>
        <w:t xml:space="preserve">of </w:t>
      </w:r>
      <w:r>
        <w:t xml:space="preserve">Tuj1-immunolabeled </w:t>
      </w:r>
      <w:r>
        <w:rPr>
          <w:color w:val="000000"/>
        </w:rPr>
        <w:t xml:space="preserve">immature neurons in the </w:t>
      </w:r>
      <w:r>
        <w:t>perilesional and intralesional regions</w:t>
      </w:r>
      <w:r>
        <w:rPr>
          <w:color w:val="000000"/>
        </w:rPr>
        <w:t xml:space="preserve"> in WT/DOX and DKK1/ON mice </w:t>
      </w:r>
      <w:r>
        <w:t>1 week after stroke</w:t>
      </w:r>
      <w:r>
        <w:rPr>
          <w:color w:val="000000"/>
        </w:rPr>
        <w:t xml:space="preserve">. </w:t>
      </w:r>
      <w:r>
        <w:rPr>
          <w:b/>
        </w:rPr>
        <w:t>d,</w:t>
      </w:r>
      <w:r>
        <w:rPr>
          <w:color w:val="000000"/>
        </w:rPr>
        <w:t xml:space="preserve"> Stereological analysis of the </w:t>
      </w:r>
      <w:r>
        <w:t>density</w:t>
      </w:r>
      <w:r>
        <w:rPr>
          <w:color w:val="000000"/>
        </w:rPr>
        <w:t xml:space="preserve"> of T</w:t>
      </w:r>
      <w:r>
        <w:t>uj</w:t>
      </w:r>
      <w:r>
        <w:rPr>
          <w:color w:val="000000"/>
        </w:rPr>
        <w:t>1</w:t>
      </w:r>
      <w:r>
        <w:rPr>
          <w:color w:val="000000"/>
          <w:vertAlign w:val="superscript"/>
        </w:rPr>
        <w:t>+</w:t>
      </w:r>
      <w:r>
        <w:rPr>
          <w:color w:val="000000"/>
        </w:rPr>
        <w:t xml:space="preserve"> cells in the </w:t>
      </w:r>
      <w:r>
        <w:t>perilesional region 1 week after stroke</w:t>
      </w:r>
      <w:r>
        <w:rPr>
          <w:color w:val="000000"/>
        </w:rPr>
        <w:t xml:space="preserve">. </w:t>
      </w:r>
      <w:r>
        <w:rPr>
          <w:b/>
        </w:rPr>
        <w:t>e,</w:t>
      </w:r>
      <w:r>
        <w:rPr>
          <w:color w:val="000000"/>
        </w:rPr>
        <w:t xml:space="preserve"> Stereological analysis of the density of T</w:t>
      </w:r>
      <w:r>
        <w:t>uj</w:t>
      </w:r>
      <w:r>
        <w:rPr>
          <w:color w:val="000000"/>
        </w:rPr>
        <w:t>1</w:t>
      </w:r>
      <w:r>
        <w:rPr>
          <w:color w:val="000000"/>
          <w:vertAlign w:val="superscript"/>
        </w:rPr>
        <w:t>+</w:t>
      </w:r>
      <w:r>
        <w:rPr>
          <w:color w:val="000000"/>
        </w:rPr>
        <w:t xml:space="preserve"> cells in the </w:t>
      </w:r>
      <w:r>
        <w:t>intralesional region 1 week after stroke</w:t>
      </w:r>
      <w:r>
        <w:rPr>
          <w:color w:val="000000"/>
        </w:rPr>
        <w:t xml:space="preserve">. </w:t>
      </w:r>
      <w:r>
        <w:rPr>
          <w:b/>
          <w:color w:val="000000"/>
        </w:rPr>
        <w:t>f,</w:t>
      </w:r>
      <w:r>
        <w:rPr>
          <w:color w:val="000000"/>
        </w:rPr>
        <w:t xml:space="preserve"> </w:t>
      </w:r>
      <w:r>
        <w:t xml:space="preserve">A schematic illustration of the experimental design of DKK1 induction using doxycycline (200 mg/kg for 14 days) prior to subjecting mice to ischemic stroke using </w:t>
      </w:r>
      <w:proofErr w:type="spellStart"/>
      <w:r>
        <w:t>MCAo</w:t>
      </w:r>
      <w:proofErr w:type="spellEnd"/>
      <w:r>
        <w:t xml:space="preserve"> (DKK1/OFF: DKK1 inducible mice without doxycycline; WT/DOX: WT mice with doxycycline; DKK1/ON: DKK1 inducible mice with doxycycline), as well as the experimental design related to neuronal electrophysiological activity. </w:t>
      </w:r>
      <w:r>
        <w:rPr>
          <w:b/>
        </w:rPr>
        <w:t>g,</w:t>
      </w:r>
      <w:r>
        <w:t xml:space="preserve"> Examples of firing patterns of intact and injured neurons in the brain of WT/DOX and DKK1/ON mice in response to steady-state depolarization at 70 </w:t>
      </w:r>
      <w:proofErr w:type="spellStart"/>
      <w:r>
        <w:t>pA</w:t>
      </w:r>
      <w:proofErr w:type="spellEnd"/>
      <w:r>
        <w:t xml:space="preserve"> 1 week after stroke. </w:t>
      </w:r>
      <w:r>
        <w:rPr>
          <w:b/>
        </w:rPr>
        <w:t>h,</w:t>
      </w:r>
      <w:r>
        <w:t xml:space="preserve"> Analysis of the input resistance of neurons 1 week after stroke. </w:t>
      </w:r>
      <w:proofErr w:type="spellStart"/>
      <w:r>
        <w:rPr>
          <w:b/>
        </w:rPr>
        <w:t>i</w:t>
      </w:r>
      <w:proofErr w:type="spellEnd"/>
      <w:r>
        <w:rPr>
          <w:b/>
        </w:rPr>
        <w:t>,</w:t>
      </w:r>
      <w:r>
        <w:t xml:space="preserve"> Analysis of the rheobase of neurons 1 week after stroke. </w:t>
      </w:r>
      <w:r>
        <w:rPr>
          <w:b/>
        </w:rPr>
        <w:t>j,</w:t>
      </w:r>
      <w:r>
        <w:t xml:space="preserve"> Analysis of the initial firing frequency of neurons 1 week after stroke. </w:t>
      </w:r>
      <w:r>
        <w:rPr>
          <w:b/>
        </w:rPr>
        <w:t>k,</w:t>
      </w:r>
      <w:r>
        <w:t xml:space="preserve"> Analysis of the initial frequency in contralateral and ipsilateral neurons in WT/DOX and DKK1/ON mice 1 week after </w:t>
      </w:r>
      <w:proofErr w:type="spellStart"/>
      <w:r>
        <w:t>MCAo</w:t>
      </w:r>
      <w:proofErr w:type="spellEnd"/>
      <w:r>
        <w:t xml:space="preserve"> (ischemic stroke onset). </w:t>
      </w:r>
      <w:r>
        <w:rPr>
          <w:b/>
        </w:rPr>
        <w:t>l,</w:t>
      </w:r>
      <w:r>
        <w:t xml:space="preserve"> Analysis of the mean frequency in contralateral and ipsilateral neurons in WT/DOX and DKK1/ON mice 1 week after stroke. </w:t>
      </w:r>
      <w:r>
        <w:rPr>
          <w:b/>
        </w:rPr>
        <w:t xml:space="preserve">m, </w:t>
      </w:r>
      <w:r>
        <w:t xml:space="preserve">Analysis of the mean frequency in contralateral and ipsilateral neurons in function of injected current in WT/DOX and DKK1/ON mice 1 week after stroke. </w:t>
      </w:r>
      <w:r>
        <w:rPr>
          <w:b/>
        </w:rPr>
        <w:t>n,</w:t>
      </w:r>
      <w:r>
        <w:t xml:space="preserve"> Examples of firing pattern of intact and injured neurons in the brain of WT/DOX and DKK1/ON mice in response to an ascending and descending current-ramp with a peak at 0.15 </w:t>
      </w:r>
      <w:proofErr w:type="spellStart"/>
      <w:r>
        <w:t>pA.</w:t>
      </w:r>
      <w:proofErr w:type="spellEnd"/>
      <w:r>
        <w:t xml:space="preserve"> Arrow points after depolarization potential (ADP) at the offset of the firing period 1 week after stroke. </w:t>
      </w:r>
      <w:r>
        <w:rPr>
          <w:b/>
        </w:rPr>
        <w:t>o,</w:t>
      </w:r>
      <w:r>
        <w:t xml:space="preserve"> Analysis of the onset of the occurrence of the first action potential during the ascending phase of the current ramp 1 week after stroke. </w:t>
      </w:r>
      <w:r>
        <w:rPr>
          <w:b/>
        </w:rPr>
        <w:t>p,</w:t>
      </w:r>
      <w:r>
        <w:t xml:space="preserve"> Analysis of the offset of the occurrence of the last action potential of neurons during the descending phase of the current ramp 1 week after stroke. </w:t>
      </w:r>
      <w:r>
        <w:rPr>
          <w:b/>
        </w:rPr>
        <w:t>q,</w:t>
      </w:r>
      <w:r>
        <w:t xml:space="preserve"> Analysis of the duration of the firing period of neurons during the current ramp 1 week after stroke. Data are boxplot with min/max (center line = median, box limits = 25th to 75th percentiles, whiskers = min/max values, and symbols = individual mice). For immunofluorescence experiments (n=7-10 animals/group). For electrophysiological experiments (n=3 animals/group; number of cell: 6 WT/DOX(C), 11-12 DKK1/ON(C), 10 WT/DOX(I), 12-14 DKK1/ON(I)). </w:t>
      </w:r>
      <w:r>
        <w:rPr>
          <w:vertAlign w:val="superscript"/>
        </w:rPr>
        <w:t>*</w:t>
      </w:r>
      <w:r>
        <w:rPr>
          <w:i/>
        </w:rPr>
        <w:t>P</w:t>
      </w:r>
      <w:r>
        <w:t>&lt;0.05/</w:t>
      </w:r>
      <w:r>
        <w:rPr>
          <w:vertAlign w:val="superscript"/>
        </w:rPr>
        <w:t>**</w:t>
      </w:r>
      <w:r>
        <w:rPr>
          <w:i/>
        </w:rPr>
        <w:t>P</w:t>
      </w:r>
      <w:r>
        <w:t>&lt;0.01/</w:t>
      </w:r>
      <w:r>
        <w:rPr>
          <w:vertAlign w:val="superscript"/>
        </w:rPr>
        <w:t>***</w:t>
      </w:r>
      <w:r>
        <w:rPr>
          <w:i/>
        </w:rPr>
        <w:t>P</w:t>
      </w:r>
      <w:r>
        <w:t>&lt;0.001 (</w:t>
      </w:r>
      <w:r>
        <w:rPr>
          <w:b/>
        </w:rPr>
        <w:t>d,</w:t>
      </w:r>
      <w:r>
        <w:t xml:space="preserve"> unpaired </w:t>
      </w:r>
      <w:r w:rsidRPr="00EC0F8F">
        <w:rPr>
          <w:i/>
          <w:iCs/>
        </w:rPr>
        <w:t>t</w:t>
      </w:r>
      <w:r>
        <w:t xml:space="preserve">-test, </w:t>
      </w:r>
      <w:r>
        <w:rPr>
          <w:b/>
        </w:rPr>
        <w:t>e,</w:t>
      </w:r>
      <w:r>
        <w:t xml:space="preserve"> Mann-Whitney test, </w:t>
      </w:r>
      <w:r>
        <w:rPr>
          <w:b/>
        </w:rPr>
        <w:t xml:space="preserve">h, </w:t>
      </w:r>
      <w:proofErr w:type="spellStart"/>
      <w:r>
        <w:rPr>
          <w:b/>
        </w:rPr>
        <w:t>i</w:t>
      </w:r>
      <w:proofErr w:type="spellEnd"/>
      <w:r>
        <w:rPr>
          <w:b/>
        </w:rPr>
        <w:t>, j, o, p, q</w:t>
      </w:r>
      <w:r>
        <w:t xml:space="preserve">, Shapiro-Wilk test followed by Friedman test on the 4 groups and followed by Mann-Whitney tests with Dunn’s correction for multiple comparisons). </w:t>
      </w:r>
    </w:p>
    <w:p w14:paraId="4A779461" w14:textId="77777777" w:rsidR="00E9637B" w:rsidRDefault="00E9637B" w:rsidP="00E9637B">
      <w:pPr>
        <w:spacing w:line="360" w:lineRule="auto"/>
        <w:jc w:val="both"/>
      </w:pPr>
    </w:p>
    <w:p w14:paraId="68841CCF" w14:textId="77777777" w:rsidR="00E9637B" w:rsidRDefault="00E9637B" w:rsidP="00E9637B">
      <w:pPr>
        <w:spacing w:line="360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8294EFA" wp14:editId="53C79EDE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5892800" cy="1981200"/>
            <wp:effectExtent l="0" t="0" r="0" b="0"/>
            <wp:wrapTight wrapText="bothSides">
              <wp:wrapPolygon edited="0">
                <wp:start x="0" y="0"/>
                <wp:lineTo x="0" y="21462"/>
                <wp:lineTo x="21553" y="21462"/>
                <wp:lineTo x="21553" y="0"/>
                <wp:lineTo x="0" y="0"/>
              </wp:wrapPolygon>
            </wp:wrapTight>
            <wp:docPr id="86202336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023365" name="Image 8620233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Extended data Fig. 3. Delayed </w:t>
      </w:r>
      <w:r w:rsidRPr="00426B31">
        <w:rPr>
          <w:b/>
          <w:bCs/>
          <w:color w:val="131413"/>
        </w:rPr>
        <w:t>DKK1 post-stroke induction does not affect locomotion</w:t>
      </w:r>
      <w:r>
        <w:rPr>
          <w:b/>
          <w:bCs/>
          <w:color w:val="131413"/>
        </w:rPr>
        <w:t xml:space="preserve"> in the open field test.</w:t>
      </w:r>
      <w:r>
        <w:rPr>
          <w:b/>
        </w:rPr>
        <w:t xml:space="preserve"> </w:t>
      </w:r>
      <w:r w:rsidRPr="00453A65">
        <w:rPr>
          <w:b/>
        </w:rPr>
        <w:t>a,</w:t>
      </w:r>
      <w:r w:rsidRPr="00453A65">
        <w:t xml:space="preserve"> Analysis of distance travelled in the open field box in WT/DOX and DKK1/ON mice 1 week and 1 month after </w:t>
      </w:r>
      <w:proofErr w:type="spellStart"/>
      <w:r w:rsidRPr="00453A65">
        <w:t>MCAo</w:t>
      </w:r>
      <w:proofErr w:type="spellEnd"/>
      <w:r w:rsidRPr="00453A65">
        <w:t xml:space="preserve"> (ischemic stroke onset). </w:t>
      </w:r>
      <w:r w:rsidRPr="00453A65">
        <w:rPr>
          <w:b/>
        </w:rPr>
        <w:t>b,</w:t>
      </w:r>
      <w:r w:rsidRPr="00453A65">
        <w:t xml:space="preserve"> Ratio of the distance travelled in the open field in WT/DOX and DKK1/ON mice at 1 month over 1 week after stroke. </w:t>
      </w:r>
      <w:r w:rsidRPr="00453A65">
        <w:rPr>
          <w:b/>
        </w:rPr>
        <w:t>c,</w:t>
      </w:r>
      <w:r w:rsidRPr="00453A65">
        <w:t xml:space="preserve"> Analysis of the freezing time in the open field box in WT/DOX and DKK1/ON mice 1 month after stroke. </w:t>
      </w:r>
      <w:r w:rsidRPr="00453A65">
        <w:rPr>
          <w:b/>
        </w:rPr>
        <w:t>d,</w:t>
      </w:r>
      <w:r w:rsidRPr="00453A65">
        <w:t xml:space="preserve"> Ratio of freezing time in the open field box in WT/DOX and DKK1/ON mice at 1 month over 1 week after stroke. For graphs, data are boxplot with min/max. Data are boxplot with min/max (center line = median, box limits = 25</w:t>
      </w:r>
      <w:r w:rsidRPr="00453A65">
        <w:rPr>
          <w:vertAlign w:val="superscript"/>
        </w:rPr>
        <w:t>th</w:t>
      </w:r>
      <w:r w:rsidRPr="00453A65">
        <w:t xml:space="preserve"> to 75</w:t>
      </w:r>
      <w:r w:rsidRPr="00453A65">
        <w:rPr>
          <w:vertAlign w:val="superscript"/>
        </w:rPr>
        <w:t>th</w:t>
      </w:r>
      <w:r w:rsidRPr="00453A65">
        <w:t xml:space="preserve"> percentiles, whiskers = min/max values, and symbols = individual mice). For all experiments (n=5 animals/group).</w:t>
      </w:r>
    </w:p>
    <w:p w14:paraId="2F522DA8" w14:textId="77777777" w:rsidR="00E9637B" w:rsidRDefault="00E9637B" w:rsidP="00E9637B">
      <w:pPr>
        <w:spacing w:line="360" w:lineRule="auto"/>
        <w:jc w:val="both"/>
        <w:rPr>
          <w:b/>
        </w:rPr>
      </w:pPr>
    </w:p>
    <w:p w14:paraId="7EAE548D" w14:textId="77777777" w:rsidR="00E9637B" w:rsidRDefault="00E9637B" w:rsidP="00E9637B">
      <w:pPr>
        <w:spacing w:line="360" w:lineRule="auto"/>
        <w:jc w:val="both"/>
        <w:rPr>
          <w:b/>
        </w:rPr>
      </w:pPr>
    </w:p>
    <w:p w14:paraId="00EEB337" w14:textId="77777777" w:rsidR="00E9637B" w:rsidRDefault="00E9637B" w:rsidP="00E9637B">
      <w:pPr>
        <w:spacing w:line="360" w:lineRule="auto"/>
        <w:jc w:val="both"/>
        <w:rPr>
          <w:b/>
        </w:rPr>
      </w:pPr>
    </w:p>
    <w:p w14:paraId="605E008C" w14:textId="77777777" w:rsidR="00E9637B" w:rsidRDefault="00E9637B" w:rsidP="00E9637B">
      <w:pPr>
        <w:spacing w:line="360" w:lineRule="auto"/>
        <w:jc w:val="both"/>
        <w:rPr>
          <w:b/>
        </w:rPr>
      </w:pPr>
    </w:p>
    <w:p w14:paraId="1147E437" w14:textId="77777777" w:rsidR="00E9637B" w:rsidRDefault="00E9637B" w:rsidP="00E9637B">
      <w:pPr>
        <w:spacing w:line="360" w:lineRule="auto"/>
        <w:jc w:val="both"/>
        <w:rPr>
          <w:b/>
        </w:rPr>
      </w:pPr>
    </w:p>
    <w:p w14:paraId="0E0AB965" w14:textId="77777777" w:rsidR="00E9637B" w:rsidRDefault="00E9637B" w:rsidP="00E9637B">
      <w:pPr>
        <w:spacing w:line="360" w:lineRule="auto"/>
        <w:jc w:val="both"/>
        <w:rPr>
          <w:b/>
        </w:rPr>
      </w:pPr>
    </w:p>
    <w:p w14:paraId="4C771FFF" w14:textId="77777777" w:rsidR="00E9637B" w:rsidRDefault="00E9637B" w:rsidP="00E9637B">
      <w:pPr>
        <w:spacing w:line="360" w:lineRule="auto"/>
        <w:jc w:val="both"/>
        <w:rPr>
          <w:shd w:val="clear" w:color="auto" w:fill="FFFFFF" w:themeFill="background1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2C268085" wp14:editId="5C1D27E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871766" cy="4608000"/>
            <wp:effectExtent l="0" t="0" r="0" b="2540"/>
            <wp:wrapTight wrapText="bothSides">
              <wp:wrapPolygon edited="0">
                <wp:start x="0" y="0"/>
                <wp:lineTo x="0" y="21552"/>
                <wp:lineTo x="21539" y="21552"/>
                <wp:lineTo x="21539" y="0"/>
                <wp:lineTo x="0" y="0"/>
              </wp:wrapPolygon>
            </wp:wrapTight>
            <wp:docPr id="39361910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619107" name="Image 39361910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1766" cy="46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Extended data Fig. 4. Ischemic stroke modulates the transcriptomic profiles of the </w:t>
      </w:r>
      <w:r w:rsidRPr="00753373">
        <w:rPr>
          <w:b/>
          <w:bCs/>
          <w:color w:val="131413"/>
        </w:rPr>
        <w:t>brain tissue</w:t>
      </w:r>
      <w:r>
        <w:rPr>
          <w:b/>
        </w:rPr>
        <w:t xml:space="preserve">. </w:t>
      </w:r>
      <w:proofErr w:type="gramStart"/>
      <w:r>
        <w:rPr>
          <w:b/>
        </w:rPr>
        <w:t>a,</w:t>
      </w:r>
      <w:proofErr w:type="gramEnd"/>
      <w:r w:rsidRPr="00F67768">
        <w:rPr>
          <w:b/>
        </w:rPr>
        <w:t xml:space="preserve"> </w:t>
      </w:r>
      <w:r>
        <w:t>Representative fluorescence images of the GFAP</w:t>
      </w:r>
      <w:r>
        <w:rPr>
          <w:vertAlign w:val="superscript"/>
        </w:rPr>
        <w:t>+</w:t>
      </w:r>
      <w:r>
        <w:t xml:space="preserve"> </w:t>
      </w:r>
      <w:proofErr w:type="spellStart"/>
      <w:r>
        <w:t>astroglial</w:t>
      </w:r>
      <w:proofErr w:type="spellEnd"/>
      <w:r>
        <w:t xml:space="preserve"> scar in the ipsilateral hemisphere in WT/DOX and DKK1/ON mice 1 month after </w:t>
      </w:r>
      <w:proofErr w:type="spellStart"/>
      <w:r>
        <w:t>MCAo</w:t>
      </w:r>
      <w:proofErr w:type="spellEnd"/>
      <w:r>
        <w:t xml:space="preserve"> (ischemic stroke onset). </w:t>
      </w:r>
      <w:r>
        <w:rPr>
          <w:b/>
        </w:rPr>
        <w:t>b,</w:t>
      </w:r>
      <w:r>
        <w:t xml:space="preserve"> Analysis of GFAP fluorescence intensity at the lesion site 1 month after stroke. </w:t>
      </w:r>
      <w:r>
        <w:rPr>
          <w:b/>
        </w:rPr>
        <w:t xml:space="preserve">c, </w:t>
      </w:r>
      <w:r>
        <w:t>Representative fluorescence images of IBA1</w:t>
      </w:r>
      <w:r>
        <w:rPr>
          <w:vertAlign w:val="superscript"/>
        </w:rPr>
        <w:t xml:space="preserve">+ </w:t>
      </w:r>
      <w:r>
        <w:t xml:space="preserve">cells in the intralesional region in WT/DOX and DKK1/ON mice 1 month after stroke.  </w:t>
      </w:r>
      <w:r w:rsidRPr="00F67768">
        <w:rPr>
          <w:b/>
          <w:bCs/>
        </w:rPr>
        <w:t>d,</w:t>
      </w:r>
      <w:r>
        <w:t xml:space="preserve"> Representative </w:t>
      </w:r>
      <w:proofErr w:type="spellStart"/>
      <w:r>
        <w:rPr>
          <w:highlight w:val="white"/>
        </w:rPr>
        <w:t>RNAscope</w:t>
      </w:r>
      <w:r>
        <w:rPr>
          <w:highlight w:val="white"/>
          <w:vertAlign w:val="superscript"/>
        </w:rPr>
        <w:t>TM</w:t>
      </w:r>
      <w:proofErr w:type="spellEnd"/>
      <w:r>
        <w:rPr>
          <w:highlight w:val="white"/>
        </w:rPr>
        <w:t xml:space="preserve"> multiplex FISH</w:t>
      </w:r>
      <w:r>
        <w:rPr>
          <w:color w:val="000000"/>
        </w:rPr>
        <w:t xml:space="preserve"> images</w:t>
      </w:r>
      <w:r>
        <w:t xml:space="preserve"> showing the expression profile of</w:t>
      </w:r>
      <w:r>
        <w:rPr>
          <w:color w:val="000000"/>
        </w:rPr>
        <w:t xml:space="preserve"> </w:t>
      </w:r>
      <w:r>
        <w:rPr>
          <w:i/>
        </w:rPr>
        <w:t>Trem2</w:t>
      </w:r>
      <w:r>
        <w:t xml:space="preserve"> and </w:t>
      </w:r>
      <w:r>
        <w:rPr>
          <w:i/>
        </w:rPr>
        <w:t>Igf1</w:t>
      </w:r>
      <w:r>
        <w:t xml:space="preserve"> mRNA in the intralesional site of WT/DOX and DKK1/ON mice 1 week after stroke. </w:t>
      </w:r>
      <w:r>
        <w:rPr>
          <w:b/>
        </w:rPr>
        <w:t>e,</w:t>
      </w:r>
      <w:r>
        <w:t xml:space="preserve"> Analysis of </w:t>
      </w:r>
      <w:r>
        <w:rPr>
          <w:i/>
        </w:rPr>
        <w:t>Trem2</w:t>
      </w:r>
      <w:r>
        <w:t xml:space="preserve"> mRNA and </w:t>
      </w:r>
      <w:r>
        <w:rPr>
          <w:b/>
        </w:rPr>
        <w:t>f,</w:t>
      </w:r>
      <w:r>
        <w:t xml:space="preserve"> </w:t>
      </w:r>
      <w:r>
        <w:rPr>
          <w:i/>
        </w:rPr>
        <w:t>Igf1</w:t>
      </w:r>
      <w:r>
        <w:t xml:space="preserve"> mRNA expression in the intralesional site of WT/DOX and DKK1/ON mice 1 week after stroke. </w:t>
      </w:r>
      <w:r w:rsidRPr="00753373">
        <w:rPr>
          <w:b/>
        </w:rPr>
        <w:t>g,</w:t>
      </w:r>
      <w:r w:rsidRPr="00753373">
        <w:t xml:space="preserve"> </w:t>
      </w:r>
      <w:r w:rsidRPr="000F345E">
        <w:rPr>
          <w:bCs/>
        </w:rPr>
        <w:t xml:space="preserve">Volcano plots of RNA-seq data </w:t>
      </w:r>
      <w:r>
        <w:rPr>
          <w:bCs/>
        </w:rPr>
        <w:t xml:space="preserve">comparing the </w:t>
      </w:r>
      <w:r w:rsidRPr="00453A65">
        <w:rPr>
          <w:bCs/>
        </w:rPr>
        <w:t xml:space="preserve">ipsilateral </w:t>
      </w:r>
      <w:r>
        <w:rPr>
          <w:bCs/>
        </w:rPr>
        <w:t>lesioned and contralateral intact brain tissue</w:t>
      </w:r>
      <w:r w:rsidRPr="000F345E">
        <w:rPr>
          <w:bCs/>
        </w:rPr>
        <w:t xml:space="preserve"> </w:t>
      </w:r>
      <w:r>
        <w:rPr>
          <w:bCs/>
        </w:rPr>
        <w:t>of WT/DOX mice</w:t>
      </w:r>
      <w:r w:rsidRPr="00F12A3A">
        <w:rPr>
          <w:bCs/>
        </w:rPr>
        <w:t xml:space="preserve">. </w:t>
      </w:r>
      <w:r>
        <w:rPr>
          <w:bCs/>
        </w:rPr>
        <w:t>DEGs</w:t>
      </w:r>
      <w:r w:rsidRPr="000F345E">
        <w:rPr>
          <w:bCs/>
        </w:rPr>
        <w:t xml:space="preserve"> identified by DESeq2 (FDR-adjusted p-value ≤ 0.01) are color-coded.</w:t>
      </w:r>
      <w:r>
        <w:rPr>
          <w:bCs/>
        </w:rPr>
        <w:t xml:space="preserve"> </w:t>
      </w:r>
      <w:r w:rsidRPr="007E348E">
        <w:rPr>
          <w:b/>
        </w:rPr>
        <w:t>h,</w:t>
      </w:r>
      <w:r>
        <w:rPr>
          <w:bCs/>
        </w:rPr>
        <w:t xml:space="preserve"> Summary tables of GO terms enrichment associated with genes differentially expressed depicted in </w:t>
      </w:r>
      <w:r>
        <w:rPr>
          <w:b/>
        </w:rPr>
        <w:t>g</w:t>
      </w:r>
      <w:r>
        <w:rPr>
          <w:bCs/>
        </w:rPr>
        <w:t xml:space="preserve">. </w:t>
      </w:r>
      <w:proofErr w:type="spellStart"/>
      <w:r>
        <w:rPr>
          <w:b/>
        </w:rPr>
        <w:t>i</w:t>
      </w:r>
      <w:proofErr w:type="spellEnd"/>
      <w:r w:rsidRPr="007E348E">
        <w:rPr>
          <w:b/>
        </w:rPr>
        <w:t>,</w:t>
      </w:r>
      <w:r>
        <w:rPr>
          <w:bCs/>
        </w:rPr>
        <w:t xml:space="preserve"> </w:t>
      </w:r>
      <w:r w:rsidRPr="000F345E">
        <w:rPr>
          <w:bCs/>
        </w:rPr>
        <w:t xml:space="preserve">Volcano plots of RNA-seq data comparing </w:t>
      </w:r>
      <w:r>
        <w:rPr>
          <w:bCs/>
        </w:rPr>
        <w:t xml:space="preserve">the </w:t>
      </w:r>
      <w:r w:rsidRPr="00453A65">
        <w:rPr>
          <w:bCs/>
        </w:rPr>
        <w:t xml:space="preserve">ipsilateral </w:t>
      </w:r>
      <w:r>
        <w:rPr>
          <w:bCs/>
        </w:rPr>
        <w:t>lesioned and contralateral intact brain tissue</w:t>
      </w:r>
      <w:r w:rsidRPr="000F345E">
        <w:rPr>
          <w:bCs/>
        </w:rPr>
        <w:t xml:space="preserve"> </w:t>
      </w:r>
      <w:r>
        <w:rPr>
          <w:bCs/>
        </w:rPr>
        <w:t xml:space="preserve">of </w:t>
      </w:r>
      <w:r>
        <w:rPr>
          <w:bCs/>
        </w:rPr>
        <w:lastRenderedPageBreak/>
        <w:t>DKK1/ON mice</w:t>
      </w:r>
      <w:r w:rsidRPr="00F12A3A">
        <w:rPr>
          <w:bCs/>
        </w:rPr>
        <w:t xml:space="preserve">. </w:t>
      </w:r>
      <w:r w:rsidRPr="000F345E">
        <w:rPr>
          <w:bCs/>
        </w:rPr>
        <w:t xml:space="preserve">Differentially expressed genes </w:t>
      </w:r>
      <w:r>
        <w:rPr>
          <w:bCs/>
        </w:rPr>
        <w:t xml:space="preserve">(DEGs) </w:t>
      </w:r>
      <w:r w:rsidRPr="000F345E">
        <w:rPr>
          <w:bCs/>
        </w:rPr>
        <w:t>identified by DESeq2 (FDR-adjusted p-value ≤ 0.01) are color-coded.</w:t>
      </w:r>
      <w:r>
        <w:rPr>
          <w:bCs/>
        </w:rPr>
        <w:t xml:space="preserve"> </w:t>
      </w:r>
      <w:r>
        <w:rPr>
          <w:b/>
        </w:rPr>
        <w:t>j</w:t>
      </w:r>
      <w:r w:rsidRPr="007E348E">
        <w:rPr>
          <w:b/>
        </w:rPr>
        <w:t xml:space="preserve">, </w:t>
      </w:r>
      <w:r>
        <w:rPr>
          <w:bCs/>
        </w:rPr>
        <w:t xml:space="preserve">Summary tables of GO terms enrichment associated with genes differentially expressed depicted in </w:t>
      </w:r>
      <w:proofErr w:type="spellStart"/>
      <w:r>
        <w:rPr>
          <w:b/>
        </w:rPr>
        <w:t>i</w:t>
      </w:r>
      <w:proofErr w:type="spellEnd"/>
      <w:r>
        <w:rPr>
          <w:bCs/>
        </w:rPr>
        <w:t xml:space="preserve">. </w:t>
      </w:r>
      <w:r>
        <w:t>Data are boxplot with min/max (center line = median, box limits = 25</w:t>
      </w:r>
      <w:r>
        <w:rPr>
          <w:vertAlign w:val="superscript"/>
        </w:rPr>
        <w:t>th</w:t>
      </w:r>
      <w:r>
        <w:t xml:space="preserve"> to 75</w:t>
      </w:r>
      <w:r>
        <w:rPr>
          <w:vertAlign w:val="superscript"/>
        </w:rPr>
        <w:t>th</w:t>
      </w:r>
      <w:r>
        <w:t xml:space="preserve"> percentiles, whiskers = min/max values, and symbols = individual mice). For immunofluorescence experiments (n=8 animals/group). </w:t>
      </w:r>
      <w:r w:rsidRPr="00753373">
        <w:rPr>
          <w:shd w:val="clear" w:color="auto" w:fill="FFFFFF" w:themeFill="background1"/>
        </w:rPr>
        <w:t xml:space="preserve">For </w:t>
      </w:r>
      <w:proofErr w:type="spellStart"/>
      <w:r w:rsidRPr="00753373">
        <w:rPr>
          <w:shd w:val="clear" w:color="auto" w:fill="FFFFFF" w:themeFill="background1"/>
        </w:rPr>
        <w:t>RNAscope</w:t>
      </w:r>
      <w:proofErr w:type="spellEnd"/>
      <w:r w:rsidRPr="00753373">
        <w:rPr>
          <w:shd w:val="clear" w:color="auto" w:fill="FFFFFF" w:themeFill="background1"/>
        </w:rPr>
        <w:t xml:space="preserve">™️ multiplex FISH and RNA-seq experiments (n=3 animals/group). </w:t>
      </w:r>
      <w:r w:rsidRPr="00753373">
        <w:rPr>
          <w:shd w:val="clear" w:color="auto" w:fill="FFFFFF" w:themeFill="background1"/>
          <w:vertAlign w:val="superscript"/>
        </w:rPr>
        <w:t>*</w:t>
      </w:r>
      <w:r w:rsidRPr="00753373">
        <w:rPr>
          <w:i/>
          <w:shd w:val="clear" w:color="auto" w:fill="FFFFFF" w:themeFill="background1"/>
        </w:rPr>
        <w:t>P</w:t>
      </w:r>
      <w:r w:rsidRPr="00753373">
        <w:rPr>
          <w:shd w:val="clear" w:color="auto" w:fill="FFFFFF" w:themeFill="background1"/>
        </w:rPr>
        <w:t>&lt;0.05 (</w:t>
      </w:r>
      <w:r w:rsidRPr="00753373">
        <w:rPr>
          <w:b/>
          <w:bCs/>
          <w:shd w:val="clear" w:color="auto" w:fill="FFFFFF" w:themeFill="background1"/>
        </w:rPr>
        <w:t>b,</w:t>
      </w:r>
      <w:r w:rsidRPr="00753373">
        <w:rPr>
          <w:shd w:val="clear" w:color="auto" w:fill="FFFFFF" w:themeFill="background1"/>
        </w:rPr>
        <w:t xml:space="preserve"> unpaired </w:t>
      </w:r>
      <w:r w:rsidRPr="00753373">
        <w:rPr>
          <w:i/>
          <w:iCs/>
          <w:shd w:val="clear" w:color="auto" w:fill="FFFFFF" w:themeFill="background1"/>
        </w:rPr>
        <w:t>t</w:t>
      </w:r>
      <w:r w:rsidRPr="00753373">
        <w:rPr>
          <w:shd w:val="clear" w:color="auto" w:fill="FFFFFF" w:themeFill="background1"/>
        </w:rPr>
        <w:t xml:space="preserve">-test, </w:t>
      </w:r>
      <w:r w:rsidRPr="00753373">
        <w:rPr>
          <w:b/>
          <w:bCs/>
          <w:shd w:val="clear" w:color="auto" w:fill="FFFFFF" w:themeFill="background1"/>
        </w:rPr>
        <w:t xml:space="preserve">f, </w:t>
      </w:r>
      <w:r w:rsidRPr="00753373">
        <w:rPr>
          <w:shd w:val="clear" w:color="auto" w:fill="FFFFFF" w:themeFill="background1"/>
        </w:rPr>
        <w:t>Mann-Whitney test).</w:t>
      </w:r>
    </w:p>
    <w:p w14:paraId="11135E58" w14:textId="77777777" w:rsidR="00E9637B" w:rsidRDefault="00E9637B" w:rsidP="00E9637B">
      <w:pPr>
        <w:spacing w:line="360" w:lineRule="auto"/>
        <w:jc w:val="both"/>
        <w:rPr>
          <w:shd w:val="clear" w:color="auto" w:fill="FFFFFF" w:themeFill="background1"/>
        </w:rPr>
      </w:pPr>
    </w:p>
    <w:p w14:paraId="2F170E3E" w14:textId="77777777" w:rsidR="00E9637B" w:rsidRDefault="00E9637B" w:rsidP="00E9637B">
      <w:pPr>
        <w:spacing w:line="360" w:lineRule="auto"/>
        <w:jc w:val="both"/>
      </w:pPr>
      <w:r>
        <w:rPr>
          <w:noProof/>
          <w:shd w:val="clear" w:color="auto" w:fill="FFFFFF" w:themeFill="background1"/>
        </w:rPr>
        <w:drawing>
          <wp:anchor distT="0" distB="0" distL="114300" distR="114300" simplePos="0" relativeHeight="251662336" behindDoc="1" locked="0" layoutInCell="1" allowOverlap="1" wp14:anchorId="6591EFD0" wp14:editId="2AA9DF4C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5971540" cy="1480185"/>
            <wp:effectExtent l="0" t="0" r="0" b="5715"/>
            <wp:wrapTight wrapText="bothSides">
              <wp:wrapPolygon edited="0">
                <wp:start x="0" y="0"/>
                <wp:lineTo x="0" y="21498"/>
                <wp:lineTo x="21545" y="21498"/>
                <wp:lineTo x="21545" y="0"/>
                <wp:lineTo x="0" y="0"/>
              </wp:wrapPolygon>
            </wp:wrapTight>
            <wp:docPr id="8110269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02693" name="Image 8110269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Extended data Fig. 5. Validation of chimerism validation in chDKK1 mice. </w:t>
      </w:r>
      <w:proofErr w:type="gramStart"/>
      <w:r>
        <w:rPr>
          <w:b/>
        </w:rPr>
        <w:t>a,</w:t>
      </w:r>
      <w:proofErr w:type="gramEnd"/>
      <w:r>
        <w:rPr>
          <w:b/>
        </w:rPr>
        <w:t xml:space="preserve"> </w:t>
      </w:r>
      <w:r>
        <w:t xml:space="preserve">Flow cytometry analysis of </w:t>
      </w:r>
      <w:proofErr w:type="spellStart"/>
      <w:r>
        <w:rPr>
          <w:highlight w:val="white"/>
        </w:rPr>
        <w:t>rtTA</w:t>
      </w:r>
      <w:proofErr w:type="spellEnd"/>
      <w:r>
        <w:rPr>
          <w:highlight w:val="white"/>
        </w:rPr>
        <w:t>-EGFP</w:t>
      </w:r>
      <w:r>
        <w:rPr>
          <w:highlight w:val="white"/>
          <w:vertAlign w:val="superscript"/>
        </w:rPr>
        <w:t>+</w:t>
      </w:r>
      <w:r>
        <w:rPr>
          <w:highlight w:val="white"/>
        </w:rPr>
        <w:t xml:space="preserve"> </w:t>
      </w:r>
      <w:r>
        <w:t xml:space="preserve">cells (GFP) in the blood circulation of, </w:t>
      </w:r>
      <w:r w:rsidRPr="002565CC">
        <w:rPr>
          <w:b/>
          <w:bCs/>
        </w:rPr>
        <w:t>a)</w:t>
      </w:r>
      <w:r>
        <w:t xml:space="preserve"> WT/DOX,</w:t>
      </w:r>
      <w:r>
        <w:rPr>
          <w:b/>
        </w:rPr>
        <w:t xml:space="preserve"> b,</w:t>
      </w:r>
      <w:r>
        <w:t xml:space="preserve"> DKK1/OFF, </w:t>
      </w:r>
      <w:r>
        <w:rPr>
          <w:b/>
        </w:rPr>
        <w:t>c,</w:t>
      </w:r>
      <w:r>
        <w:t xml:space="preserve"> DKK1/ON and </w:t>
      </w:r>
      <w:r>
        <w:rPr>
          <w:b/>
        </w:rPr>
        <w:t>d,</w:t>
      </w:r>
      <w:r>
        <w:t xml:space="preserve"> chDKK1/ON mice.</w:t>
      </w:r>
    </w:p>
    <w:p w14:paraId="228A23D0" w14:textId="77777777" w:rsidR="00E9637B" w:rsidRPr="00115FE5" w:rsidRDefault="00E9637B" w:rsidP="00E9637B">
      <w:pPr>
        <w:spacing w:line="360" w:lineRule="auto"/>
        <w:jc w:val="both"/>
        <w:rPr>
          <w:shd w:val="clear" w:color="auto" w:fill="FFFFFF" w:themeFill="background1"/>
        </w:rPr>
      </w:pPr>
    </w:p>
    <w:p w14:paraId="288C9A63" w14:textId="77777777" w:rsidR="00E9637B" w:rsidRDefault="00E9637B" w:rsidP="00E9637B">
      <w:pPr>
        <w:spacing w:line="360" w:lineRule="auto"/>
        <w:jc w:val="both"/>
      </w:pPr>
    </w:p>
    <w:p w14:paraId="350B87CE" w14:textId="77777777" w:rsidR="00E9637B" w:rsidRPr="00426B31" w:rsidRDefault="00E9637B" w:rsidP="00E9637B">
      <w:pPr>
        <w:spacing w:line="360" w:lineRule="auto"/>
        <w:jc w:val="both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51E82D31" wp14:editId="531A8EAF">
            <wp:simplePos x="0" y="0"/>
            <wp:positionH relativeFrom="margin">
              <wp:posOffset>0</wp:posOffset>
            </wp:positionH>
            <wp:positionV relativeFrom="paragraph">
              <wp:posOffset>92409</wp:posOffset>
            </wp:positionV>
            <wp:extent cx="5971540" cy="3792220"/>
            <wp:effectExtent l="0" t="0" r="0" b="5080"/>
            <wp:wrapTight wrapText="bothSides">
              <wp:wrapPolygon edited="0">
                <wp:start x="0" y="0"/>
                <wp:lineTo x="0" y="21557"/>
                <wp:lineTo x="21545" y="21557"/>
                <wp:lineTo x="21545" y="0"/>
                <wp:lineTo x="0" y="0"/>
              </wp:wrapPolygon>
            </wp:wrapTight>
            <wp:docPr id="90620503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205033" name="Image 90620503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379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Extended data Fig. 6. </w:t>
      </w:r>
      <w:r w:rsidRPr="00426B31">
        <w:rPr>
          <w:b/>
          <w:bCs/>
        </w:rPr>
        <w:t>DKK1 subacute neutralization reduces brain damage after stroke.</w:t>
      </w:r>
    </w:p>
    <w:p w14:paraId="1665BA63" w14:textId="77777777" w:rsidR="00E9637B" w:rsidRDefault="00E9637B" w:rsidP="00E9637B">
      <w:pPr>
        <w:spacing w:line="360" w:lineRule="auto"/>
        <w:jc w:val="both"/>
      </w:pPr>
      <w:r>
        <w:rPr>
          <w:b/>
        </w:rPr>
        <w:t>a,</w:t>
      </w:r>
      <w:r>
        <w:t xml:space="preserve"> Analysis of the laser Doppler blood flowmeter (LDF) measurements during </w:t>
      </w:r>
      <w:proofErr w:type="spellStart"/>
      <w:r>
        <w:t>MCAo</w:t>
      </w:r>
      <w:proofErr w:type="spellEnd"/>
      <w:r>
        <w:t xml:space="preserve"> procedure (ischemic stroke induction) in VEH-, WAY5- and WAY10- treated. </w:t>
      </w:r>
      <w:r w:rsidRPr="00BA6B48">
        <w:rPr>
          <w:b/>
          <w:bCs/>
        </w:rPr>
        <w:t>b,</w:t>
      </w:r>
      <w:r>
        <w:t xml:space="preserve"> Representative images of </w:t>
      </w:r>
      <w:proofErr w:type="spellStart"/>
      <w:r>
        <w:t>cresyl</w:t>
      </w:r>
      <w:proofErr w:type="spellEnd"/>
      <w:r>
        <w:t xml:space="preserve"> violet histology showing the lesion surrounded by white dashed lines and immunohistology showing IgG extravasation surrounded by white dashed line in the brain of VEH-, WAY5- and WAY10- treated mice 1 week after </w:t>
      </w:r>
      <w:proofErr w:type="spellStart"/>
      <w:r>
        <w:t>MCAo</w:t>
      </w:r>
      <w:proofErr w:type="spellEnd"/>
      <w:r>
        <w:t xml:space="preserve"> (ischemic stroke onset). </w:t>
      </w:r>
      <w:r>
        <w:rPr>
          <w:b/>
        </w:rPr>
        <w:t>c,</w:t>
      </w:r>
      <w:r>
        <w:t xml:space="preserve"> Analysis of Analysis of brain oedema size (percent of contralateral) in VEH-, WAY5- and WAY10- treated mice 1 week after stroke. </w:t>
      </w:r>
      <w:r>
        <w:rPr>
          <w:b/>
        </w:rPr>
        <w:t>d,</w:t>
      </w:r>
      <w:r>
        <w:t xml:space="preserve"> Analysis of IgG extravasation (percent of contralateral) in VEH-, WAY5- and WAY10- treated mice 1 week after stroke. </w:t>
      </w:r>
      <w:r w:rsidRPr="00BA6B48">
        <w:rPr>
          <w:b/>
          <w:bCs/>
        </w:rPr>
        <w:t>e,</w:t>
      </w:r>
      <w:r>
        <w:t xml:space="preserve"> Kaplan-Meier estimate of the survival rate until 1 week after stroke. </w:t>
      </w:r>
      <w:r w:rsidRPr="00753373">
        <w:t>Data are boxplot with min/max (center line = median, box limits = 25</w:t>
      </w:r>
      <w:r w:rsidRPr="00753373">
        <w:rPr>
          <w:vertAlign w:val="superscript"/>
        </w:rPr>
        <w:t>th</w:t>
      </w:r>
      <w:r w:rsidRPr="00753373">
        <w:t xml:space="preserve"> to 75</w:t>
      </w:r>
      <w:r w:rsidRPr="00753373">
        <w:rPr>
          <w:vertAlign w:val="superscript"/>
        </w:rPr>
        <w:t>th</w:t>
      </w:r>
      <w:r w:rsidRPr="00753373">
        <w:t xml:space="preserve"> percentiles, whiskers = min/max values, and symbols = individual mice), superimposed symbols at mean with connecting line or staircase with ticks.  For all experiments (n=7 animals/group). </w:t>
      </w:r>
      <w:r w:rsidRPr="00753373">
        <w:rPr>
          <w:vertAlign w:val="superscript"/>
        </w:rPr>
        <w:t>**</w:t>
      </w:r>
      <w:r w:rsidRPr="00753373">
        <w:rPr>
          <w:i/>
        </w:rPr>
        <w:t>P</w:t>
      </w:r>
      <w:r w:rsidRPr="00753373">
        <w:t>&lt;0.01 WAY10-treated compared to VEH-treated mice (</w:t>
      </w:r>
      <w:r w:rsidRPr="00753373">
        <w:rPr>
          <w:b/>
        </w:rPr>
        <w:t>d</w:t>
      </w:r>
      <w:r w:rsidRPr="00753373">
        <w:t>, one-way ANOVA test followed by Tukey’s test).</w:t>
      </w:r>
    </w:p>
    <w:p w14:paraId="57AC258E" w14:textId="77777777" w:rsidR="00E9637B" w:rsidRDefault="00E9637B" w:rsidP="00E9637B">
      <w:pPr>
        <w:spacing w:line="360" w:lineRule="auto"/>
        <w:jc w:val="both"/>
        <w:rPr>
          <w:b/>
        </w:rPr>
      </w:pPr>
    </w:p>
    <w:p w14:paraId="02299E45" w14:textId="77777777" w:rsidR="00E9637B" w:rsidRDefault="00E9637B" w:rsidP="00E9637B">
      <w:pPr>
        <w:spacing w:line="360" w:lineRule="auto"/>
        <w:jc w:val="both"/>
      </w:pPr>
      <w:r>
        <w:rPr>
          <w:b/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3CE0C044" wp14:editId="153CD1BD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5803900" cy="3543300"/>
            <wp:effectExtent l="0" t="0" r="0" b="0"/>
            <wp:wrapTight wrapText="bothSides">
              <wp:wrapPolygon edited="0">
                <wp:start x="0" y="0"/>
                <wp:lineTo x="0" y="21523"/>
                <wp:lineTo x="21553" y="21523"/>
                <wp:lineTo x="21553" y="0"/>
                <wp:lineTo x="0" y="0"/>
              </wp:wrapPolygon>
            </wp:wrapTight>
            <wp:docPr id="51655282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552820" name="Image 51655282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Extended data Fig. 7. </w:t>
      </w:r>
      <w:r w:rsidRPr="00753373">
        <w:rPr>
          <w:b/>
          <w:bCs/>
        </w:rPr>
        <w:t xml:space="preserve">Schematic illustration </w:t>
      </w:r>
      <w:r>
        <w:rPr>
          <w:b/>
          <w:bCs/>
        </w:rPr>
        <w:t xml:space="preserve">of </w:t>
      </w:r>
      <w:r w:rsidRPr="00753373">
        <w:rPr>
          <w:b/>
          <w:bCs/>
        </w:rPr>
        <w:t xml:space="preserve">DKK1 turnover and </w:t>
      </w:r>
      <w:r>
        <w:rPr>
          <w:b/>
          <w:bCs/>
        </w:rPr>
        <w:t xml:space="preserve">role in </w:t>
      </w:r>
      <w:r w:rsidRPr="00753373">
        <w:rPr>
          <w:b/>
          <w:bCs/>
        </w:rPr>
        <w:t xml:space="preserve">stroke pathobiology and therapy. </w:t>
      </w:r>
      <w:r w:rsidRPr="00CE40B3">
        <w:t xml:space="preserve">After </w:t>
      </w:r>
      <w:r>
        <w:t xml:space="preserve">ischemic </w:t>
      </w:r>
      <w:r w:rsidRPr="00CE40B3">
        <w:t>stroke</w:t>
      </w:r>
      <w:r>
        <w:t xml:space="preserve">, </w:t>
      </w:r>
      <w:r w:rsidRPr="00CE40B3">
        <w:t>DKK1</w:t>
      </w:r>
      <w:r>
        <w:t xml:space="preserve"> is mainly elevated in the blood circulation and penetrating the intralesional site via infiltration of BMDCs. Elevated level of DKK1 aggravated infarct size, exacerbated sensorimotor impairment and promote anxiety-like behavior. This is notably due to an unresolved neuroinflammation and glial scar disorganization. Pharmacological deactivation of DKK1 ameliorated structural and functional recovery, notably by a stimulation of neurorestorative and neovascularization processes.</w:t>
      </w:r>
    </w:p>
    <w:p w14:paraId="11A95CD7" w14:textId="77777777" w:rsidR="00E9637B" w:rsidRDefault="00E9637B" w:rsidP="00E9637B">
      <w:pPr>
        <w:spacing w:line="360" w:lineRule="auto"/>
        <w:jc w:val="both"/>
      </w:pPr>
    </w:p>
    <w:p w14:paraId="295B582F" w14:textId="77777777" w:rsidR="00E9637B" w:rsidRDefault="00E9637B" w:rsidP="00E9637B">
      <w:pPr>
        <w:spacing w:line="360" w:lineRule="auto"/>
        <w:jc w:val="both"/>
      </w:pPr>
    </w:p>
    <w:p w14:paraId="3052D6C5" w14:textId="77777777" w:rsidR="00E9637B" w:rsidRDefault="00E9637B" w:rsidP="00E9637B">
      <w:pPr>
        <w:spacing w:line="360" w:lineRule="auto"/>
        <w:jc w:val="both"/>
      </w:pPr>
    </w:p>
    <w:p w14:paraId="75061948" w14:textId="77777777" w:rsidR="00E9637B" w:rsidRDefault="00E9637B" w:rsidP="00E9637B">
      <w:pPr>
        <w:spacing w:line="360" w:lineRule="auto"/>
        <w:jc w:val="both"/>
      </w:pPr>
    </w:p>
    <w:p w14:paraId="0604D792" w14:textId="77777777" w:rsidR="00E9637B" w:rsidRDefault="00E9637B" w:rsidP="00E9637B">
      <w:pPr>
        <w:rPr>
          <w:noProof/>
        </w:rPr>
      </w:pPr>
    </w:p>
    <w:p w14:paraId="02CEAB9F" w14:textId="77777777" w:rsidR="00E9637B" w:rsidRDefault="00E9637B" w:rsidP="00E9637B">
      <w:pPr>
        <w:rPr>
          <w:noProof/>
        </w:rPr>
      </w:pPr>
    </w:p>
    <w:p w14:paraId="4D9AB359" w14:textId="77777777" w:rsidR="00E9637B" w:rsidRDefault="00E9637B" w:rsidP="00E9637B">
      <w:pPr>
        <w:shd w:val="clear" w:color="auto" w:fill="FFFFFF" w:themeFill="background1"/>
        <w:spacing w:line="360" w:lineRule="auto"/>
        <w:jc w:val="both"/>
        <w:rPr>
          <w:shd w:val="clear" w:color="auto" w:fill="FFFFFF" w:themeFill="background1"/>
        </w:rPr>
      </w:pPr>
    </w:p>
    <w:p w14:paraId="42DF4D34" w14:textId="77777777" w:rsidR="00E9637B" w:rsidRDefault="00E9637B" w:rsidP="00E9637B">
      <w:pPr>
        <w:spacing w:line="360" w:lineRule="auto"/>
        <w:jc w:val="both"/>
      </w:pPr>
    </w:p>
    <w:p w14:paraId="0BA195A4" w14:textId="77777777" w:rsidR="00E9637B" w:rsidRDefault="00E9637B" w:rsidP="00E9637B">
      <w:pPr>
        <w:spacing w:line="360" w:lineRule="auto"/>
        <w:jc w:val="both"/>
      </w:pPr>
    </w:p>
    <w:p w14:paraId="50F66E92" w14:textId="77777777" w:rsidR="00E9637B" w:rsidRDefault="00E9637B" w:rsidP="00E9637B">
      <w:pPr>
        <w:spacing w:line="360" w:lineRule="auto"/>
        <w:jc w:val="both"/>
      </w:pPr>
    </w:p>
    <w:p w14:paraId="3FC3C8F7" w14:textId="77777777" w:rsidR="00411C5C" w:rsidRDefault="00411C5C"/>
    <w:sectPr w:rsidR="00411C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37B"/>
    <w:rsid w:val="00411C5C"/>
    <w:rsid w:val="00E9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ACCD2"/>
  <w15:chartTrackingRefBased/>
  <w15:docId w15:val="{BAE5DEA9-A534-4D97-A6E5-2446210BC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3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1309</Words>
  <Characters>7466</Characters>
  <Application>Microsoft Office Word</Application>
  <DocSecurity>0</DocSecurity>
  <Lines>62</Lines>
  <Paragraphs>17</Paragraphs>
  <ScaleCrop>false</ScaleCrop>
  <Company>SpringerNature</Company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2023-08-14T04:38:00Z</dcterms:created>
  <dcterms:modified xsi:type="dcterms:W3CDTF">2023-08-14T04:39:00Z</dcterms:modified>
</cp:coreProperties>
</file>