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841" w:tblpY="358"/>
        <w:tblOverlap w:val="never"/>
        <w:tblW w:w="1117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858"/>
        <w:gridCol w:w="1208"/>
        <w:gridCol w:w="1208"/>
        <w:gridCol w:w="1208"/>
        <w:gridCol w:w="1324"/>
        <w:gridCol w:w="1324"/>
        <w:gridCol w:w="1324"/>
        <w:gridCol w:w="1150"/>
        <w:gridCol w:w="814"/>
        <w:gridCol w:w="222"/>
      </w:tblGrid>
      <w:tr>
        <w:trPr>
          <w:gridAfter w:val="1"/>
          <w:wAfter w:w="222" w:type="dxa"/>
          <w:trHeight w:val="280" w:hRule="atLeast"/>
        </w:trPr>
        <w:tc>
          <w:tcPr>
            <w:tcW w:w="10949" w:type="dxa"/>
            <w:gridSpan w:val="10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2"/>
                <w:szCs w:val="22"/>
                <w:highlight w:val="none"/>
                <w:lang w:val="en-US"/>
              </w:rPr>
              <w:t>Supplementary material 1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2"/>
                <w:szCs w:val="22"/>
                <w:highlight w:val="none"/>
                <w:lang w:val="en-US"/>
              </w:rPr>
              <w:t>. Progression of pCRA and number of intravitreal injections in the treated eyes at baseline, 12 and 24 months</w:t>
            </w:r>
          </w:p>
        </w:tc>
      </w:tr>
      <w:tr>
        <w:trPr>
          <w:trHeight w:val="290" w:hRule="atLeast"/>
        </w:trPr>
        <w:tc>
          <w:tcPr>
            <w:tcW w:w="10949" w:type="dxa"/>
            <w:gridSpan w:val="10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</w:tr>
      <w:tr>
        <w:trPr>
          <w:trHeight w:val="1140" w:hRule="atLeast"/>
        </w:trPr>
        <w:tc>
          <w:tcPr>
            <w:tcW w:w="53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Pt No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Treated eye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Perilesional pCRA baseline, mm</w:t>
            </w: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vertAlign w:val="superscript"/>
                <w:lang w:val="en-US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Perilesional pCRA 12 m, mm</w:t>
            </w: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vertAlign w:val="superscript"/>
                <w:lang w:val="en-US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Perilesional pCRA 24 m, mm</w:t>
            </w: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vertAlign w:val="superscript"/>
                <w:lang w:val="en-US"/>
              </w:rPr>
              <w:t>2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Patchy Extralesional pCRA baseline, mm</w:t>
            </w: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vertAlign w:val="superscript"/>
                <w:lang w:val="en-US"/>
              </w:rPr>
              <w:t>2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Patchy Extralesional pCRA 12 m, mm</w:t>
            </w: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vertAlign w:val="superscript"/>
                <w:lang w:val="en-US"/>
              </w:rPr>
              <w:t>2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Patchy Extralesional pCRA 24 m, mm</w:t>
            </w: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vertAlign w:val="superscript"/>
                <w:lang w:val="en-US"/>
              </w:rPr>
              <w:t>2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anti-VEGF total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PSR treated month</w:t>
            </w: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vertAlign w:val="superscript"/>
                <w:lang w:val="en-US"/>
              </w:rPr>
              <w:t>a</w:t>
            </w:r>
          </w:p>
        </w:tc>
        <w:tc>
          <w:tcPr>
            <w:tcW w:w="222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</w:p>
        </w:tc>
      </w:tr>
      <w:tr>
        <w:trPr>
          <w:trHeight w:val="280" w:hRule="atLeast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L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3</w:t>
            </w:r>
          </w:p>
        </w:tc>
        <w:tc>
          <w:tcPr>
            <w:tcW w:w="222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</w:p>
        </w:tc>
      </w:tr>
      <w:tr>
        <w:trPr>
          <w:trHeight w:val="280" w:hRule="atLeast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8</w:t>
            </w:r>
          </w:p>
        </w:tc>
        <w:tc>
          <w:tcPr>
            <w:tcW w:w="222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</w:p>
        </w:tc>
      </w:tr>
      <w:tr>
        <w:trPr>
          <w:trHeight w:val="280" w:hRule="atLeast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L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1.151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1.295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1.609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1</w:t>
            </w:r>
          </w:p>
        </w:tc>
        <w:tc>
          <w:tcPr>
            <w:tcW w:w="222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</w:p>
        </w:tc>
      </w:tr>
      <w:tr>
        <w:trPr>
          <w:trHeight w:val="320" w:hRule="atLeast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4</w:t>
            </w: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vertAlign w:val="superscript"/>
                <w:lang w:val="en-US"/>
              </w:rPr>
              <w:t>b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1</w:t>
            </w:r>
          </w:p>
        </w:tc>
        <w:tc>
          <w:tcPr>
            <w:tcW w:w="222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</w:p>
        </w:tc>
      </w:tr>
      <w:tr>
        <w:trPr>
          <w:trHeight w:val="280" w:hRule="atLeast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6</w:t>
            </w:r>
          </w:p>
        </w:tc>
        <w:tc>
          <w:tcPr>
            <w:tcW w:w="222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</w:p>
        </w:tc>
      </w:tr>
      <w:tr>
        <w:trPr>
          <w:trHeight w:val="280" w:hRule="atLeast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L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0.126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2.474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2.861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3.023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2</w:t>
            </w:r>
          </w:p>
        </w:tc>
        <w:tc>
          <w:tcPr>
            <w:tcW w:w="222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</w:p>
        </w:tc>
      </w:tr>
      <w:tr>
        <w:trPr>
          <w:trHeight w:val="320" w:hRule="atLeast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0.046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1.243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2.67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3.399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-5</w:t>
            </w: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vertAlign w:val="superscript"/>
                <w:lang w:val="en-US"/>
              </w:rPr>
              <w:t>c</w:t>
            </w:r>
          </w:p>
        </w:tc>
        <w:tc>
          <w:tcPr>
            <w:tcW w:w="222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</w:p>
        </w:tc>
      </w:tr>
      <w:tr>
        <w:trPr>
          <w:trHeight w:val="280" w:hRule="atLeast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L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1</w:t>
            </w:r>
          </w:p>
        </w:tc>
        <w:tc>
          <w:tcPr>
            <w:tcW w:w="222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</w:p>
        </w:tc>
      </w:tr>
      <w:tr>
        <w:trPr>
          <w:trHeight w:val="280" w:hRule="atLeast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L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0.093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0.141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0.425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6</w:t>
            </w:r>
          </w:p>
        </w:tc>
        <w:tc>
          <w:tcPr>
            <w:tcW w:w="222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</w:p>
        </w:tc>
      </w:tr>
      <w:tr>
        <w:trPr>
          <w:trHeight w:val="280" w:hRule="atLeast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10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5</w:t>
            </w:r>
          </w:p>
        </w:tc>
        <w:tc>
          <w:tcPr>
            <w:tcW w:w="222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</w:p>
        </w:tc>
      </w:tr>
      <w:tr>
        <w:trPr>
          <w:trHeight w:val="280" w:hRule="atLeast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11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2</w:t>
            </w:r>
          </w:p>
        </w:tc>
        <w:tc>
          <w:tcPr>
            <w:tcW w:w="222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</w:p>
        </w:tc>
      </w:tr>
      <w:tr>
        <w:trPr>
          <w:trHeight w:val="320" w:hRule="atLeast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12</w:t>
            </w:r>
            <w:r>
              <w:rPr>
                <w:rFonts w:hint="eastAsia" w:cs="Times New Roman Regular"/>
                <w:color w:val="000000"/>
                <w:sz w:val="21"/>
                <w:szCs w:val="21"/>
                <w:highlight w:val="none"/>
                <w:vertAlign w:val="superscript"/>
                <w:lang w:val="en-US"/>
              </w:rPr>
              <w:t>△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L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8</w:t>
            </w:r>
          </w:p>
        </w:tc>
        <w:tc>
          <w:tcPr>
            <w:tcW w:w="222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</w:p>
        </w:tc>
      </w:tr>
      <w:tr>
        <w:trPr>
          <w:trHeight w:val="280" w:hRule="atLeast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12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0.896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1.844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2.122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0.838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1.89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2.653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-</w:t>
            </w:r>
          </w:p>
        </w:tc>
        <w:tc>
          <w:tcPr>
            <w:tcW w:w="222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</w:p>
        </w:tc>
      </w:tr>
      <w:tr>
        <w:trPr>
          <w:trHeight w:val="280" w:hRule="atLeast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13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L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1.976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2.143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2.895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1.671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2.419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3.012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-</w:t>
            </w:r>
          </w:p>
        </w:tc>
        <w:tc>
          <w:tcPr>
            <w:tcW w:w="222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</w:p>
        </w:tc>
      </w:tr>
      <w:tr>
        <w:trPr>
          <w:trHeight w:val="280" w:hRule="atLeast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14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0.105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-</w:t>
            </w:r>
          </w:p>
        </w:tc>
        <w:tc>
          <w:tcPr>
            <w:tcW w:w="222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</w:p>
        </w:tc>
      </w:tr>
      <w:tr>
        <w:trPr>
          <w:trHeight w:val="280" w:hRule="atLeast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15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L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6.806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7.436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8.233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0.132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-</w:t>
            </w:r>
          </w:p>
        </w:tc>
        <w:tc>
          <w:tcPr>
            <w:tcW w:w="222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</w:p>
        </w:tc>
      </w:tr>
      <w:tr>
        <w:trPr>
          <w:trHeight w:val="280" w:hRule="atLeast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16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0.068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1.244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2.119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0.32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-</w:t>
            </w:r>
          </w:p>
        </w:tc>
        <w:tc>
          <w:tcPr>
            <w:tcW w:w="222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</w:p>
        </w:tc>
      </w:tr>
      <w:tr>
        <w:trPr>
          <w:trHeight w:val="280" w:hRule="atLeast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17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0.31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2.171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10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-</w:t>
            </w:r>
          </w:p>
        </w:tc>
        <w:tc>
          <w:tcPr>
            <w:tcW w:w="222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</w:p>
        </w:tc>
      </w:tr>
      <w:tr>
        <w:trPr>
          <w:trHeight w:val="280" w:hRule="atLeast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18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1.254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4.319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8.274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8.922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-</w:t>
            </w:r>
          </w:p>
        </w:tc>
        <w:tc>
          <w:tcPr>
            <w:tcW w:w="222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</w:p>
        </w:tc>
      </w:tr>
      <w:tr>
        <w:trPr>
          <w:trHeight w:val="280" w:hRule="atLeast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18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L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0.229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0.592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0.225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0.609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0.81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-</w:t>
            </w:r>
          </w:p>
        </w:tc>
        <w:tc>
          <w:tcPr>
            <w:tcW w:w="222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</w:p>
        </w:tc>
      </w:tr>
      <w:tr>
        <w:trPr>
          <w:trHeight w:val="280" w:hRule="atLeast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19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1.791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2.677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0.28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0.381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0.689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-</w:t>
            </w:r>
          </w:p>
        </w:tc>
        <w:tc>
          <w:tcPr>
            <w:tcW w:w="222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</w:p>
        </w:tc>
      </w:tr>
      <w:tr>
        <w:trPr>
          <w:trHeight w:val="280" w:hRule="atLeast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20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2.945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3.867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0.535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1.213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-</w:t>
            </w:r>
          </w:p>
        </w:tc>
        <w:tc>
          <w:tcPr>
            <w:tcW w:w="222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</w:p>
        </w:tc>
      </w:tr>
      <w:tr>
        <w:trPr>
          <w:trHeight w:val="280" w:hRule="atLeast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21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L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1.025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1.226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0.826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0.84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0.921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-</w:t>
            </w:r>
          </w:p>
        </w:tc>
        <w:tc>
          <w:tcPr>
            <w:tcW w:w="222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</w:p>
        </w:tc>
      </w:tr>
      <w:tr>
        <w:trPr>
          <w:trHeight w:val="280" w:hRule="atLeast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22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L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0.057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0.091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0.153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0.254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-</w:t>
            </w:r>
          </w:p>
        </w:tc>
        <w:tc>
          <w:tcPr>
            <w:tcW w:w="222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</w:p>
        </w:tc>
      </w:tr>
      <w:tr>
        <w:trPr>
          <w:trHeight w:val="280" w:hRule="atLeast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23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-</w:t>
            </w:r>
          </w:p>
        </w:tc>
        <w:tc>
          <w:tcPr>
            <w:tcW w:w="222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</w:p>
        </w:tc>
      </w:tr>
      <w:tr>
        <w:trPr>
          <w:trHeight w:val="290" w:hRule="atLeast"/>
        </w:trPr>
        <w:tc>
          <w:tcPr>
            <w:tcW w:w="53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24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R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0.21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1.339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0.997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1.858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-</w:t>
            </w:r>
          </w:p>
        </w:tc>
        <w:tc>
          <w:tcPr>
            <w:tcW w:w="222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</w:p>
        </w:tc>
      </w:tr>
      <w:tr>
        <w:trPr>
          <w:trHeight w:val="280" w:hRule="atLeast"/>
        </w:trPr>
        <w:tc>
          <w:tcPr>
            <w:tcW w:w="10949" w:type="dxa"/>
            <w:gridSpan w:val="10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a. This column indicates the time interval from the diagnosis of CNV to PSR surgery.</w:t>
            </w:r>
          </w:p>
        </w:tc>
        <w:tc>
          <w:tcPr>
            <w:tcW w:w="222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</w:p>
        </w:tc>
      </w:tr>
      <w:tr>
        <w:trPr>
          <w:trHeight w:val="280" w:hRule="atLeast"/>
        </w:trPr>
        <w:tc>
          <w:tcPr>
            <w:tcW w:w="109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b. Patient had concurrent foveoschisis.</w:t>
            </w:r>
          </w:p>
        </w:tc>
        <w:tc>
          <w:tcPr>
            <w:tcW w:w="222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</w:p>
        </w:tc>
      </w:tr>
      <w:tr>
        <w:trPr>
          <w:trHeight w:val="280" w:hRule="atLeast"/>
        </w:trPr>
        <w:tc>
          <w:tcPr>
            <w:tcW w:w="109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</w:rPr>
            </w:pPr>
            <w:r>
              <w:rPr>
                <w:rFonts w:ascii="Times New Roman Regular" w:hAnsi="Times New Roman Regular" w:eastAsia="等线" w:cs="Times New Roman Regular"/>
                <w:color w:val="000000"/>
                <w:sz w:val="21"/>
                <w:szCs w:val="21"/>
                <w:highlight w:val="none"/>
                <w:lang w:val="en-US"/>
              </w:rPr>
              <w:t>c. Patient no. 7 was diagnosed with mCNV 5 months after receiving PSR treatment.</w:t>
            </w:r>
          </w:p>
        </w:tc>
        <w:tc>
          <w:tcPr>
            <w:tcW w:w="222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0" w:usb1="00000000" w:usb2="00000000" w:usb3="00000000" w:csb0="0016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ED7570"/>
    <w:rsid w:val="17ED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Office_5.1.1.7662_F1E327BC-269C-435d-A152-05C5408002CA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2023-07-20T20:54:00Z</dcterms:created>
  <dc:creator>M</dc:creator>
  <cp:lastModifiedBy>M</cp:lastModifiedBy>
  <dcterms:modified xsi:type="dcterms:W3CDTF">2023-07-20T20:56:17Z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3497C3FB965605B6732EB964F1E61E65</vt:lpwstr>
  </property>
</Properties>
</file>