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A112" w14:textId="000CB2E4" w:rsidR="005A5255" w:rsidRDefault="005A5255" w:rsidP="005A5255">
      <w:pPr>
        <w:suppressLineNumbers/>
        <w:spacing w:line="480" w:lineRule="auto"/>
        <w:jc w:val="both"/>
        <w:rPr>
          <w:b/>
        </w:rPr>
      </w:pPr>
      <w:r>
        <w:rPr>
          <w:b/>
          <w:noProof/>
          <w14:ligatures w14:val="standardContextual"/>
        </w:rPr>
        <w:drawing>
          <wp:inline distT="0" distB="0" distL="0" distR="0" wp14:anchorId="02378336" wp14:editId="0728EDE5">
            <wp:extent cx="5760720" cy="4436745"/>
            <wp:effectExtent l="0" t="0" r="0" b="1905"/>
            <wp:docPr id="1816921942" name="Image 1" descr="Une image contenant capture d’écran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21942" name="Image 1" descr="Une image contenant capture d’écran, text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E531" w14:textId="77777777" w:rsidR="005A5255" w:rsidRDefault="005A5255" w:rsidP="005A5255">
      <w:pPr>
        <w:suppressLineNumbers/>
        <w:spacing w:line="480" w:lineRule="auto"/>
        <w:jc w:val="both"/>
      </w:pPr>
      <w:r w:rsidRPr="00655357">
        <w:rPr>
          <w:b/>
          <w:bCs/>
          <w:lang w:val="en-US"/>
        </w:rPr>
        <w:t xml:space="preserve">Additional Figure 1. </w:t>
      </w:r>
      <w:r w:rsidRPr="00655357">
        <w:rPr>
          <w:i/>
          <w:iCs/>
          <w:lang w:val="en-US"/>
        </w:rPr>
        <w:t xml:space="preserve">Illustration of the selection of regions of interest in both lungs and the cinetic of </w:t>
      </w:r>
      <w:r w:rsidRPr="00655357">
        <w:t>[</w:t>
      </w:r>
      <w:r w:rsidRPr="00655357">
        <w:rPr>
          <w:vertAlign w:val="superscript"/>
        </w:rPr>
        <w:t>18</w:t>
      </w:r>
      <w:proofErr w:type="gramStart"/>
      <w:r w:rsidRPr="00655357">
        <w:t>F]FAPI</w:t>
      </w:r>
      <w:proofErr w:type="gramEnd"/>
      <w:r w:rsidRPr="00655357">
        <w:t xml:space="preserve">-74 </w:t>
      </w:r>
      <w:r w:rsidRPr="00655357">
        <w:rPr>
          <w:i/>
          <w:iCs/>
        </w:rPr>
        <w:t xml:space="preserve">thoracic </w:t>
      </w:r>
      <w:r w:rsidRPr="00655357">
        <w:rPr>
          <w:i/>
          <w:iCs/>
          <w:lang w:val="en-US"/>
        </w:rPr>
        <w:t xml:space="preserve"> uptake. </w:t>
      </w:r>
      <w:r w:rsidRPr="00655357">
        <w:rPr>
          <w:b/>
          <w:bCs/>
          <w:lang w:val="en-US"/>
        </w:rPr>
        <w:t xml:space="preserve">A. </w:t>
      </w:r>
      <w:r w:rsidRPr="00655357">
        <w:rPr>
          <w:lang w:val="en-US"/>
        </w:rPr>
        <w:t xml:space="preserve">Selection of the region of interest in the three representative sections (sagittal, coronal, transversal). </w:t>
      </w:r>
      <w:r w:rsidRPr="00655357">
        <w:rPr>
          <w:b/>
          <w:bCs/>
          <w:lang w:val="en-US"/>
        </w:rPr>
        <w:t xml:space="preserve">B. </w:t>
      </w:r>
      <w:r w:rsidRPr="00655357">
        <w:rPr>
          <w:lang w:val="en-US"/>
        </w:rPr>
        <w:t xml:space="preserve">There is a vascular distribution of </w:t>
      </w:r>
      <w:r w:rsidRPr="00655357">
        <w:t>[</w:t>
      </w:r>
      <w:r w:rsidRPr="00655357">
        <w:rPr>
          <w:vertAlign w:val="superscript"/>
        </w:rPr>
        <w:t>18</w:t>
      </w:r>
      <w:proofErr w:type="gramStart"/>
      <w:r w:rsidRPr="00655357">
        <w:t>F]FAPI</w:t>
      </w:r>
      <w:proofErr w:type="gramEnd"/>
      <w:r w:rsidRPr="00655357">
        <w:t>-74 during the first 10 minutes after injection and then the</w:t>
      </w:r>
      <w:r w:rsidRPr="00655357">
        <w:rPr>
          <w:lang w:val="en-US"/>
        </w:rPr>
        <w:t xml:space="preserve"> uptake in the lungs is stable between 40 and 90 minutes. N=6. Data are presented as mean with standard deviation and statistical analysis were performed by two-way ANOVA followed by Bonferroni’s post-hoc test. **: p&lt;0.01. </w:t>
      </w:r>
      <w:r w:rsidRPr="00655357">
        <w:rPr>
          <w:b/>
          <w:bCs/>
        </w:rPr>
        <w:t xml:space="preserve">C. </w:t>
      </w:r>
      <w:r w:rsidRPr="00655357">
        <w:t>Illustration of the uptake of [</w:t>
      </w:r>
      <w:r w:rsidRPr="00655357">
        <w:rPr>
          <w:vertAlign w:val="superscript"/>
        </w:rPr>
        <w:t>18</w:t>
      </w:r>
      <w:proofErr w:type="gramStart"/>
      <w:r w:rsidRPr="00655357">
        <w:t>F]FAPI</w:t>
      </w:r>
      <w:proofErr w:type="gramEnd"/>
      <w:r w:rsidRPr="00655357">
        <w:t>-74 in thoracic wall and spine (yellow arrows), leading to difficulties to select regions of interest and inaccuracies in the SUVmean measurements.</w:t>
      </w:r>
      <w:r>
        <w:t xml:space="preserve"> </w:t>
      </w:r>
    </w:p>
    <w:p w14:paraId="21E7B886" w14:textId="50726DAC" w:rsidR="005A5255" w:rsidRPr="00163E30" w:rsidRDefault="005A5255" w:rsidP="005A5255">
      <w:pPr>
        <w:suppressLineNumbers/>
        <w:spacing w:line="480" w:lineRule="auto"/>
        <w:jc w:val="both"/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50E64516" wp14:editId="08BAE9AE">
            <wp:extent cx="5760720" cy="4411980"/>
            <wp:effectExtent l="0" t="0" r="0" b="7620"/>
            <wp:docPr id="1905288346" name="Image 2" descr="Une image contenant texte, diagramm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88346" name="Image 2" descr="Une image contenant texte, diagramme, capture d’écran, Polic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73E5F" w14:textId="77777777" w:rsidR="005A5255" w:rsidRPr="000A3698" w:rsidRDefault="005A5255" w:rsidP="005A5255">
      <w:pPr>
        <w:suppressLineNumbers/>
        <w:spacing w:line="480" w:lineRule="auto"/>
        <w:jc w:val="both"/>
        <w:rPr>
          <w:lang w:val="en-US"/>
        </w:rPr>
      </w:pPr>
      <w:r w:rsidRPr="000A3698">
        <w:rPr>
          <w:b/>
          <w:bCs/>
          <w:lang w:val="en-US"/>
        </w:rPr>
        <w:t xml:space="preserve">Additional Figure </w:t>
      </w:r>
      <w:r>
        <w:rPr>
          <w:b/>
          <w:bCs/>
          <w:lang w:val="en-US"/>
        </w:rPr>
        <w:t>2</w:t>
      </w:r>
      <w:r w:rsidRPr="000A3698">
        <w:rPr>
          <w:b/>
          <w:bCs/>
          <w:lang w:val="en-US"/>
        </w:rPr>
        <w:t xml:space="preserve">. </w:t>
      </w:r>
      <w:r w:rsidRPr="000A3698">
        <w:rPr>
          <w:i/>
          <w:iCs/>
          <w:lang w:val="en-US"/>
        </w:rPr>
        <w:t xml:space="preserve">Absence of dose-response effect on the uptake of </w:t>
      </w:r>
      <w:r>
        <w:t>[</w:t>
      </w:r>
      <w:r>
        <w:rPr>
          <w:vertAlign w:val="superscript"/>
        </w:rPr>
        <w:t>18</w:t>
      </w:r>
      <w:proofErr w:type="gramStart"/>
      <w:r>
        <w:t>F]FAPI</w:t>
      </w:r>
      <w:proofErr w:type="gramEnd"/>
      <w:r>
        <w:t>-74</w:t>
      </w:r>
      <w:r w:rsidRPr="000A3698">
        <w:rPr>
          <w:i/>
          <w:iCs/>
          <w:lang w:val="en-US"/>
        </w:rPr>
        <w:t xml:space="preserve">: </w:t>
      </w:r>
      <w:r w:rsidRPr="000A3698">
        <w:rPr>
          <w:b/>
          <w:bCs/>
          <w:lang w:val="en-US"/>
        </w:rPr>
        <w:t xml:space="preserve">A-B. </w:t>
      </w:r>
      <w:r w:rsidRPr="000A3698">
        <w:rPr>
          <w:lang w:val="en-US"/>
        </w:rPr>
        <w:t xml:space="preserve">Lung </w:t>
      </w:r>
      <w:r>
        <w:t>[</w:t>
      </w:r>
      <w:r>
        <w:rPr>
          <w:vertAlign w:val="superscript"/>
        </w:rPr>
        <w:t>18</w:t>
      </w:r>
      <w:r>
        <w:t>F]FAPI-74</w:t>
      </w:r>
      <w:r w:rsidRPr="000A3698">
        <w:rPr>
          <w:lang w:val="en-US"/>
        </w:rPr>
        <w:t xml:space="preserve"> uptake in the dose</w:t>
      </w:r>
      <w:r>
        <w:rPr>
          <w:lang w:val="en-US"/>
        </w:rPr>
        <w:t xml:space="preserve"> </w:t>
      </w:r>
      <w:r w:rsidRPr="000A3698">
        <w:rPr>
          <w:lang w:val="en-US"/>
        </w:rPr>
        <w:t xml:space="preserve">response model (bleomycin 0,005, 0,01 and 0,02U/mouse) expressed as the SUVmean (A) and lung-to-muscle ratio (RLM) (B) at day 10 after bleomycin instillation. Controls (CTRL): n=3; 0.005U bleomycin-treated mice (B0.005), n=5; 0.01U bleomycin-treated mice (B0.01), n=5; 0.02U bleomycin-treated mice (B0.02), n=5. </w:t>
      </w:r>
      <w:r w:rsidRPr="000A3698">
        <w:rPr>
          <w:b/>
          <w:bCs/>
          <w:lang w:val="en-US"/>
        </w:rPr>
        <w:t xml:space="preserve">C-D. </w:t>
      </w:r>
      <w:r w:rsidRPr="000A3698">
        <w:rPr>
          <w:lang w:val="en-US"/>
        </w:rPr>
        <w:t>Right lung content of hydroxyproline measurement (C) and evaluation of the Ashcroft modified scale (D) in the dose-response model. CTRL: n=3; B0.005: n=7; B0.01: n=7; B0.02: n=6. Data are presented as mean with standard deviation and statistical analysis was performed using One-Way ANOVA followed by Holm-Sidak</w:t>
      </w:r>
      <w:r>
        <w:rPr>
          <w:lang w:val="en-US"/>
        </w:rPr>
        <w:t>’s</w:t>
      </w:r>
      <w:r w:rsidRPr="000A3698">
        <w:rPr>
          <w:lang w:val="en-US"/>
        </w:rPr>
        <w:t xml:space="preserve"> post-hoc test. *: p&lt;0.05; ***: p&lt;0.001; ****: p&lt;0.0001.</w:t>
      </w:r>
    </w:p>
    <w:p w14:paraId="7390BDD7" w14:textId="77777777" w:rsidR="005A5255" w:rsidRPr="000A3698" w:rsidRDefault="005A5255" w:rsidP="005A5255">
      <w:pPr>
        <w:suppressLineNumbers/>
        <w:spacing w:line="480" w:lineRule="auto"/>
        <w:jc w:val="both"/>
        <w:rPr>
          <w:lang w:val="en-US"/>
        </w:rPr>
      </w:pPr>
    </w:p>
    <w:p w14:paraId="12CFE090" w14:textId="77777777" w:rsidR="005A5255" w:rsidRPr="000A3698" w:rsidRDefault="005A5255" w:rsidP="005A5255">
      <w:pPr>
        <w:suppressLineNumbers/>
        <w:spacing w:line="480" w:lineRule="auto"/>
        <w:jc w:val="both"/>
        <w:rPr>
          <w:lang w:val="en-US"/>
        </w:rPr>
      </w:pPr>
    </w:p>
    <w:p w14:paraId="51AAA201" w14:textId="77777777" w:rsidR="005A5255" w:rsidRDefault="005A5255" w:rsidP="005A5255">
      <w:pPr>
        <w:suppressLineNumbers/>
        <w:spacing w:line="240" w:lineRule="auto"/>
        <w:jc w:val="both"/>
        <w:rPr>
          <w:b/>
        </w:rPr>
      </w:pPr>
      <w:r>
        <w:rPr>
          <w:b/>
        </w:rPr>
        <w:t>Additional Table 1. Sequence of primers used for quantitative RT-PCR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2265"/>
        <w:gridCol w:w="2266"/>
        <w:gridCol w:w="4536"/>
      </w:tblGrid>
      <w:tr w:rsidR="005A5255" w14:paraId="667D08CF" w14:textId="77777777" w:rsidTr="00B818DE">
        <w:tc>
          <w:tcPr>
            <w:tcW w:w="2265" w:type="dxa"/>
          </w:tcPr>
          <w:p w14:paraId="1A15EFB6" w14:textId="77777777" w:rsidR="005A5255" w:rsidRDefault="005A5255" w:rsidP="00B818DE">
            <w:pPr>
              <w:suppressLineNumbers/>
              <w:jc w:val="both"/>
              <w:rPr>
                <w:b/>
              </w:rPr>
            </w:pPr>
            <w:r>
              <w:rPr>
                <w:b/>
              </w:rPr>
              <w:t>Genes</w:t>
            </w:r>
          </w:p>
        </w:tc>
        <w:tc>
          <w:tcPr>
            <w:tcW w:w="2266" w:type="dxa"/>
          </w:tcPr>
          <w:p w14:paraId="5699C972" w14:textId="77777777" w:rsidR="005A5255" w:rsidRDefault="005A5255" w:rsidP="00B818DE">
            <w:pPr>
              <w:suppressLineNumbers/>
              <w:jc w:val="both"/>
              <w:rPr>
                <w:b/>
              </w:rPr>
            </w:pPr>
          </w:p>
        </w:tc>
        <w:tc>
          <w:tcPr>
            <w:tcW w:w="4536" w:type="dxa"/>
          </w:tcPr>
          <w:p w14:paraId="64D1FA52" w14:textId="77777777" w:rsidR="005A5255" w:rsidRDefault="005A5255" w:rsidP="00B818DE">
            <w:pPr>
              <w:suppressLineNumbers/>
              <w:jc w:val="both"/>
              <w:rPr>
                <w:b/>
              </w:rPr>
            </w:pPr>
            <w:r>
              <w:rPr>
                <w:b/>
              </w:rPr>
              <w:t>Primer sequences</w:t>
            </w:r>
          </w:p>
        </w:tc>
      </w:tr>
      <w:tr w:rsidR="005A5255" w14:paraId="50A3FC9A" w14:textId="77777777" w:rsidTr="00B818DE">
        <w:tc>
          <w:tcPr>
            <w:tcW w:w="2265" w:type="dxa"/>
            <w:vMerge w:val="restart"/>
          </w:tcPr>
          <w:p w14:paraId="65C7D20D" w14:textId="77777777" w:rsidR="005A5255" w:rsidRPr="00296444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GAPDH</w:t>
            </w:r>
          </w:p>
        </w:tc>
        <w:tc>
          <w:tcPr>
            <w:tcW w:w="2266" w:type="dxa"/>
          </w:tcPr>
          <w:p w14:paraId="3DD2294B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 w:rsidRPr="003F0B6D">
              <w:rPr>
                <w:bCs/>
              </w:rPr>
              <w:t>Forward</w:t>
            </w:r>
          </w:p>
        </w:tc>
        <w:tc>
          <w:tcPr>
            <w:tcW w:w="4536" w:type="dxa"/>
          </w:tcPr>
          <w:p w14:paraId="428703A7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 w:rsidRPr="003F0B6D">
              <w:rPr>
                <w:bCs/>
              </w:rPr>
              <w:t>5’-</w:t>
            </w:r>
            <w:r w:rsidRPr="006D7F62">
              <w:rPr>
                <w:color w:val="000000"/>
              </w:rPr>
              <w:t xml:space="preserve"> GCCTGGAGAAACCTGCCAAGTATGA</w:t>
            </w:r>
            <w:r>
              <w:rPr>
                <w:color w:val="000000"/>
              </w:rPr>
              <w:t>-3’</w:t>
            </w:r>
          </w:p>
        </w:tc>
      </w:tr>
      <w:tr w:rsidR="005A5255" w14:paraId="12BFE2ED" w14:textId="77777777" w:rsidTr="00B818DE">
        <w:tc>
          <w:tcPr>
            <w:tcW w:w="2265" w:type="dxa"/>
            <w:vMerge/>
          </w:tcPr>
          <w:p w14:paraId="3E1E7F1B" w14:textId="77777777" w:rsidR="005A5255" w:rsidRDefault="005A5255" w:rsidP="00B818DE">
            <w:pPr>
              <w:suppressLineNumbers/>
              <w:jc w:val="both"/>
              <w:rPr>
                <w:bCs/>
              </w:rPr>
            </w:pPr>
          </w:p>
        </w:tc>
        <w:tc>
          <w:tcPr>
            <w:tcW w:w="2266" w:type="dxa"/>
          </w:tcPr>
          <w:p w14:paraId="32FEFC83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 w:rsidRPr="003F0B6D">
              <w:rPr>
                <w:bCs/>
              </w:rPr>
              <w:t>Reverse</w:t>
            </w:r>
          </w:p>
        </w:tc>
        <w:tc>
          <w:tcPr>
            <w:tcW w:w="4536" w:type="dxa"/>
          </w:tcPr>
          <w:p w14:paraId="7B29EEED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5’-</w:t>
            </w:r>
            <w:r w:rsidRPr="006D7F62">
              <w:rPr>
                <w:color w:val="000000"/>
              </w:rPr>
              <w:t xml:space="preserve"> AACCTGGTCCTCAGTGTAGCCC</w:t>
            </w:r>
            <w:r>
              <w:rPr>
                <w:color w:val="000000"/>
              </w:rPr>
              <w:t>-5’</w:t>
            </w:r>
          </w:p>
        </w:tc>
      </w:tr>
      <w:tr w:rsidR="005A5255" w14:paraId="442A77A3" w14:textId="77777777" w:rsidTr="00B818DE">
        <w:tc>
          <w:tcPr>
            <w:tcW w:w="2265" w:type="dxa"/>
            <w:vMerge w:val="restart"/>
          </w:tcPr>
          <w:p w14:paraId="66715611" w14:textId="77777777" w:rsidR="005A5255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IL6</w:t>
            </w:r>
          </w:p>
        </w:tc>
        <w:tc>
          <w:tcPr>
            <w:tcW w:w="2266" w:type="dxa"/>
          </w:tcPr>
          <w:p w14:paraId="24FFBE51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 w:rsidRPr="003F0B6D">
              <w:rPr>
                <w:bCs/>
              </w:rPr>
              <w:t>Forward</w:t>
            </w:r>
          </w:p>
        </w:tc>
        <w:tc>
          <w:tcPr>
            <w:tcW w:w="4536" w:type="dxa"/>
          </w:tcPr>
          <w:p w14:paraId="0234F1BC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5’-</w:t>
            </w:r>
            <w:r>
              <w:rPr>
                <w:color w:val="000000"/>
              </w:rPr>
              <w:t>GCTACCAAACTGGATATAATCAGGA-3’</w:t>
            </w:r>
          </w:p>
        </w:tc>
      </w:tr>
      <w:tr w:rsidR="005A5255" w14:paraId="6405BF48" w14:textId="77777777" w:rsidTr="00B818DE">
        <w:tc>
          <w:tcPr>
            <w:tcW w:w="2265" w:type="dxa"/>
            <w:vMerge/>
          </w:tcPr>
          <w:p w14:paraId="2C3C86DA" w14:textId="77777777" w:rsidR="005A5255" w:rsidRDefault="005A5255" w:rsidP="00B818DE">
            <w:pPr>
              <w:suppressLineNumbers/>
              <w:jc w:val="both"/>
              <w:rPr>
                <w:bCs/>
              </w:rPr>
            </w:pPr>
          </w:p>
        </w:tc>
        <w:tc>
          <w:tcPr>
            <w:tcW w:w="2266" w:type="dxa"/>
          </w:tcPr>
          <w:p w14:paraId="290E337C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 w:rsidRPr="003F0B6D">
              <w:rPr>
                <w:bCs/>
              </w:rPr>
              <w:t>Reverse</w:t>
            </w:r>
          </w:p>
        </w:tc>
        <w:tc>
          <w:tcPr>
            <w:tcW w:w="4536" w:type="dxa"/>
          </w:tcPr>
          <w:p w14:paraId="20D9F12B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5’-</w:t>
            </w:r>
            <w:r>
              <w:rPr>
                <w:color w:val="000000"/>
              </w:rPr>
              <w:t>CCAGGTAGCTATGGTACTCCAGAA-3’</w:t>
            </w:r>
          </w:p>
        </w:tc>
      </w:tr>
      <w:tr w:rsidR="005A5255" w14:paraId="49D6D50D" w14:textId="77777777" w:rsidTr="00B818DE">
        <w:tc>
          <w:tcPr>
            <w:tcW w:w="2265" w:type="dxa"/>
            <w:vMerge w:val="restart"/>
          </w:tcPr>
          <w:p w14:paraId="4B8823FE" w14:textId="77777777" w:rsidR="005A5255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MCP-1</w:t>
            </w:r>
          </w:p>
        </w:tc>
        <w:tc>
          <w:tcPr>
            <w:tcW w:w="2266" w:type="dxa"/>
          </w:tcPr>
          <w:p w14:paraId="40D9A442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 w:rsidRPr="003F0B6D">
              <w:rPr>
                <w:bCs/>
              </w:rPr>
              <w:t>Forward</w:t>
            </w:r>
          </w:p>
        </w:tc>
        <w:tc>
          <w:tcPr>
            <w:tcW w:w="4536" w:type="dxa"/>
          </w:tcPr>
          <w:p w14:paraId="787F61C6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5’-</w:t>
            </w:r>
            <w:r>
              <w:rPr>
                <w:color w:val="000000"/>
              </w:rPr>
              <w:t>GTGTTGGCTCAGCCAGATGC-3’</w:t>
            </w:r>
          </w:p>
        </w:tc>
      </w:tr>
      <w:tr w:rsidR="005A5255" w14:paraId="58C02AC4" w14:textId="77777777" w:rsidTr="00B818DE">
        <w:tc>
          <w:tcPr>
            <w:tcW w:w="2265" w:type="dxa"/>
            <w:vMerge/>
          </w:tcPr>
          <w:p w14:paraId="51B831C2" w14:textId="77777777" w:rsidR="005A5255" w:rsidRDefault="005A5255" w:rsidP="00B818DE">
            <w:pPr>
              <w:suppressLineNumbers/>
              <w:jc w:val="both"/>
              <w:rPr>
                <w:bCs/>
              </w:rPr>
            </w:pPr>
          </w:p>
        </w:tc>
        <w:tc>
          <w:tcPr>
            <w:tcW w:w="2266" w:type="dxa"/>
          </w:tcPr>
          <w:p w14:paraId="2259B7BF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 w:rsidRPr="003F0B6D">
              <w:rPr>
                <w:bCs/>
              </w:rPr>
              <w:t>Reverse</w:t>
            </w:r>
          </w:p>
        </w:tc>
        <w:tc>
          <w:tcPr>
            <w:tcW w:w="4536" w:type="dxa"/>
          </w:tcPr>
          <w:p w14:paraId="66EACCD0" w14:textId="77777777" w:rsidR="005A5255" w:rsidRPr="003F0B6D" w:rsidRDefault="005A5255" w:rsidP="00B818DE">
            <w:pPr>
              <w:suppressLineNumbers/>
              <w:jc w:val="both"/>
              <w:rPr>
                <w:bCs/>
              </w:rPr>
            </w:pPr>
            <w:r>
              <w:rPr>
                <w:bCs/>
              </w:rPr>
              <w:t>5’-</w:t>
            </w:r>
            <w:r>
              <w:rPr>
                <w:color w:val="000000"/>
              </w:rPr>
              <w:t>GACACCTGCTGCTGGTGATCC-3’</w:t>
            </w:r>
          </w:p>
        </w:tc>
      </w:tr>
    </w:tbl>
    <w:p w14:paraId="5F358DEC" w14:textId="77777777" w:rsidR="005A5255" w:rsidRPr="000A3698" w:rsidRDefault="005A5255" w:rsidP="005A5255">
      <w:pPr>
        <w:suppressLineNumbers/>
        <w:spacing w:line="240" w:lineRule="auto"/>
        <w:jc w:val="both"/>
        <w:rPr>
          <w:bCs/>
          <w:lang w:val="fr-BE"/>
        </w:rPr>
      </w:pPr>
      <w:proofErr w:type="gramStart"/>
      <w:r w:rsidRPr="000A3698">
        <w:rPr>
          <w:bCs/>
          <w:lang w:val="fr-BE"/>
        </w:rPr>
        <w:t>GAPDH:</w:t>
      </w:r>
      <w:proofErr w:type="gramEnd"/>
      <w:r w:rsidRPr="000A3698">
        <w:rPr>
          <w:bCs/>
          <w:lang w:val="fr-BE"/>
        </w:rPr>
        <w:t xml:space="preserve"> Glyceraldehyde-3-phosphate dehydrogenase; IL6: Interleukin 6; MCP-1: Monocyte chemoattractant protein-1.</w:t>
      </w:r>
    </w:p>
    <w:p w14:paraId="24928614" w14:textId="77777777" w:rsidR="005A5255" w:rsidRDefault="005A5255" w:rsidP="005A5255">
      <w:pPr>
        <w:suppressLineNumbers/>
        <w:spacing w:line="240" w:lineRule="auto"/>
        <w:jc w:val="both"/>
      </w:pPr>
      <w:r>
        <w:rPr>
          <w:b/>
        </w:rPr>
        <w:t>Additional Table 2. Baseline characteristics.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693"/>
        <w:gridCol w:w="2552"/>
        <w:gridCol w:w="1270"/>
      </w:tblGrid>
      <w:tr w:rsidR="005A5255" w:rsidRPr="005A5255" w14:paraId="4529233E" w14:textId="77777777" w:rsidTr="00B818DE">
        <w:tc>
          <w:tcPr>
            <w:tcW w:w="2547" w:type="dxa"/>
          </w:tcPr>
          <w:p w14:paraId="242E83F6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</w:p>
        </w:tc>
        <w:tc>
          <w:tcPr>
            <w:tcW w:w="2693" w:type="dxa"/>
          </w:tcPr>
          <w:p w14:paraId="27892DEA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Controls (n=19)</w:t>
            </w:r>
          </w:p>
        </w:tc>
        <w:tc>
          <w:tcPr>
            <w:tcW w:w="2552" w:type="dxa"/>
          </w:tcPr>
          <w:p w14:paraId="54B330AA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IPF patients (n=29)</w:t>
            </w:r>
          </w:p>
        </w:tc>
        <w:tc>
          <w:tcPr>
            <w:tcW w:w="1270" w:type="dxa"/>
          </w:tcPr>
          <w:p w14:paraId="795ECE9C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p-value</w:t>
            </w:r>
          </w:p>
        </w:tc>
      </w:tr>
      <w:tr w:rsidR="005A5255" w:rsidRPr="005A5255" w14:paraId="4308A043" w14:textId="77777777" w:rsidTr="00B818DE">
        <w:tc>
          <w:tcPr>
            <w:tcW w:w="2547" w:type="dxa"/>
          </w:tcPr>
          <w:p w14:paraId="5639E301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Age (years)</w:t>
            </w:r>
          </w:p>
        </w:tc>
        <w:tc>
          <w:tcPr>
            <w:tcW w:w="2693" w:type="dxa"/>
          </w:tcPr>
          <w:p w14:paraId="05C68345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56.2 ± 12.5</w:t>
            </w:r>
          </w:p>
        </w:tc>
        <w:tc>
          <w:tcPr>
            <w:tcW w:w="2552" w:type="dxa"/>
          </w:tcPr>
          <w:p w14:paraId="2BA6A2BE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68.5 ± 9.5</w:t>
            </w:r>
          </w:p>
        </w:tc>
        <w:tc>
          <w:tcPr>
            <w:tcW w:w="1270" w:type="dxa"/>
          </w:tcPr>
          <w:p w14:paraId="32BE211A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0.0003</w:t>
            </w:r>
          </w:p>
        </w:tc>
      </w:tr>
      <w:tr w:rsidR="005A5255" w:rsidRPr="005A5255" w14:paraId="13F02195" w14:textId="77777777" w:rsidTr="00B818DE">
        <w:tc>
          <w:tcPr>
            <w:tcW w:w="2547" w:type="dxa"/>
          </w:tcPr>
          <w:p w14:paraId="3CF8FE8F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Gender (M/F)</w:t>
            </w:r>
          </w:p>
        </w:tc>
        <w:tc>
          <w:tcPr>
            <w:tcW w:w="2693" w:type="dxa"/>
          </w:tcPr>
          <w:p w14:paraId="374A9415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11/8</w:t>
            </w:r>
          </w:p>
        </w:tc>
        <w:tc>
          <w:tcPr>
            <w:tcW w:w="2552" w:type="dxa"/>
          </w:tcPr>
          <w:p w14:paraId="431FC531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23/6</w:t>
            </w:r>
          </w:p>
        </w:tc>
        <w:tc>
          <w:tcPr>
            <w:tcW w:w="1270" w:type="dxa"/>
          </w:tcPr>
          <w:p w14:paraId="34DCC14B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0.1931</w:t>
            </w:r>
          </w:p>
        </w:tc>
      </w:tr>
      <w:tr w:rsidR="005A5255" w:rsidRPr="005A5255" w14:paraId="37D29B43" w14:textId="77777777" w:rsidTr="00B818DE">
        <w:tc>
          <w:tcPr>
            <w:tcW w:w="2547" w:type="dxa"/>
          </w:tcPr>
          <w:p w14:paraId="7E45019B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Hypertension n (%)</w:t>
            </w:r>
          </w:p>
        </w:tc>
        <w:tc>
          <w:tcPr>
            <w:tcW w:w="2693" w:type="dxa"/>
          </w:tcPr>
          <w:p w14:paraId="385B8527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13 (68.4)</w:t>
            </w:r>
          </w:p>
        </w:tc>
        <w:tc>
          <w:tcPr>
            <w:tcW w:w="2552" w:type="dxa"/>
          </w:tcPr>
          <w:p w14:paraId="2A100E19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9 (31.0)</w:t>
            </w:r>
          </w:p>
        </w:tc>
        <w:tc>
          <w:tcPr>
            <w:tcW w:w="1270" w:type="dxa"/>
          </w:tcPr>
          <w:p w14:paraId="44F9A242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0.0177</w:t>
            </w:r>
          </w:p>
        </w:tc>
      </w:tr>
      <w:tr w:rsidR="005A5255" w:rsidRPr="005A5255" w14:paraId="763E0343" w14:textId="77777777" w:rsidTr="00B818DE">
        <w:tc>
          <w:tcPr>
            <w:tcW w:w="2547" w:type="dxa"/>
          </w:tcPr>
          <w:p w14:paraId="259B38A7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Diabetes n (%)</w:t>
            </w:r>
          </w:p>
        </w:tc>
        <w:tc>
          <w:tcPr>
            <w:tcW w:w="2693" w:type="dxa"/>
          </w:tcPr>
          <w:p w14:paraId="4ED913F1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1 (5.3)</w:t>
            </w:r>
          </w:p>
        </w:tc>
        <w:tc>
          <w:tcPr>
            <w:tcW w:w="2552" w:type="dxa"/>
          </w:tcPr>
          <w:p w14:paraId="78DEE402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4 (13.8)</w:t>
            </w:r>
          </w:p>
        </w:tc>
        <w:tc>
          <w:tcPr>
            <w:tcW w:w="1270" w:type="dxa"/>
          </w:tcPr>
          <w:p w14:paraId="19DE0A4E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0.6351</w:t>
            </w:r>
          </w:p>
        </w:tc>
      </w:tr>
      <w:tr w:rsidR="005A5255" w:rsidRPr="005A5255" w14:paraId="06D733C1" w14:textId="77777777" w:rsidTr="00B818DE">
        <w:tc>
          <w:tcPr>
            <w:tcW w:w="2547" w:type="dxa"/>
          </w:tcPr>
          <w:p w14:paraId="441012A2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BMI (kg/m²)</w:t>
            </w:r>
          </w:p>
        </w:tc>
        <w:tc>
          <w:tcPr>
            <w:tcW w:w="2693" w:type="dxa"/>
          </w:tcPr>
          <w:p w14:paraId="37A79CE8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26.1 ± 4.9</w:t>
            </w:r>
          </w:p>
        </w:tc>
        <w:tc>
          <w:tcPr>
            <w:tcW w:w="2552" w:type="dxa"/>
          </w:tcPr>
          <w:p w14:paraId="343B31C5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 xml:space="preserve">26.8 </w:t>
            </w:r>
            <w:bookmarkStart w:id="0" w:name="bookmark=id.2et92p0" w:colFirst="0" w:colLast="0"/>
            <w:bookmarkEnd w:id="0"/>
            <w:r w:rsidRPr="005A5255">
              <w:t>± 4.4</w:t>
            </w:r>
          </w:p>
        </w:tc>
        <w:tc>
          <w:tcPr>
            <w:tcW w:w="1270" w:type="dxa"/>
          </w:tcPr>
          <w:p w14:paraId="5DF122F7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0.5924</w:t>
            </w:r>
          </w:p>
        </w:tc>
      </w:tr>
      <w:tr w:rsidR="005A5255" w:rsidRPr="005A5255" w14:paraId="2A492AD0" w14:textId="77777777" w:rsidTr="00B818DE">
        <w:tc>
          <w:tcPr>
            <w:tcW w:w="2547" w:type="dxa"/>
          </w:tcPr>
          <w:p w14:paraId="08E9144F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Tobacco (no/yes/former)</w:t>
            </w:r>
          </w:p>
        </w:tc>
        <w:tc>
          <w:tcPr>
            <w:tcW w:w="2693" w:type="dxa"/>
          </w:tcPr>
          <w:p w14:paraId="70BCE015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3/3/12</w:t>
            </w:r>
          </w:p>
        </w:tc>
        <w:tc>
          <w:tcPr>
            <w:tcW w:w="2552" w:type="dxa"/>
          </w:tcPr>
          <w:p w14:paraId="18ED671D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4/3/20</w:t>
            </w:r>
          </w:p>
        </w:tc>
        <w:tc>
          <w:tcPr>
            <w:tcW w:w="1270" w:type="dxa"/>
          </w:tcPr>
          <w:p w14:paraId="66998326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0.8365</w:t>
            </w:r>
          </w:p>
        </w:tc>
      </w:tr>
      <w:tr w:rsidR="005A5255" w:rsidRPr="005A5255" w14:paraId="7D32B08F" w14:textId="77777777" w:rsidTr="00B818DE">
        <w:tc>
          <w:tcPr>
            <w:tcW w:w="2547" w:type="dxa"/>
          </w:tcPr>
          <w:p w14:paraId="53FC3784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FVC (L)</w:t>
            </w:r>
          </w:p>
        </w:tc>
        <w:tc>
          <w:tcPr>
            <w:tcW w:w="2693" w:type="dxa"/>
          </w:tcPr>
          <w:p w14:paraId="0DEAA783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2.90 ± 0.89</w:t>
            </w:r>
          </w:p>
        </w:tc>
        <w:tc>
          <w:tcPr>
            <w:tcW w:w="2552" w:type="dxa"/>
          </w:tcPr>
          <w:p w14:paraId="7E28F6EC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2.95 ± 0.94</w:t>
            </w:r>
          </w:p>
        </w:tc>
        <w:tc>
          <w:tcPr>
            <w:tcW w:w="1270" w:type="dxa"/>
          </w:tcPr>
          <w:p w14:paraId="0495ADA1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0.8695</w:t>
            </w:r>
          </w:p>
        </w:tc>
      </w:tr>
      <w:tr w:rsidR="005A5255" w:rsidRPr="005A5255" w14:paraId="5CF2A596" w14:textId="77777777" w:rsidTr="00B818DE">
        <w:tc>
          <w:tcPr>
            <w:tcW w:w="2547" w:type="dxa"/>
          </w:tcPr>
          <w:p w14:paraId="1CAC4B32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Predicted FVC (%)</w:t>
            </w:r>
          </w:p>
        </w:tc>
        <w:tc>
          <w:tcPr>
            <w:tcW w:w="2693" w:type="dxa"/>
          </w:tcPr>
          <w:p w14:paraId="18CD90B6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84.11 ± 25.30</w:t>
            </w:r>
          </w:p>
        </w:tc>
        <w:tc>
          <w:tcPr>
            <w:tcW w:w="2552" w:type="dxa"/>
          </w:tcPr>
          <w:p w14:paraId="21355DE7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83.46 ± 18.00</w:t>
            </w:r>
          </w:p>
        </w:tc>
        <w:tc>
          <w:tcPr>
            <w:tcW w:w="1270" w:type="dxa"/>
          </w:tcPr>
          <w:p w14:paraId="17601AD9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0.9211</w:t>
            </w:r>
          </w:p>
        </w:tc>
      </w:tr>
      <w:tr w:rsidR="005A5255" w:rsidRPr="005A5255" w14:paraId="1EA00CFC" w14:textId="77777777" w:rsidTr="00B818DE">
        <w:tc>
          <w:tcPr>
            <w:tcW w:w="2547" w:type="dxa"/>
          </w:tcPr>
          <w:p w14:paraId="63C75284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DLCO (ml/min/mmHg)</w:t>
            </w:r>
          </w:p>
        </w:tc>
        <w:tc>
          <w:tcPr>
            <w:tcW w:w="2693" w:type="dxa"/>
          </w:tcPr>
          <w:p w14:paraId="70B588C9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16.78 (7.49-20.21)</w:t>
            </w:r>
          </w:p>
        </w:tc>
        <w:tc>
          <w:tcPr>
            <w:tcW w:w="2552" w:type="dxa"/>
          </w:tcPr>
          <w:p w14:paraId="7F4D8A5E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11.34 (9.46-14.12)</w:t>
            </w:r>
          </w:p>
        </w:tc>
        <w:tc>
          <w:tcPr>
            <w:tcW w:w="1270" w:type="dxa"/>
          </w:tcPr>
          <w:p w14:paraId="5CC22205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0.2213</w:t>
            </w:r>
          </w:p>
        </w:tc>
      </w:tr>
      <w:tr w:rsidR="005A5255" w:rsidRPr="005A5255" w14:paraId="77DAA7F3" w14:textId="77777777" w:rsidTr="00B818DE">
        <w:tc>
          <w:tcPr>
            <w:tcW w:w="2547" w:type="dxa"/>
          </w:tcPr>
          <w:p w14:paraId="7D1ED9FD" w14:textId="77777777" w:rsidR="005A5255" w:rsidRPr="005A5255" w:rsidRDefault="005A5255" w:rsidP="00B818DE">
            <w:pPr>
              <w:suppressLineNumbers/>
              <w:jc w:val="both"/>
              <w:rPr>
                <w:b/>
              </w:rPr>
            </w:pPr>
            <w:r w:rsidRPr="005A5255">
              <w:rPr>
                <w:b/>
              </w:rPr>
              <w:t>Predicted DLCO (%)</w:t>
            </w:r>
          </w:p>
        </w:tc>
        <w:tc>
          <w:tcPr>
            <w:tcW w:w="2693" w:type="dxa"/>
          </w:tcPr>
          <w:p w14:paraId="239DB2D4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60.00 (33.00-81.00)</w:t>
            </w:r>
          </w:p>
        </w:tc>
        <w:tc>
          <w:tcPr>
            <w:tcW w:w="2552" w:type="dxa"/>
          </w:tcPr>
          <w:p w14:paraId="73E2227D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51.50 (40.00-58.00)</w:t>
            </w:r>
          </w:p>
        </w:tc>
        <w:tc>
          <w:tcPr>
            <w:tcW w:w="1270" w:type="dxa"/>
          </w:tcPr>
          <w:p w14:paraId="45520D72" w14:textId="77777777" w:rsidR="005A5255" w:rsidRPr="005A5255" w:rsidRDefault="005A5255" w:rsidP="00B818DE">
            <w:pPr>
              <w:suppressLineNumbers/>
              <w:jc w:val="both"/>
            </w:pPr>
            <w:r w:rsidRPr="005A5255">
              <w:t>0.1862</w:t>
            </w:r>
          </w:p>
        </w:tc>
      </w:tr>
    </w:tbl>
    <w:p w14:paraId="1A6A17CE" w14:textId="77777777" w:rsidR="005A5255" w:rsidRDefault="005A5255" w:rsidP="005A5255">
      <w:pPr>
        <w:suppressLineNumbers/>
        <w:spacing w:line="240" w:lineRule="auto"/>
        <w:jc w:val="both"/>
      </w:pPr>
      <w:r>
        <w:t>Data are presented as mean ± Standard deviation or median (Confidence interval 95%). BMI: body mass index. Statistical analysis was performed using t-test for non-categorical variables. Fisher’s exact test was applied for categorical variables or Chi-square test if more than 2 categorical variables. Bold p-value indicate a significant difference.</w:t>
      </w:r>
    </w:p>
    <w:p w14:paraId="5831D292" w14:textId="77777777" w:rsidR="005A5255" w:rsidRDefault="005A5255"/>
    <w:sectPr w:rsidR="005A5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55"/>
    <w:rsid w:val="005A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BE2F"/>
  <w15:chartTrackingRefBased/>
  <w15:docId w15:val="{8DD8BDB7-EF6D-4A0B-93C8-CAED8E88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55"/>
    <w:rPr>
      <w:rFonts w:ascii="Calibri" w:eastAsia="Calibri" w:hAnsi="Calibri" w:cs="Calibri"/>
      <w:kern w:val="0"/>
      <w:lang w:val="en-GB" w:eastAsia="fr-BE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5255"/>
    <w:pPr>
      <w:spacing w:after="0" w:line="240" w:lineRule="auto"/>
    </w:pPr>
    <w:rPr>
      <w:rFonts w:ascii="Calibri" w:eastAsia="Calibri" w:hAnsi="Calibri" w:cs="Calibri"/>
      <w:kern w:val="0"/>
      <w:lang w:val="en-GB" w:eastAsia="fr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Lavis Philomène</dc:creator>
  <cp:keywords/>
  <dc:description/>
  <cp:lastModifiedBy>Lavis Philomène</cp:lastModifiedBy>
  <cp:revision>1</cp:revision>
  <dcterms:created xsi:type="dcterms:W3CDTF">2023-07-18T13:10:00Z</dcterms:created>
  <dcterms:modified xsi:type="dcterms:W3CDTF">2023-07-18T13:12:00Z</dcterms:modified>
</cp:coreProperties>
</file>