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890" w:rsidRDefault="00DC0890" w:rsidP="00DC0890">
      <w:pPr>
        <w:rPr>
          <w:rFonts w:ascii="Times New Roman" w:hAnsi="Times New Roman" w:cs="Times New Roman"/>
          <w:b/>
          <w:bCs/>
        </w:rPr>
      </w:pPr>
    </w:p>
    <w:p w:rsidR="00DC0890" w:rsidRPr="008C0639" w:rsidRDefault="00DC0890" w:rsidP="00DC0890">
      <w:pPr>
        <w:rPr>
          <w:rFonts w:ascii="Times New Roman" w:hAnsi="Times New Roman" w:cs="Times New Roman"/>
        </w:rPr>
      </w:pPr>
      <w:r w:rsidRPr="008C0639">
        <w:rPr>
          <w:rFonts w:ascii="Times New Roman" w:hAnsi="Times New Roman" w:cs="Times New Roman"/>
          <w:b/>
          <w:bCs/>
        </w:rPr>
        <w:t>Supplementary material</w:t>
      </w:r>
    </w:p>
    <w:p w:rsidR="00DC0890" w:rsidRPr="008C0639" w:rsidRDefault="00DC0890" w:rsidP="00DC0890">
      <w:pPr>
        <w:spacing w:line="480" w:lineRule="auto"/>
        <w:rPr>
          <w:rFonts w:ascii="Times New Roman" w:hAnsi="Times New Roman" w:cs="Times New Roman"/>
        </w:rPr>
      </w:pPr>
      <w:r w:rsidRPr="008C0639">
        <w:rPr>
          <w:rFonts w:ascii="Times New Roman" w:hAnsi="Times New Roman" w:cs="Times New Roman"/>
          <w:b/>
          <w:bCs/>
        </w:rPr>
        <w:t>Supplementary file</w:t>
      </w:r>
      <w:r>
        <w:rPr>
          <w:rFonts w:ascii="Times New Roman" w:hAnsi="Times New Roman" w:cs="Times New Roman"/>
          <w:b/>
          <w:bCs/>
        </w:rPr>
        <w:t xml:space="preserve"> 1</w:t>
      </w:r>
      <w:r w:rsidRPr="008C0639">
        <w:rPr>
          <w:rFonts w:ascii="Times New Roman" w:hAnsi="Times New Roman" w:cs="Times New Roman"/>
          <w:b/>
          <w:bCs/>
        </w:rPr>
        <w:t>:</w:t>
      </w:r>
      <w:r w:rsidRPr="008C0639">
        <w:rPr>
          <w:rFonts w:ascii="Times New Roman" w:hAnsi="Times New Roman" w:cs="Times New Roman"/>
        </w:rPr>
        <w:t xml:space="preserve"> Search strategy for intragastric balloon hyperinflation</w:t>
      </w:r>
    </w:p>
    <w:p w:rsidR="00DC0890" w:rsidRPr="008C0639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3572"/>
        </w:rPr>
      </w:pPr>
      <w:r w:rsidRPr="008C063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Database(s):</w:t>
      </w:r>
      <w:r w:rsidRPr="008C0639">
        <w:rPr>
          <w:rFonts w:ascii="Times New Roman" w:eastAsia="Times New Roman" w:hAnsi="Times New Roman" w:cs="Times New Roman"/>
          <w:bdr w:val="none" w:sz="0" w:space="0" w:color="auto" w:frame="1"/>
        </w:rPr>
        <w:t xml:space="preserve"> Online databases searched</w:t>
      </w:r>
      <w:r w:rsidRPr="008C0639">
        <w:rPr>
          <w:rFonts w:ascii="Times New Roman" w:hAnsi="Times New Roman" w:cs="Times New Roman"/>
        </w:rPr>
        <w:t xml:space="preserve"> without any restriction of language from the inception of the database to February 10, 2021</w:t>
      </w:r>
      <w:r w:rsidRPr="008C0639">
        <w:rPr>
          <w:rFonts w:ascii="Times New Roman" w:eastAsia="Times New Roman" w:hAnsi="Times New Roman" w:cs="Times New Roman"/>
          <w:bdr w:val="none" w:sz="0" w:space="0" w:color="auto" w:frame="1"/>
        </w:rPr>
        <w:t>. PubMed, EMBASE, Cochrane Database, Medline (OVID)</w:t>
      </w:r>
      <w:r w:rsidR="00720FA1">
        <w:rPr>
          <w:rFonts w:ascii="Times New Roman" w:eastAsia="Times New Roman" w:hAnsi="Times New Roman" w:cs="Times New Roman"/>
          <w:bdr w:val="none" w:sz="0" w:space="0" w:color="auto" w:frame="1"/>
        </w:rPr>
        <w:t>,</w:t>
      </w:r>
      <w:r w:rsidRPr="008C0639">
        <w:rPr>
          <w:rFonts w:ascii="Times New Roman" w:eastAsia="Times New Roman" w:hAnsi="Times New Roman" w:cs="Times New Roman"/>
          <w:bdr w:val="none" w:sz="0" w:space="0" w:color="auto" w:frame="1"/>
        </w:rPr>
        <w:t xml:space="preserve"> Medline (EBSCO)</w:t>
      </w:r>
      <w:r w:rsidR="00720FA1">
        <w:rPr>
          <w:rFonts w:ascii="Times New Roman" w:eastAsia="Times New Roman" w:hAnsi="Times New Roman" w:cs="Times New Roman"/>
          <w:bdr w:val="none" w:sz="0" w:space="0" w:color="auto" w:frame="1"/>
        </w:rPr>
        <w:t>,</w:t>
      </w:r>
      <w:r w:rsidRPr="008C0639">
        <w:rPr>
          <w:rFonts w:ascii="Times New Roman" w:eastAsia="Times New Roman" w:hAnsi="Times New Roman" w:cs="Times New Roman"/>
          <w:bdr w:val="none" w:sz="0" w:space="0" w:color="auto" w:frame="1"/>
        </w:rPr>
        <w:t xml:space="preserve"> Trip Pro Database</w:t>
      </w:r>
      <w:r w:rsidRPr="008C0639">
        <w:rPr>
          <w:rFonts w:ascii="Times New Roman" w:eastAsia="Times New Roman" w:hAnsi="Times New Roman" w:cs="Times New Roman"/>
          <w:color w:val="003572"/>
        </w:rPr>
        <w:t xml:space="preserve">, </w:t>
      </w:r>
      <w:r w:rsidRPr="008C0639">
        <w:rPr>
          <w:rFonts w:ascii="Times New Roman" w:eastAsia="Times New Roman" w:hAnsi="Times New Roman" w:cs="Times New Roman"/>
          <w:bdr w:val="none" w:sz="0" w:space="0" w:color="auto" w:frame="1"/>
        </w:rPr>
        <w:t xml:space="preserve">Google Scholar, "gray literature"-government reports, </w:t>
      </w:r>
      <w:r w:rsidR="00720FA1">
        <w:rPr>
          <w:rFonts w:ascii="Times New Roman" w:eastAsia="Times New Roman" w:hAnsi="Times New Roman" w:cs="Times New Roman"/>
          <w:bdr w:val="none" w:sz="0" w:space="0" w:color="auto" w:frame="1"/>
        </w:rPr>
        <w:t xml:space="preserve">and </w:t>
      </w:r>
      <w:r w:rsidRPr="008C0639">
        <w:rPr>
          <w:rFonts w:ascii="Times New Roman" w:eastAsia="Times New Roman" w:hAnsi="Times New Roman" w:cs="Times New Roman"/>
          <w:bdr w:val="none" w:sz="0" w:space="0" w:color="auto" w:frame="1"/>
        </w:rPr>
        <w:t xml:space="preserve">conference proceedings. Hand searched retrieved articles bibliography lists and relevant journals. </w:t>
      </w: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C0890" w:rsidRPr="008C0639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3572"/>
        </w:rPr>
      </w:pPr>
      <w:r w:rsidRPr="008C063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Search Terms:</w:t>
      </w:r>
      <w:r w:rsidRPr="008C0639">
        <w:rPr>
          <w:rFonts w:ascii="Times New Roman" w:eastAsia="Times New Roman" w:hAnsi="Times New Roman" w:cs="Times New Roman"/>
          <w:color w:val="003572"/>
        </w:rPr>
        <w:t> </w:t>
      </w:r>
      <w:r w:rsidRPr="008C0639">
        <w:rPr>
          <w:rFonts w:ascii="Times New Roman" w:eastAsia="Times New Roman" w:hAnsi="Times New Roman" w:cs="Times New Roman"/>
          <w:bdr w:val="none" w:sz="0" w:space="0" w:color="auto" w:frame="1"/>
        </w:rPr>
        <w:t>"Gastric Balloon/adverse effects"[Majr] ("Equipment Failure"[Mesh]) OR "Equ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ipment Failure Analysis"[Mesh] , </w:t>
      </w:r>
      <w:r w:rsidRPr="008C0639">
        <w:rPr>
          <w:rFonts w:asciiTheme="majorBidi" w:eastAsia="Times New Roman" w:hAnsiTheme="majorBidi" w:cstheme="majorBidi"/>
          <w:bdr w:val="none" w:sz="0" w:space="0" w:color="auto" w:frame="1"/>
        </w:rPr>
        <w:t>('hyperinflation'/exp OR hyperinflation) AND ('gastric balloon'/exp OR 'gastric balloon') AND balloon AND hyperinflation</w:t>
      </w:r>
      <w:r>
        <w:rPr>
          <w:rFonts w:asciiTheme="majorBidi" w:eastAsia="Times New Roman" w:hAnsiTheme="majorBidi" w:cstheme="majorBidi"/>
          <w:bdr w:val="none" w:sz="0" w:space="0" w:color="auto" w:frame="1"/>
        </w:rPr>
        <w:t xml:space="preserve">, </w:t>
      </w:r>
      <w:r w:rsidRPr="008C0639">
        <w:rPr>
          <w:rFonts w:asciiTheme="majorBidi" w:eastAsia="Times New Roman" w:hAnsiTheme="majorBidi" w:cstheme="majorBidi"/>
          <w:bdr w:val="none" w:sz="0" w:space="0" w:color="auto" w:frame="1"/>
        </w:rPr>
        <w:t>'gastric balloon' AND 'hyperinflation'</w:t>
      </w:r>
      <w:r>
        <w:rPr>
          <w:rFonts w:asciiTheme="majorBidi" w:eastAsia="Times New Roman" w:hAnsiTheme="majorBidi" w:cstheme="majorBidi"/>
          <w:bdr w:val="none" w:sz="0" w:space="0" w:color="auto" w:frame="1"/>
        </w:rPr>
        <w:t xml:space="preserve">, </w:t>
      </w:r>
      <w:r w:rsidRPr="008C0639">
        <w:rPr>
          <w:rFonts w:asciiTheme="majorBidi" w:eastAsia="Times New Roman" w:hAnsiTheme="majorBidi" w:cstheme="majorBidi"/>
          <w:bdr w:val="none" w:sz="0" w:space="0" w:color="auto" w:frame="1"/>
        </w:rPr>
        <w:t>('hyperinflation'/exp OR hyperinflation) AND ('gastric balloon'/exp OR 'gastric balloon') AND balloon AND hyperinflation</w:t>
      </w:r>
      <w:r>
        <w:rPr>
          <w:rFonts w:asciiTheme="majorBidi" w:eastAsia="Times New Roman" w:hAnsiTheme="majorBidi" w:cstheme="majorBidi"/>
          <w:bdr w:val="none" w:sz="0" w:space="0" w:color="auto" w:frame="1"/>
        </w:rPr>
        <w:t>,</w:t>
      </w:r>
      <w:r w:rsidRPr="008C0639">
        <w:rPr>
          <w:rFonts w:ascii="Times New Roman" w:eastAsia="Times New Roman" w:hAnsi="Times New Roman" w:cs="Times New Roman"/>
          <w:bdr w:val="none" w:sz="0" w:space="0" w:color="auto" w:frame="1"/>
        </w:rPr>
        <w:t xml:space="preserve"> Intragastric balloon, IGB, gastric balloon</w:t>
      </w:r>
      <w:r w:rsidR="00720FA1">
        <w:rPr>
          <w:rFonts w:ascii="Times New Roman" w:eastAsia="Times New Roman" w:hAnsi="Times New Roman" w:cs="Times New Roman"/>
          <w:bdr w:val="none" w:sz="0" w:space="0" w:color="auto" w:frame="1"/>
        </w:rPr>
        <w:t>, contaminated, contamination, o</w:t>
      </w:r>
      <w:r w:rsidRPr="008C0639">
        <w:rPr>
          <w:rFonts w:ascii="Times New Roman" w:eastAsia="Times New Roman" w:hAnsi="Times New Roman" w:cs="Times New Roman"/>
          <w:bdr w:val="none" w:sz="0" w:space="0" w:color="auto" w:frame="1"/>
        </w:rPr>
        <w:t>besity, bariatric surgery, bariatric patients, weight loss, hyperinflation, spontaneous, balloon infection.</w:t>
      </w: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3572"/>
          <w:sz w:val="24"/>
          <w:szCs w:val="24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3572"/>
          <w:sz w:val="24"/>
          <w:szCs w:val="24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3572"/>
          <w:sz w:val="24"/>
          <w:szCs w:val="24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3572"/>
          <w:sz w:val="24"/>
          <w:szCs w:val="24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3572"/>
          <w:sz w:val="24"/>
          <w:szCs w:val="24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3572"/>
          <w:sz w:val="24"/>
          <w:szCs w:val="24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3572"/>
          <w:sz w:val="24"/>
          <w:szCs w:val="24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3572"/>
          <w:sz w:val="24"/>
          <w:szCs w:val="24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3572"/>
          <w:sz w:val="24"/>
          <w:szCs w:val="24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3572"/>
          <w:sz w:val="24"/>
          <w:szCs w:val="24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3572"/>
          <w:sz w:val="24"/>
          <w:szCs w:val="24"/>
        </w:rPr>
      </w:pPr>
    </w:p>
    <w:p w:rsidR="00DC0890" w:rsidRPr="008C0639" w:rsidRDefault="00DC0890" w:rsidP="00DC0890">
      <w:pPr>
        <w:spacing w:line="240" w:lineRule="auto"/>
        <w:jc w:val="center"/>
        <w:rPr>
          <w:rFonts w:asciiTheme="majorBidi" w:hAnsiTheme="majorBidi" w:cstheme="majorBidi"/>
          <w:b/>
          <w:bCs/>
          <w:color w:val="000000"/>
        </w:rPr>
      </w:pPr>
      <w:r w:rsidRPr="008C0639">
        <w:rPr>
          <w:rFonts w:asciiTheme="majorBidi" w:hAnsiTheme="majorBidi" w:cstheme="majorBidi"/>
          <w:b/>
          <w:bCs/>
          <w:color w:val="000000"/>
        </w:rPr>
        <w:t xml:space="preserve">Supplementary table 1: </w:t>
      </w:r>
      <w:r w:rsidRPr="008C0639">
        <w:rPr>
          <w:rFonts w:asciiTheme="majorBidi" w:hAnsiTheme="majorBidi" w:cstheme="majorBidi"/>
          <w:color w:val="000000"/>
        </w:rPr>
        <w:t xml:space="preserve">Tool for assessment of the methodological quality of case reports and case series (adapted from Murad </w:t>
      </w:r>
      <w:r w:rsidRPr="008C0639">
        <w:rPr>
          <w:rFonts w:asciiTheme="majorBidi" w:hAnsiTheme="majorBidi" w:cstheme="majorBidi"/>
          <w:i/>
          <w:iCs/>
          <w:color w:val="000000"/>
        </w:rPr>
        <w:t>et al</w:t>
      </w:r>
      <w:r w:rsidRPr="008C0639">
        <w:rPr>
          <w:rFonts w:asciiTheme="majorBidi" w:hAnsiTheme="majorBidi" w:cstheme="majorBidi"/>
          <w:color w:val="000000"/>
        </w:rPr>
        <w:t xml:space="preserve">. </w:t>
      </w:r>
      <w:r w:rsidRPr="008C0639">
        <w:rPr>
          <w:rFonts w:asciiTheme="majorBidi" w:hAnsiTheme="majorBidi" w:cstheme="majorBidi"/>
          <w:noProof/>
          <w:color w:val="000000"/>
        </w:rPr>
        <w:t>[1]</w:t>
      </w:r>
      <w:r w:rsidRPr="008C0639">
        <w:rPr>
          <w:rFonts w:asciiTheme="majorBidi" w:hAnsiTheme="majorBidi" w:cstheme="majorBidi"/>
          <w:color w:val="000000"/>
        </w:rPr>
        <w:t>)</w:t>
      </w:r>
    </w:p>
    <w:tbl>
      <w:tblPr>
        <w:tblStyle w:val="TableGrid"/>
        <w:tblW w:w="96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/>
      </w:tblPr>
      <w:tblGrid>
        <w:gridCol w:w="1824"/>
        <w:gridCol w:w="7824"/>
      </w:tblGrid>
      <w:tr w:rsidR="00DC0890" w:rsidRPr="00A872F4" w:rsidTr="00B4029E">
        <w:trPr>
          <w:trHeight w:val="569"/>
          <w:jc w:val="center"/>
        </w:trPr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DC0890" w:rsidRPr="005842E0" w:rsidRDefault="00DC0890" w:rsidP="00B4029E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b/>
                <w:bCs/>
                <w:lang w:val="de-DE"/>
              </w:rPr>
            </w:pPr>
            <w:r w:rsidRPr="005842E0">
              <w:rPr>
                <w:rFonts w:asciiTheme="majorBidi" w:hAnsiTheme="majorBidi" w:cstheme="majorBidi"/>
                <w:b/>
                <w:bCs/>
                <w:lang w:val="de-DE"/>
              </w:rPr>
              <w:t>Domains</w:t>
            </w:r>
          </w:p>
        </w:tc>
        <w:tc>
          <w:tcPr>
            <w:tcW w:w="7824" w:type="dxa"/>
            <w:tcBorders>
              <w:top w:val="single" w:sz="4" w:space="0" w:color="auto"/>
              <w:bottom w:val="single" w:sz="4" w:space="0" w:color="auto"/>
            </w:tcBorders>
          </w:tcPr>
          <w:p w:rsidR="00DC0890" w:rsidRPr="005842E0" w:rsidRDefault="00DC0890" w:rsidP="00B4029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lang w:val="de-DE"/>
              </w:rPr>
            </w:pPr>
            <w:r w:rsidRPr="005842E0">
              <w:rPr>
                <w:rFonts w:asciiTheme="majorBidi" w:hAnsiTheme="majorBidi" w:cstheme="majorBidi"/>
                <w:b/>
                <w:bCs/>
                <w:lang w:val="de-DE"/>
              </w:rPr>
              <w:t>Leading explanatory questions</w:t>
            </w:r>
          </w:p>
        </w:tc>
      </w:tr>
      <w:tr w:rsidR="00DC0890" w:rsidRPr="00A872F4" w:rsidTr="00B4029E">
        <w:trPr>
          <w:trHeight w:val="1160"/>
          <w:jc w:val="center"/>
        </w:trPr>
        <w:tc>
          <w:tcPr>
            <w:tcW w:w="1824" w:type="dxa"/>
            <w:tcBorders>
              <w:top w:val="single" w:sz="4" w:space="0" w:color="auto"/>
            </w:tcBorders>
          </w:tcPr>
          <w:p w:rsidR="00DC0890" w:rsidRPr="005842E0" w:rsidRDefault="00DC0890" w:rsidP="00B4029E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lang w:val="de-DE"/>
              </w:rPr>
            </w:pPr>
            <w:r w:rsidRPr="005842E0">
              <w:rPr>
                <w:rFonts w:asciiTheme="majorBidi" w:hAnsiTheme="majorBidi" w:cstheme="majorBidi"/>
                <w:b/>
                <w:bCs/>
                <w:color w:val="000000"/>
                <w:lang w:val="de-DE"/>
              </w:rPr>
              <w:t>Selection</w:t>
            </w:r>
          </w:p>
        </w:tc>
        <w:tc>
          <w:tcPr>
            <w:tcW w:w="7824" w:type="dxa"/>
            <w:tcBorders>
              <w:top w:val="single" w:sz="4" w:space="0" w:color="auto"/>
            </w:tcBorders>
          </w:tcPr>
          <w:p w:rsidR="00DC0890" w:rsidRPr="003824DD" w:rsidRDefault="00DC0890" w:rsidP="00B4029E">
            <w:pPr>
              <w:rPr>
                <w:rFonts w:asciiTheme="majorBidi" w:hAnsiTheme="majorBidi" w:cstheme="majorBidi"/>
                <w:color w:val="000000"/>
              </w:rPr>
            </w:pPr>
            <w:r w:rsidRPr="003824DD">
              <w:rPr>
                <w:rFonts w:asciiTheme="majorBidi" w:hAnsiTheme="majorBidi" w:cstheme="majorBidi"/>
                <w:color w:val="000000"/>
              </w:rPr>
              <w:t>Does the patient(s) represent(s) the entire experience of the researchers, or is the selection modality unclear to the extent that other patients with similar presentation may have been missed?</w:t>
            </w:r>
          </w:p>
        </w:tc>
      </w:tr>
      <w:tr w:rsidR="00DC0890" w:rsidRPr="00A872F4" w:rsidTr="00B4029E">
        <w:trPr>
          <w:trHeight w:val="962"/>
          <w:jc w:val="center"/>
        </w:trPr>
        <w:tc>
          <w:tcPr>
            <w:tcW w:w="1824" w:type="dxa"/>
          </w:tcPr>
          <w:p w:rsidR="00DC0890" w:rsidRPr="005842E0" w:rsidRDefault="00DC0890" w:rsidP="00B4029E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lang w:val="de-DE"/>
              </w:rPr>
            </w:pPr>
            <w:r w:rsidRPr="005842E0">
              <w:rPr>
                <w:rFonts w:asciiTheme="majorBidi" w:hAnsiTheme="majorBidi" w:cstheme="majorBidi"/>
                <w:b/>
                <w:bCs/>
                <w:color w:val="000000"/>
                <w:lang w:val="de-DE"/>
              </w:rPr>
              <w:t>Ascertainment</w:t>
            </w:r>
          </w:p>
        </w:tc>
        <w:tc>
          <w:tcPr>
            <w:tcW w:w="7824" w:type="dxa"/>
          </w:tcPr>
          <w:p w:rsidR="00DC0890" w:rsidRPr="003824DD" w:rsidRDefault="00DC0890" w:rsidP="00B4029E">
            <w:pPr>
              <w:spacing w:line="276" w:lineRule="auto"/>
              <w:rPr>
                <w:rFonts w:asciiTheme="majorBidi" w:hAnsiTheme="majorBidi" w:cstheme="majorBidi"/>
                <w:color w:val="000000"/>
              </w:rPr>
            </w:pPr>
            <w:r w:rsidRPr="003824DD">
              <w:rPr>
                <w:rFonts w:asciiTheme="majorBidi" w:hAnsiTheme="majorBidi" w:cstheme="majorBidi"/>
                <w:color w:val="000000"/>
              </w:rPr>
              <w:t>1. Was the exposure sufficiently ascertained?</w:t>
            </w:r>
          </w:p>
          <w:p w:rsidR="00DC0890" w:rsidRPr="003824DD" w:rsidRDefault="00DC0890" w:rsidP="00B4029E">
            <w:pPr>
              <w:spacing w:line="276" w:lineRule="auto"/>
              <w:rPr>
                <w:rFonts w:asciiTheme="majorBidi" w:hAnsiTheme="majorBidi" w:cstheme="majorBidi"/>
                <w:color w:val="000000"/>
              </w:rPr>
            </w:pPr>
            <w:r w:rsidRPr="003824DD">
              <w:rPr>
                <w:rFonts w:asciiTheme="majorBidi" w:hAnsiTheme="majorBidi" w:cstheme="majorBidi"/>
                <w:color w:val="000000"/>
              </w:rPr>
              <w:t>2. Was the outcome sufficiently ascertained?</w:t>
            </w:r>
          </w:p>
        </w:tc>
      </w:tr>
      <w:tr w:rsidR="00DC0890" w:rsidRPr="00A872F4" w:rsidTr="00B4029E">
        <w:trPr>
          <w:trHeight w:val="1118"/>
          <w:jc w:val="center"/>
        </w:trPr>
        <w:tc>
          <w:tcPr>
            <w:tcW w:w="1824" w:type="dxa"/>
          </w:tcPr>
          <w:p w:rsidR="00DC0890" w:rsidRPr="005842E0" w:rsidRDefault="00DC0890" w:rsidP="00B4029E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lang w:val="de-DE"/>
              </w:rPr>
            </w:pPr>
            <w:r w:rsidRPr="005842E0">
              <w:rPr>
                <w:rFonts w:asciiTheme="majorBidi" w:hAnsiTheme="majorBidi" w:cstheme="majorBidi"/>
                <w:b/>
                <w:bCs/>
                <w:color w:val="000000"/>
                <w:lang w:val="de-DE"/>
              </w:rPr>
              <w:t>Causality</w:t>
            </w:r>
          </w:p>
        </w:tc>
        <w:tc>
          <w:tcPr>
            <w:tcW w:w="7824" w:type="dxa"/>
          </w:tcPr>
          <w:p w:rsidR="00DC0890" w:rsidRPr="003824DD" w:rsidRDefault="00DC0890" w:rsidP="00B4029E">
            <w:pPr>
              <w:rPr>
                <w:rFonts w:asciiTheme="majorBidi" w:hAnsiTheme="majorBidi" w:cstheme="majorBidi"/>
                <w:color w:val="000000"/>
              </w:rPr>
            </w:pPr>
            <w:r w:rsidRPr="003824DD">
              <w:rPr>
                <w:rFonts w:asciiTheme="majorBidi" w:hAnsiTheme="majorBidi" w:cstheme="majorBidi"/>
                <w:color w:val="000000"/>
              </w:rPr>
              <w:t>Were other plausible causes that may account for the observation ruled out beyond a reasonable doubt?</w:t>
            </w:r>
          </w:p>
        </w:tc>
      </w:tr>
      <w:tr w:rsidR="00DC0890" w:rsidRPr="00A872F4" w:rsidTr="00B4029E">
        <w:trPr>
          <w:trHeight w:val="908"/>
          <w:jc w:val="center"/>
        </w:trPr>
        <w:tc>
          <w:tcPr>
            <w:tcW w:w="1824" w:type="dxa"/>
            <w:tcBorders>
              <w:bottom w:val="single" w:sz="4" w:space="0" w:color="auto"/>
            </w:tcBorders>
          </w:tcPr>
          <w:p w:rsidR="00DC0890" w:rsidRPr="005842E0" w:rsidRDefault="00DC0890" w:rsidP="00B4029E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lang w:val="de-DE"/>
              </w:rPr>
            </w:pPr>
            <w:r w:rsidRPr="005842E0">
              <w:rPr>
                <w:rFonts w:asciiTheme="majorBidi" w:hAnsiTheme="majorBidi" w:cstheme="majorBidi"/>
                <w:b/>
                <w:bCs/>
                <w:color w:val="000000"/>
                <w:lang w:val="de-DE"/>
              </w:rPr>
              <w:t>Reporting</w:t>
            </w:r>
          </w:p>
        </w:tc>
        <w:tc>
          <w:tcPr>
            <w:tcW w:w="7824" w:type="dxa"/>
            <w:tcBorders>
              <w:bottom w:val="single" w:sz="4" w:space="0" w:color="auto"/>
            </w:tcBorders>
          </w:tcPr>
          <w:p w:rsidR="00DC0890" w:rsidRPr="003824DD" w:rsidRDefault="00DC0890" w:rsidP="00B4029E">
            <w:pPr>
              <w:rPr>
                <w:rFonts w:asciiTheme="majorBidi" w:hAnsiTheme="majorBidi" w:cstheme="majorBidi"/>
                <w:color w:val="000000"/>
              </w:rPr>
            </w:pPr>
            <w:r w:rsidRPr="003824DD">
              <w:rPr>
                <w:rFonts w:asciiTheme="majorBidi" w:hAnsiTheme="majorBidi" w:cstheme="majorBidi"/>
                <w:color w:val="000000"/>
              </w:rPr>
              <w:t>Is the case(s) relayed with adequate details to allow other investigators to replicate the research or to permit practitioners to make inferences related to their practice?</w:t>
            </w:r>
          </w:p>
        </w:tc>
      </w:tr>
    </w:tbl>
    <w:p w:rsidR="00DC0890" w:rsidRDefault="00DC0890" w:rsidP="00DC0890">
      <w:pPr>
        <w:pStyle w:val="EndNoteBibliography"/>
        <w:spacing w:beforeLines="50"/>
        <w:rPr>
          <w:rFonts w:asciiTheme="majorBidi" w:hAnsiTheme="majorBidi" w:cstheme="majorBidi"/>
          <w:sz w:val="24"/>
          <w:szCs w:val="24"/>
        </w:rPr>
      </w:pPr>
      <w:r w:rsidRPr="008C0639">
        <w:rPr>
          <w:rFonts w:asciiTheme="majorBidi" w:hAnsiTheme="majorBidi" w:cstheme="majorBidi"/>
        </w:rPr>
        <w:t xml:space="preserve">1. Murad MH, Sultan S, Haffar S et al. Methodological quality and synthesis of case series and case reports. </w:t>
      </w:r>
      <w:r w:rsidRPr="008C0639">
        <w:rPr>
          <w:rFonts w:asciiTheme="majorBidi" w:hAnsiTheme="majorBidi" w:cstheme="majorBidi"/>
          <w:i/>
        </w:rPr>
        <w:t>BMJ Evid</w:t>
      </w:r>
      <w:r w:rsidRPr="008C0639">
        <w:rPr>
          <w:rFonts w:asciiTheme="majorBidi" w:hAnsiTheme="majorBidi" w:cstheme="majorBidi"/>
          <w:i/>
          <w:lang w:eastAsia="zh-CN"/>
        </w:rPr>
        <w:t xml:space="preserve"> </w:t>
      </w:r>
      <w:r w:rsidRPr="008C0639">
        <w:rPr>
          <w:rFonts w:asciiTheme="majorBidi" w:hAnsiTheme="majorBidi" w:cstheme="majorBidi"/>
          <w:i/>
        </w:rPr>
        <w:t>Based Med</w:t>
      </w:r>
      <w:r w:rsidRPr="008C0639">
        <w:rPr>
          <w:rFonts w:asciiTheme="majorBidi" w:hAnsiTheme="majorBidi" w:cstheme="majorBidi"/>
        </w:rPr>
        <w:t xml:space="preserve"> 2018; 23: 60-63.</w:t>
      </w: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0890" w:rsidRPr="008C0639" w:rsidRDefault="00DC0890" w:rsidP="00DC0890">
      <w:pPr>
        <w:shd w:val="clear" w:color="auto" w:fill="FFFFFF"/>
        <w:spacing w:line="169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  <w:b/>
          <w:bCs/>
        </w:rPr>
        <w:lastRenderedPageBreak/>
        <w:t xml:space="preserve">Supplementary table 2: </w:t>
      </w:r>
      <w:r w:rsidRPr="008C0639">
        <w:rPr>
          <w:rFonts w:asciiTheme="majorBidi" w:eastAsia="Times New Roman" w:hAnsiTheme="majorBidi" w:cstheme="majorBidi"/>
        </w:rPr>
        <w:t xml:space="preserve">Assessment of methodological quality of included </w:t>
      </w:r>
      <w:r>
        <w:rPr>
          <w:rFonts w:asciiTheme="majorBidi" w:eastAsia="Times New Roman" w:hAnsiTheme="majorBidi" w:cstheme="majorBidi"/>
        </w:rPr>
        <w:t>case reports/series</w:t>
      </w:r>
    </w:p>
    <w:p w:rsidR="000B1551" w:rsidRPr="008C0639" w:rsidRDefault="000B1551" w:rsidP="000B1551">
      <w:pPr>
        <w:shd w:val="clear" w:color="auto" w:fill="FFFFFF"/>
        <w:spacing w:line="169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  <w:b/>
          <w:bCs/>
        </w:rPr>
        <w:t xml:space="preserve">Selection: </w:t>
      </w:r>
      <w:r>
        <w:rPr>
          <w:rFonts w:asciiTheme="majorBidi" w:eastAsia="Times New Roman" w:hAnsiTheme="majorBidi" w:cstheme="majorBidi"/>
        </w:rPr>
        <w:t>(Does the reported case reflect the authors’ entire experience?</w:t>
      </w:r>
      <w:r w:rsidRPr="008C0639">
        <w:rPr>
          <w:rFonts w:asciiTheme="majorBidi" w:eastAsia="Times New Roman" w:hAnsiTheme="majorBidi" w:cstheme="majorBidi"/>
        </w:rPr>
        <w:t>)</w:t>
      </w:r>
    </w:p>
    <w:p w:rsidR="000B1551" w:rsidRPr="008C0639" w:rsidRDefault="000B1551" w:rsidP="000B1551">
      <w:pPr>
        <w:pStyle w:val="ListParagraph"/>
        <w:numPr>
          <w:ilvl w:val="0"/>
          <w:numId w:val="5"/>
        </w:numPr>
        <w:shd w:val="clear" w:color="auto" w:fill="FFFFFF"/>
        <w:spacing w:after="0" w:line="157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</w:rPr>
        <w:t>Prospective or retrospective study that included all patients within a specified time frame (e.g: 1990-2000)</w:t>
      </w:r>
      <w:r>
        <w:rPr>
          <w:rFonts w:asciiTheme="majorBidi" w:eastAsia="Times New Roman" w:hAnsiTheme="majorBidi" w:cstheme="majorBidi"/>
        </w:rPr>
        <w:t>, reflecting the authors’ entire experience</w:t>
      </w:r>
      <w:r w:rsidRPr="008C0639">
        <w:rPr>
          <w:rFonts w:asciiTheme="majorBidi" w:eastAsia="Times New Roman" w:hAnsiTheme="majorBidi" w:cstheme="majorBidi"/>
        </w:rPr>
        <w:t>: Good methodological quality (GMQ)</w:t>
      </w:r>
    </w:p>
    <w:p w:rsidR="000B1551" w:rsidRPr="00412DB8" w:rsidRDefault="000B1551" w:rsidP="00412DB8">
      <w:pPr>
        <w:pStyle w:val="ListParagraph"/>
        <w:numPr>
          <w:ilvl w:val="0"/>
          <w:numId w:val="5"/>
        </w:numPr>
        <w:shd w:val="clear" w:color="auto" w:fill="FFFFFF"/>
        <w:spacing w:after="0" w:line="157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</w:rPr>
        <w:t>If a study only states seve</w:t>
      </w:r>
      <w:r>
        <w:rPr>
          <w:rFonts w:asciiTheme="majorBidi" w:eastAsia="Times New Roman" w:hAnsiTheme="majorBidi" w:cstheme="majorBidi"/>
        </w:rPr>
        <w:t xml:space="preserve">ral cases without mentioning </w:t>
      </w:r>
      <w:r w:rsidRPr="008C0639">
        <w:rPr>
          <w:rFonts w:asciiTheme="majorBidi" w:eastAsia="Times New Roman" w:hAnsiTheme="majorBidi" w:cstheme="majorBidi"/>
        </w:rPr>
        <w:t>a time frame</w:t>
      </w:r>
      <w:r>
        <w:rPr>
          <w:rFonts w:asciiTheme="majorBidi" w:eastAsia="Times New Roman" w:hAnsiTheme="majorBidi" w:cstheme="majorBidi"/>
        </w:rPr>
        <w:t xml:space="preserve"> as stated in #1</w:t>
      </w:r>
      <w:r w:rsidRPr="008C0639">
        <w:rPr>
          <w:rFonts w:asciiTheme="majorBidi" w:eastAsia="Times New Roman" w:hAnsiTheme="majorBidi" w:cstheme="majorBidi"/>
        </w:rPr>
        <w:t>: Unclear</w:t>
      </w:r>
      <w:r w:rsidR="00412DB8">
        <w:rPr>
          <w:rFonts w:asciiTheme="majorBidi" w:eastAsia="Times New Roman" w:hAnsiTheme="majorBidi" w:cstheme="majorBidi"/>
        </w:rPr>
        <w:t xml:space="preserve"> </w:t>
      </w:r>
      <w:r w:rsidRPr="00412DB8">
        <w:rPr>
          <w:rFonts w:asciiTheme="majorBidi" w:eastAsia="Times New Roman" w:hAnsiTheme="majorBidi" w:cstheme="majorBidi"/>
        </w:rPr>
        <w:t>methodological quality (UMQ)</w:t>
      </w:r>
    </w:p>
    <w:p w:rsidR="000B1551" w:rsidRPr="008C0639" w:rsidRDefault="000B1551" w:rsidP="000B1551">
      <w:pPr>
        <w:pStyle w:val="ListParagraph"/>
        <w:numPr>
          <w:ilvl w:val="0"/>
          <w:numId w:val="5"/>
        </w:numPr>
        <w:shd w:val="clear" w:color="auto" w:fill="FFFFFF"/>
        <w:spacing w:line="157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</w:rPr>
        <w:t>Case reports (1-4 cases)</w:t>
      </w:r>
      <w:r>
        <w:rPr>
          <w:rFonts w:asciiTheme="majorBidi" w:eastAsia="Times New Roman" w:hAnsiTheme="majorBidi" w:cstheme="majorBidi"/>
        </w:rPr>
        <w:t xml:space="preserve"> not reflecting the authors’ entire </w:t>
      </w:r>
      <w:r w:rsidR="00412DB8">
        <w:rPr>
          <w:rFonts w:asciiTheme="majorBidi" w:eastAsia="Times New Roman" w:hAnsiTheme="majorBidi" w:cstheme="majorBidi"/>
        </w:rPr>
        <w:t>experience</w:t>
      </w:r>
      <w:r w:rsidRPr="008C0639">
        <w:rPr>
          <w:rFonts w:asciiTheme="majorBidi" w:eastAsia="Times New Roman" w:hAnsiTheme="majorBidi" w:cstheme="majorBidi"/>
        </w:rPr>
        <w:t>: Low methodological quality (LMQ)</w:t>
      </w:r>
      <w:bookmarkStart w:id="0" w:name="m_7339725855236580053__msoanchor_1"/>
      <w:r>
        <w:rPr>
          <w:rFonts w:asciiTheme="majorBidi" w:eastAsia="Times New Roman" w:hAnsiTheme="majorBidi" w:cstheme="majorBidi"/>
        </w:rPr>
        <w:t xml:space="preserve"> </w:t>
      </w:r>
      <w:r w:rsidRPr="008C0639">
        <w:rPr>
          <w:rFonts w:asciiTheme="majorBidi" w:eastAsia="Times New Roman" w:hAnsiTheme="majorBidi" w:cstheme="majorBidi"/>
        </w:rPr>
        <w:t>[1]</w:t>
      </w:r>
      <w:bookmarkEnd w:id="0"/>
      <w:r w:rsidRPr="008C0639">
        <w:rPr>
          <w:rFonts w:asciiTheme="majorBidi" w:eastAsia="Times New Roman" w:hAnsiTheme="majorBidi" w:cstheme="majorBidi"/>
        </w:rPr>
        <w:t> </w:t>
      </w:r>
    </w:p>
    <w:p w:rsidR="000B1551" w:rsidRPr="008C0639" w:rsidRDefault="000B1551" w:rsidP="000B1551">
      <w:pPr>
        <w:shd w:val="clear" w:color="auto" w:fill="FFFFFF"/>
        <w:spacing w:line="169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  <w:b/>
          <w:bCs/>
        </w:rPr>
        <w:t>Ascertainment 1:</w:t>
      </w:r>
      <w:r w:rsidRPr="008C0639">
        <w:rPr>
          <w:rFonts w:asciiTheme="majorBidi" w:eastAsia="Times New Roman" w:hAnsiTheme="majorBidi" w:cstheme="majorBidi"/>
        </w:rPr>
        <w:t> (Are the procedure components of intragastric balloon (IGB) placement adequately described?)</w:t>
      </w:r>
    </w:p>
    <w:p w:rsidR="000B1551" w:rsidRPr="008C0639" w:rsidRDefault="000B1551" w:rsidP="000B1551">
      <w:pPr>
        <w:pStyle w:val="ListParagraph"/>
        <w:numPr>
          <w:ilvl w:val="0"/>
          <w:numId w:val="2"/>
        </w:numPr>
        <w:shd w:val="clear" w:color="auto" w:fill="FFFFFF"/>
        <w:spacing w:line="157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</w:rPr>
        <w:t>If the study details the indication for IGB placement, type of IGB used, filling volume, and use of methylene blue: GMQ</w:t>
      </w:r>
    </w:p>
    <w:p w:rsidR="000B1551" w:rsidRPr="008C0639" w:rsidRDefault="000B1551" w:rsidP="000B1551">
      <w:pPr>
        <w:pStyle w:val="ListParagraph"/>
        <w:numPr>
          <w:ilvl w:val="0"/>
          <w:numId w:val="2"/>
        </w:numPr>
        <w:shd w:val="clear" w:color="auto" w:fill="FFFFFF"/>
        <w:spacing w:line="157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</w:rPr>
        <w:t>If the study mentions some but not all of above procedure components</w:t>
      </w:r>
      <w:r>
        <w:rPr>
          <w:rFonts w:asciiTheme="majorBidi" w:eastAsia="Times New Roman" w:hAnsiTheme="majorBidi" w:cstheme="majorBidi"/>
        </w:rPr>
        <w:t xml:space="preserve"> in #1</w:t>
      </w:r>
      <w:r w:rsidRPr="008C0639">
        <w:rPr>
          <w:rFonts w:asciiTheme="majorBidi" w:eastAsia="Times New Roman" w:hAnsiTheme="majorBidi" w:cstheme="majorBidi"/>
        </w:rPr>
        <w:t>: UMQ</w:t>
      </w:r>
    </w:p>
    <w:p w:rsidR="000B1551" w:rsidRPr="008C0639" w:rsidRDefault="000B1551" w:rsidP="000B1551">
      <w:pPr>
        <w:pStyle w:val="ListParagraph"/>
        <w:numPr>
          <w:ilvl w:val="0"/>
          <w:numId w:val="2"/>
        </w:numPr>
        <w:shd w:val="clear" w:color="auto" w:fill="FFFFFF"/>
        <w:spacing w:line="157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</w:rPr>
        <w:t>If the study does not mention any of the above procedure component</w:t>
      </w:r>
      <w:r>
        <w:rPr>
          <w:rFonts w:asciiTheme="majorBidi" w:eastAsia="Times New Roman" w:hAnsiTheme="majorBidi" w:cstheme="majorBidi"/>
        </w:rPr>
        <w:t>s in #1</w:t>
      </w:r>
      <w:r w:rsidRPr="008C0639">
        <w:rPr>
          <w:rFonts w:asciiTheme="majorBidi" w:eastAsia="Times New Roman" w:hAnsiTheme="majorBidi" w:cstheme="majorBidi"/>
        </w:rPr>
        <w:t xml:space="preserve">: LMQ </w:t>
      </w:r>
    </w:p>
    <w:p w:rsidR="000B1551" w:rsidRPr="008C0639" w:rsidRDefault="000B1551" w:rsidP="000B1551">
      <w:pPr>
        <w:shd w:val="clear" w:color="auto" w:fill="FFFFFF"/>
        <w:spacing w:line="169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  <w:b/>
          <w:bCs/>
        </w:rPr>
        <w:t>Ascertainment 2: </w:t>
      </w:r>
      <w:r w:rsidRPr="008C0639">
        <w:rPr>
          <w:rFonts w:asciiTheme="majorBidi" w:eastAsia="Times New Roman" w:hAnsiTheme="majorBidi" w:cstheme="majorBidi"/>
        </w:rPr>
        <w:t>(Are the symptoms suggestive of IGB hyperinflation adequately described?)</w:t>
      </w:r>
    </w:p>
    <w:p w:rsidR="000B1551" w:rsidRPr="008C0639" w:rsidRDefault="000B1551" w:rsidP="000B1551">
      <w:pPr>
        <w:pStyle w:val="ListParagraph"/>
        <w:numPr>
          <w:ilvl w:val="0"/>
          <w:numId w:val="1"/>
        </w:numPr>
        <w:shd w:val="clear" w:color="auto" w:fill="FFFFFF"/>
        <w:spacing w:after="0" w:line="157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</w:rPr>
        <w:t xml:space="preserve">If the study describes a constellation of symptoms including abdominal pain, abdominal distention, nausea, and vomiting, within </w:t>
      </w:r>
      <w:r w:rsidRPr="008C0639">
        <w:rPr>
          <w:rFonts w:asciiTheme="majorBidi" w:eastAsia="Times New Roman" w:hAnsiTheme="majorBidi" w:cstheme="majorBidi"/>
          <w:u w:val="single"/>
        </w:rPr>
        <w:t>&gt;</w:t>
      </w:r>
      <w:r w:rsidRPr="008C0639">
        <w:rPr>
          <w:rFonts w:asciiTheme="majorBidi" w:eastAsia="Times New Roman" w:hAnsiTheme="majorBidi" w:cstheme="majorBidi"/>
        </w:rPr>
        <w:t xml:space="preserve">3 months from placement of the </w:t>
      </w:r>
      <w:r>
        <w:rPr>
          <w:rFonts w:asciiTheme="majorBidi" w:eastAsia="Times New Roman" w:hAnsiTheme="majorBidi" w:cstheme="majorBidi"/>
        </w:rPr>
        <w:t>IGB</w:t>
      </w:r>
      <w:r w:rsidRPr="008C0639">
        <w:rPr>
          <w:rFonts w:asciiTheme="majorBidi" w:eastAsia="Times New Roman" w:hAnsiTheme="majorBidi" w:cstheme="majorBidi"/>
        </w:rPr>
        <w:t xml:space="preserve">: GMQ </w:t>
      </w:r>
    </w:p>
    <w:p w:rsidR="000B1551" w:rsidRPr="008C0639" w:rsidRDefault="000B1551" w:rsidP="000B1551">
      <w:pPr>
        <w:pStyle w:val="ListParagraph"/>
        <w:numPr>
          <w:ilvl w:val="0"/>
          <w:numId w:val="1"/>
        </w:numPr>
        <w:shd w:val="clear" w:color="auto" w:fill="FFFFFF"/>
        <w:spacing w:after="0" w:line="157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</w:rPr>
        <w:t xml:space="preserve">If the study describes a constellation of symptoms including abdominal pain, abdominal distention, nausea, and vomiting, within &lt;3 months from placement of the </w:t>
      </w:r>
      <w:r>
        <w:rPr>
          <w:rFonts w:asciiTheme="majorBidi" w:eastAsia="Times New Roman" w:hAnsiTheme="majorBidi" w:cstheme="majorBidi"/>
        </w:rPr>
        <w:t>IGB</w:t>
      </w:r>
      <w:r w:rsidRPr="008C0639">
        <w:rPr>
          <w:rFonts w:asciiTheme="majorBidi" w:eastAsia="Times New Roman" w:hAnsiTheme="majorBidi" w:cstheme="majorBidi"/>
        </w:rPr>
        <w:t>: UMQ</w:t>
      </w:r>
    </w:p>
    <w:p w:rsidR="000B1551" w:rsidRPr="008C0639" w:rsidRDefault="000B1551" w:rsidP="000B1551">
      <w:pPr>
        <w:pStyle w:val="ListParagraph"/>
        <w:numPr>
          <w:ilvl w:val="0"/>
          <w:numId w:val="1"/>
        </w:numPr>
        <w:shd w:val="clear" w:color="auto" w:fill="FFFFFF"/>
        <w:spacing w:line="157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</w:rPr>
        <w:t>If a study describes only non-specific symptoms such nausea and vomiting, gastroesophageal reflux, or abdominal pain without abdominal distention: LMQ</w:t>
      </w:r>
    </w:p>
    <w:p w:rsidR="000B1551" w:rsidRPr="008C0639" w:rsidRDefault="000B1551" w:rsidP="000B1551">
      <w:pPr>
        <w:shd w:val="clear" w:color="auto" w:fill="FFFFFF"/>
        <w:spacing w:line="169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  <w:b/>
          <w:bCs/>
        </w:rPr>
        <w:t>Causality: </w:t>
      </w:r>
      <w:r w:rsidRPr="008C0639">
        <w:rPr>
          <w:rFonts w:asciiTheme="majorBidi" w:eastAsia="Times New Roman" w:hAnsiTheme="majorBidi" w:cstheme="majorBidi"/>
        </w:rPr>
        <w:t>(Is the IGB placement the sole purpose of the symptoms, beyond a reasonable doubt?)</w:t>
      </w:r>
    </w:p>
    <w:p w:rsidR="000B1551" w:rsidRPr="008C0639" w:rsidRDefault="000B1551" w:rsidP="000B1551">
      <w:pPr>
        <w:pStyle w:val="ListParagraph"/>
        <w:numPr>
          <w:ilvl w:val="0"/>
          <w:numId w:val="3"/>
        </w:numPr>
        <w:shd w:val="clear" w:color="auto" w:fill="FFFFFF"/>
        <w:spacing w:after="0" w:line="157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</w:rPr>
        <w:t xml:space="preserve">If the study reports complete resolution of symptoms after endoscopic removal of the IGB with a report of the IGB fluid culture results: GMQ </w:t>
      </w:r>
    </w:p>
    <w:p w:rsidR="000B1551" w:rsidRPr="008C0639" w:rsidRDefault="000B1551" w:rsidP="000B1551">
      <w:pPr>
        <w:pStyle w:val="ListParagraph"/>
        <w:numPr>
          <w:ilvl w:val="0"/>
          <w:numId w:val="3"/>
        </w:numPr>
        <w:shd w:val="clear" w:color="auto" w:fill="FFFFFF"/>
        <w:spacing w:after="0" w:line="157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</w:rPr>
        <w:t xml:space="preserve">If the study reports complete resolution of symptoms after endoscopic removal of the IGB without obtaining an IGB fluid culture: UMQ </w:t>
      </w:r>
    </w:p>
    <w:p w:rsidR="000B1551" w:rsidRPr="008C0639" w:rsidRDefault="000B1551" w:rsidP="000B1551">
      <w:pPr>
        <w:pStyle w:val="ListParagraph"/>
        <w:numPr>
          <w:ilvl w:val="0"/>
          <w:numId w:val="3"/>
        </w:numPr>
        <w:shd w:val="clear" w:color="auto" w:fill="FFFFFF"/>
        <w:spacing w:after="0" w:line="157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</w:rPr>
        <w:t xml:space="preserve">If the study reports complete resolution of symptoms but management of the hyperinflation did not require IGB removal: UMQ </w:t>
      </w:r>
    </w:p>
    <w:p w:rsidR="000B1551" w:rsidRPr="008C0639" w:rsidRDefault="000B1551" w:rsidP="000B1551">
      <w:pPr>
        <w:pStyle w:val="ListParagraph"/>
        <w:numPr>
          <w:ilvl w:val="0"/>
          <w:numId w:val="3"/>
        </w:numPr>
        <w:shd w:val="clear" w:color="auto" w:fill="FFFFFF"/>
        <w:spacing w:after="0" w:line="157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</w:rPr>
        <w:t xml:space="preserve">If the study does not report the degree of symptoms improvement after endoscopic removal or the IGB: LMQ </w:t>
      </w:r>
    </w:p>
    <w:p w:rsidR="000B1551" w:rsidRPr="008C0639" w:rsidRDefault="000B1551" w:rsidP="000B1551">
      <w:pPr>
        <w:shd w:val="clear" w:color="auto" w:fill="FFFFFF"/>
        <w:spacing w:line="169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  <w:b/>
          <w:bCs/>
        </w:rPr>
        <w:t>Reporting:</w:t>
      </w:r>
      <w:r>
        <w:rPr>
          <w:rFonts w:asciiTheme="majorBidi" w:eastAsia="Times New Roman" w:hAnsiTheme="majorBidi" w:cstheme="majorBidi"/>
          <w:b/>
          <w:bCs/>
        </w:rPr>
        <w:t xml:space="preserve"> </w:t>
      </w:r>
      <w:r w:rsidRPr="000B1551">
        <w:rPr>
          <w:rFonts w:asciiTheme="majorBidi" w:eastAsia="Times New Roman" w:hAnsiTheme="majorBidi" w:cstheme="majorBidi"/>
        </w:rPr>
        <w:t xml:space="preserve">(Is the endoscopic procedure relayed with adequate </w:t>
      </w:r>
      <w:r w:rsidR="006C58E6" w:rsidRPr="000B1551">
        <w:rPr>
          <w:rFonts w:asciiTheme="majorBidi" w:eastAsia="Times New Roman" w:hAnsiTheme="majorBidi" w:cstheme="majorBidi"/>
        </w:rPr>
        <w:t>details</w:t>
      </w:r>
      <w:r w:rsidR="006C58E6">
        <w:rPr>
          <w:rFonts w:asciiTheme="majorBidi" w:eastAsia="Times New Roman" w:hAnsiTheme="majorBidi" w:cstheme="majorBidi"/>
        </w:rPr>
        <w:t>,</w:t>
      </w:r>
      <w:r w:rsidR="006C58E6" w:rsidRPr="000B1551">
        <w:rPr>
          <w:rFonts w:asciiTheme="majorBidi" w:eastAsia="Times New Roman" w:hAnsiTheme="majorBidi" w:cstheme="majorBidi"/>
        </w:rPr>
        <w:t xml:space="preserve"> which</w:t>
      </w:r>
      <w:r w:rsidRPr="000B1551">
        <w:rPr>
          <w:rFonts w:asciiTheme="majorBidi" w:eastAsia="Times New Roman" w:hAnsiTheme="majorBidi" w:cstheme="majorBidi"/>
        </w:rPr>
        <w:t xml:space="preserve"> allow other practitioners to make inferences related to their practice?)</w:t>
      </w:r>
    </w:p>
    <w:p w:rsidR="000B1551" w:rsidRPr="008C0639" w:rsidRDefault="000B1551" w:rsidP="000B1551">
      <w:pPr>
        <w:pStyle w:val="ListParagraph"/>
        <w:numPr>
          <w:ilvl w:val="0"/>
          <w:numId w:val="4"/>
        </w:numPr>
        <w:shd w:val="clear" w:color="auto" w:fill="FFFFFF"/>
        <w:spacing w:after="0" w:line="157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</w:rPr>
        <w:t>If a study mentions A) type of IGB used, B) IGB filling volume, and C) Use of Methylene Blue: GMQ</w:t>
      </w:r>
    </w:p>
    <w:p w:rsidR="000B1551" w:rsidRPr="008C0639" w:rsidRDefault="000B1551" w:rsidP="000B1551">
      <w:pPr>
        <w:pStyle w:val="ListParagraph"/>
        <w:numPr>
          <w:ilvl w:val="0"/>
          <w:numId w:val="4"/>
        </w:numPr>
        <w:shd w:val="clear" w:color="auto" w:fill="FFFFFF"/>
        <w:spacing w:after="0" w:line="157" w:lineRule="atLeast"/>
        <w:rPr>
          <w:rFonts w:asciiTheme="majorBidi" w:eastAsia="Times New Roman" w:hAnsiTheme="majorBidi" w:cstheme="majorBidi"/>
        </w:rPr>
      </w:pPr>
      <w:r w:rsidRPr="008C0639">
        <w:rPr>
          <w:rFonts w:asciiTheme="majorBidi" w:eastAsia="Times New Roman" w:hAnsiTheme="majorBidi" w:cstheme="majorBidi"/>
        </w:rPr>
        <w:t>If a study mentions some but not all of the above procedural components in #1: UMQ</w:t>
      </w:r>
    </w:p>
    <w:p w:rsidR="000B1551" w:rsidRPr="00BD14FC" w:rsidRDefault="000B1551" w:rsidP="000B1551">
      <w:pPr>
        <w:pStyle w:val="ListParagraph"/>
        <w:numPr>
          <w:ilvl w:val="0"/>
          <w:numId w:val="4"/>
        </w:numPr>
        <w:shd w:val="clear" w:color="auto" w:fill="FFFFFF"/>
        <w:spacing w:line="157" w:lineRule="atLeast"/>
        <w:rPr>
          <w:rFonts w:asciiTheme="majorBidi" w:eastAsia="Times New Roman" w:hAnsiTheme="majorBidi" w:cstheme="majorBidi"/>
          <w:sz w:val="28"/>
          <w:szCs w:val="28"/>
        </w:rPr>
      </w:pPr>
      <w:r w:rsidRPr="008C0639">
        <w:rPr>
          <w:rFonts w:asciiTheme="majorBidi" w:eastAsia="Times New Roman" w:hAnsiTheme="majorBidi" w:cstheme="majorBidi"/>
        </w:rPr>
        <w:t>If a study does not mention any of the above procedural components in #1: LMQ</w:t>
      </w:r>
      <w:r w:rsidRPr="00F30896">
        <w:rPr>
          <w:rFonts w:asciiTheme="majorBidi" w:hAnsiTheme="majorBidi" w:cstheme="majorBidi"/>
        </w:rPr>
        <w:pict>
          <v:rect id="_x0000_i1025" style="width:154.45pt;height:.6pt" o:hrpct="330" o:hrstd="t" o:hr="t" fillcolor="#a0a0a0" stroked="f"/>
        </w:pict>
      </w:r>
      <w:bookmarkStart w:id="1" w:name="m_7339725855236580053__msocom_1"/>
      <w:bookmarkEnd w:id="1"/>
      <w:r w:rsidRPr="00BD14FC">
        <w:rPr>
          <w:rFonts w:asciiTheme="majorBidi" w:eastAsia="Times New Roman" w:hAnsiTheme="majorBidi" w:cstheme="majorBidi"/>
          <w:sz w:val="12"/>
          <w:szCs w:val="12"/>
        </w:rPr>
        <w:t> </w:t>
      </w:r>
      <w:r w:rsidRPr="00BD14FC">
        <w:rPr>
          <w:rFonts w:asciiTheme="majorBidi" w:eastAsia="Times New Roman" w:hAnsiTheme="majorBidi" w:cstheme="majorBidi"/>
          <w:sz w:val="14"/>
          <w:szCs w:val="14"/>
        </w:rPr>
        <w:t>[1] Case reports were deemed those up to 4 patients based on Abu-Zidan et al.</w:t>
      </w:r>
      <w:r w:rsidRPr="00BD14FC">
        <w:rPr>
          <w:rFonts w:asciiTheme="majorBidi" w:eastAsia="Times New Roman" w:hAnsiTheme="majorBidi" w:cstheme="majorBidi"/>
          <w:sz w:val="14"/>
          <w:szCs w:val="14"/>
        </w:rPr>
        <w:br/>
        <w:t xml:space="preserve">Abu-Zidan FM, Abbas AK, Hefny AF. Clinical "case series": a concept analysis. Afr </w:t>
      </w:r>
      <w:r>
        <w:rPr>
          <w:rFonts w:asciiTheme="majorBidi" w:eastAsia="Times New Roman" w:hAnsiTheme="majorBidi" w:cstheme="majorBidi"/>
          <w:sz w:val="14"/>
          <w:szCs w:val="14"/>
        </w:rPr>
        <w:t>Health Sci 2012</w:t>
      </w:r>
      <w:r w:rsidRPr="00BD14FC">
        <w:rPr>
          <w:rFonts w:asciiTheme="majorBidi" w:eastAsia="Times New Roman" w:hAnsiTheme="majorBidi" w:cstheme="majorBidi"/>
          <w:sz w:val="14"/>
          <w:szCs w:val="14"/>
        </w:rPr>
        <w:t>; 12:</w:t>
      </w:r>
      <w:r>
        <w:rPr>
          <w:rFonts w:asciiTheme="majorBidi" w:eastAsia="Times New Roman" w:hAnsiTheme="majorBidi" w:cstheme="majorBidi"/>
          <w:sz w:val="14"/>
          <w:szCs w:val="14"/>
        </w:rPr>
        <w:t xml:space="preserve"> </w:t>
      </w:r>
      <w:r w:rsidRPr="00BD14FC">
        <w:rPr>
          <w:rFonts w:asciiTheme="majorBidi" w:eastAsia="Times New Roman" w:hAnsiTheme="majorBidi" w:cstheme="majorBidi"/>
          <w:sz w:val="14"/>
          <w:szCs w:val="14"/>
        </w:rPr>
        <w:t>557-</w:t>
      </w:r>
      <w:r>
        <w:rPr>
          <w:rFonts w:asciiTheme="majorBidi" w:eastAsia="Times New Roman" w:hAnsiTheme="majorBidi" w:cstheme="majorBidi"/>
          <w:sz w:val="14"/>
          <w:szCs w:val="14"/>
        </w:rPr>
        <w:t>5</w:t>
      </w:r>
      <w:r w:rsidRPr="00BD14FC">
        <w:rPr>
          <w:rFonts w:asciiTheme="majorBidi" w:eastAsia="Times New Roman" w:hAnsiTheme="majorBidi" w:cstheme="majorBidi"/>
          <w:sz w:val="14"/>
          <w:szCs w:val="14"/>
        </w:rPr>
        <w:t>62</w:t>
      </w:r>
    </w:p>
    <w:p w:rsidR="00DC0890" w:rsidRPr="00A872F4" w:rsidRDefault="00DC0890" w:rsidP="00DC0890">
      <w:pPr>
        <w:pStyle w:val="ListParagraph"/>
        <w:ind w:left="0"/>
        <w:rPr>
          <w:rFonts w:asciiTheme="majorBidi" w:hAnsiTheme="majorBidi" w:cstheme="majorBidi"/>
          <w:b/>
          <w:bCs/>
          <w:color w:val="FFFFFF" w:themeColor="background1"/>
          <w:sz w:val="20"/>
          <w:szCs w:val="20"/>
        </w:rPr>
        <w:sectPr w:rsidR="00DC0890" w:rsidRPr="00A872F4" w:rsidSect="004C4428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754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4"/>
        <w:gridCol w:w="90"/>
        <w:gridCol w:w="1080"/>
        <w:gridCol w:w="1348"/>
        <w:gridCol w:w="435"/>
        <w:gridCol w:w="1682"/>
        <w:gridCol w:w="118"/>
        <w:gridCol w:w="1170"/>
        <w:gridCol w:w="1277"/>
      </w:tblGrid>
      <w:tr w:rsidR="00DC0890" w:rsidRPr="00A872F4" w:rsidTr="00B4029E">
        <w:trPr>
          <w:trHeight w:val="882"/>
          <w:jc w:val="center"/>
        </w:trPr>
        <w:tc>
          <w:tcPr>
            <w:tcW w:w="26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0890" w:rsidRPr="00020316" w:rsidRDefault="00DC0890" w:rsidP="00B4029E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20316">
              <w:rPr>
                <w:rFonts w:asciiTheme="majorBidi" w:hAnsiTheme="majorBidi" w:cstheme="majorBidi"/>
                <w:b/>
                <w:bCs/>
              </w:rPr>
              <w:lastRenderedPageBreak/>
              <w:t>First Author (Year)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DC0890" w:rsidRPr="00020316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20316">
              <w:rPr>
                <w:rFonts w:asciiTheme="majorBidi" w:hAnsiTheme="majorBidi" w:cstheme="majorBidi"/>
                <w:b/>
                <w:bCs/>
              </w:rPr>
              <w:t>Selection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0890" w:rsidRPr="00020316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20316">
              <w:rPr>
                <w:rFonts w:asciiTheme="majorBidi" w:hAnsiTheme="majorBidi" w:cstheme="majorBidi"/>
                <w:b/>
                <w:bCs/>
              </w:rPr>
              <w:t>Ascertainment 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C0890" w:rsidRPr="00020316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20316">
              <w:rPr>
                <w:rFonts w:asciiTheme="majorBidi" w:hAnsiTheme="majorBidi" w:cstheme="majorBidi"/>
                <w:b/>
                <w:bCs/>
              </w:rPr>
              <w:t>Ascertainment 2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DC0890" w:rsidRPr="00020316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20316">
              <w:rPr>
                <w:rFonts w:asciiTheme="majorBidi" w:hAnsiTheme="majorBidi" w:cstheme="majorBidi"/>
                <w:b/>
                <w:bCs/>
              </w:rPr>
              <w:t>Causality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DC0890" w:rsidRPr="00020316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20316">
              <w:rPr>
                <w:rFonts w:asciiTheme="majorBidi" w:hAnsiTheme="majorBidi" w:cstheme="majorBidi"/>
                <w:b/>
                <w:bCs/>
              </w:rPr>
              <w:t>Reporting</w:t>
            </w:r>
          </w:p>
        </w:tc>
      </w:tr>
      <w:tr w:rsidR="00DC0890" w:rsidRPr="00A872F4" w:rsidTr="00B4029E">
        <w:trPr>
          <w:trHeight w:val="342"/>
          <w:jc w:val="center"/>
        </w:trPr>
        <w:tc>
          <w:tcPr>
            <w:tcW w:w="2554" w:type="dxa"/>
            <w:tcBorders>
              <w:top w:val="single" w:sz="4" w:space="0" w:color="auto"/>
            </w:tcBorders>
          </w:tcPr>
          <w:p w:rsidR="00DC0890" w:rsidRPr="00020316" w:rsidRDefault="00DC0890" w:rsidP="00B4029E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020316">
              <w:rPr>
                <w:rFonts w:asciiTheme="majorBidi" w:hAnsiTheme="majorBidi" w:cstheme="majorBidi"/>
                <w:b/>
                <w:bCs/>
              </w:rPr>
              <w:t xml:space="preserve">Madeira (2013) </w:t>
            </w:r>
            <w:r>
              <w:rPr>
                <w:rFonts w:asciiTheme="majorBidi" w:hAnsiTheme="majorBidi" w:cstheme="majorBidi"/>
                <w:b/>
                <w:bCs/>
                <w:noProof/>
              </w:rPr>
              <w:t>[1</w:t>
            </w:r>
            <w:r w:rsidRPr="00020316">
              <w:rPr>
                <w:rFonts w:asciiTheme="majorBidi" w:hAnsiTheme="majorBidi" w:cstheme="majorBidi"/>
                <w:b/>
                <w:bCs/>
                <w:noProof/>
              </w:rPr>
              <w:t>]</w:t>
            </w:r>
            <w:r w:rsidRPr="00020316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</w:tcPr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2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8" w:type="dxa"/>
            <w:tcBorders>
              <w:top w:val="single" w:sz="4" w:space="0" w:color="auto"/>
            </w:tcBorders>
          </w:tcPr>
          <w:p w:rsidR="00DC0890" w:rsidRPr="00C85BD3" w:rsidRDefault="00DC0890" w:rsidP="00B4029E">
            <w:pPr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         </w:t>
            </w: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728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</w:tcBorders>
          </w:tcPr>
          <w:p w:rsidR="00DC0890" w:rsidRPr="00C85BD3" w:rsidRDefault="00DC0890" w:rsidP="00B4029E">
            <w:pPr>
              <w:pStyle w:val="ListParagraph"/>
              <w:spacing w:after="0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   </w:t>
            </w:r>
            <w:r w:rsidRPr="007E7A42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731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</w:tcBorders>
          </w:tcPr>
          <w:p w:rsidR="00DC0890" w:rsidRPr="00C85BD3" w:rsidRDefault="00DC0890" w:rsidP="00B4029E">
            <w:pPr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     </w:t>
            </w:r>
            <w:r w:rsidR="008D30D1">
              <w:rPr>
                <w:rFonts w:asciiTheme="majorBidi" w:hAnsiTheme="majorBidi" w:cstheme="majorBidi"/>
              </w:rPr>
              <w:t xml:space="preserve"> </w:t>
            </w:r>
            <w:r w:rsidRPr="00C85BD3">
              <w:rPr>
                <w:rFonts w:asciiTheme="majorBidi" w:hAnsiTheme="majorBidi" w:cstheme="majorBidi"/>
              </w:rPr>
              <w:t xml:space="preserve"> </w:t>
            </w:r>
            <w:r w:rsidRPr="007E7A42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51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686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890" w:rsidRPr="00A872F4" w:rsidTr="00B4029E">
        <w:trPr>
          <w:trHeight w:val="360"/>
          <w:jc w:val="center"/>
        </w:trPr>
        <w:tc>
          <w:tcPr>
            <w:tcW w:w="2554" w:type="dxa"/>
          </w:tcPr>
          <w:p w:rsidR="00DC0890" w:rsidRPr="00020316" w:rsidRDefault="00DC0890" w:rsidP="00B4029E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020316">
              <w:rPr>
                <w:rFonts w:asciiTheme="majorBidi" w:hAnsiTheme="majorBidi" w:cstheme="majorBidi"/>
                <w:b/>
                <w:bCs/>
              </w:rPr>
              <w:t xml:space="preserve">Patel (2014) </w:t>
            </w:r>
            <w:r w:rsidRPr="00020316">
              <w:rPr>
                <w:rFonts w:asciiTheme="majorBidi" w:hAnsiTheme="majorBidi" w:cstheme="majorBidi"/>
                <w:b/>
                <w:bCs/>
                <w:noProof/>
              </w:rPr>
              <w:t>[</w:t>
            </w:r>
            <w:r>
              <w:rPr>
                <w:rFonts w:asciiTheme="majorBidi" w:hAnsiTheme="majorBidi" w:cstheme="majorBidi"/>
                <w:b/>
                <w:bCs/>
                <w:noProof/>
              </w:rPr>
              <w:t>2</w:t>
            </w:r>
            <w:r w:rsidRPr="00020316">
              <w:rPr>
                <w:rFonts w:asciiTheme="majorBidi" w:hAnsiTheme="majorBidi" w:cstheme="majorBidi"/>
                <w:b/>
                <w:bCs/>
                <w:noProof/>
              </w:rPr>
              <w:t>]</w:t>
            </w:r>
          </w:p>
        </w:tc>
        <w:tc>
          <w:tcPr>
            <w:tcW w:w="1170" w:type="dxa"/>
            <w:gridSpan w:val="2"/>
          </w:tcPr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72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8" w:type="dxa"/>
          </w:tcPr>
          <w:p w:rsidR="00DC0890" w:rsidRPr="00C85BD3" w:rsidRDefault="00DC0890" w:rsidP="00B4029E">
            <w:pPr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         </w:t>
            </w: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6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7" w:type="dxa"/>
            <w:gridSpan w:val="2"/>
          </w:tcPr>
          <w:p w:rsidR="00DC0890" w:rsidRPr="00C85BD3" w:rsidRDefault="00DC0890" w:rsidP="00B4029E">
            <w:pPr>
              <w:pStyle w:val="ListParagraph"/>
              <w:spacing w:after="0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   </w:t>
            </w: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696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gridSpan w:val="2"/>
          </w:tcPr>
          <w:p w:rsidR="00DC0890" w:rsidRPr="00C85BD3" w:rsidRDefault="00DC0890" w:rsidP="00B4029E">
            <w:pPr>
              <w:ind w:left="360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</w:t>
            </w:r>
            <w:r w:rsidRPr="007E7A42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51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</w:tcPr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303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5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890" w:rsidRPr="00A872F4" w:rsidTr="00B4029E">
        <w:trPr>
          <w:trHeight w:val="288"/>
          <w:jc w:val="center"/>
        </w:trPr>
        <w:tc>
          <w:tcPr>
            <w:tcW w:w="2554" w:type="dxa"/>
          </w:tcPr>
          <w:p w:rsidR="00DC0890" w:rsidRPr="00020316" w:rsidRDefault="00DC0890" w:rsidP="00B4029E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020316">
              <w:rPr>
                <w:rFonts w:asciiTheme="majorBidi" w:hAnsiTheme="majorBidi" w:cstheme="majorBidi"/>
                <w:b/>
                <w:bCs/>
              </w:rPr>
              <w:t xml:space="preserve">Marques (2015) </w:t>
            </w:r>
            <w:r w:rsidRPr="00020316">
              <w:rPr>
                <w:rFonts w:asciiTheme="majorBidi" w:hAnsiTheme="majorBidi" w:cstheme="majorBidi"/>
                <w:b/>
                <w:bCs/>
                <w:noProof/>
              </w:rPr>
              <w:t>[</w:t>
            </w:r>
            <w:r>
              <w:rPr>
                <w:rFonts w:asciiTheme="majorBidi" w:hAnsiTheme="majorBidi" w:cstheme="majorBidi"/>
                <w:b/>
                <w:bCs/>
                <w:noProof/>
              </w:rPr>
              <w:t>3</w:t>
            </w:r>
            <w:r w:rsidRPr="00020316">
              <w:rPr>
                <w:rFonts w:asciiTheme="majorBidi" w:hAnsiTheme="majorBidi" w:cstheme="majorBidi"/>
                <w:b/>
                <w:bCs/>
                <w:noProof/>
              </w:rPr>
              <w:t>]</w:t>
            </w:r>
          </w:p>
        </w:tc>
        <w:tc>
          <w:tcPr>
            <w:tcW w:w="1170" w:type="dxa"/>
            <w:gridSpan w:val="2"/>
          </w:tcPr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7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8" w:type="dxa"/>
          </w:tcPr>
          <w:p w:rsidR="00DC0890" w:rsidRPr="00C85BD3" w:rsidRDefault="00DC0890" w:rsidP="00B4029E">
            <w:pPr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         </w:t>
            </w: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7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7" w:type="dxa"/>
            <w:gridSpan w:val="2"/>
          </w:tcPr>
          <w:p w:rsidR="00DC0890" w:rsidRPr="00C85BD3" w:rsidRDefault="00DC0890" w:rsidP="00B4029E">
            <w:pPr>
              <w:pStyle w:val="ListParagraph"/>
              <w:spacing w:after="0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   </w:t>
            </w:r>
            <w:r w:rsidRPr="007E7A42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7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gridSpan w:val="2"/>
          </w:tcPr>
          <w:p w:rsidR="00DC0890" w:rsidRPr="00C85BD3" w:rsidRDefault="00DC0890" w:rsidP="00B4029E">
            <w:pPr>
              <w:ind w:left="360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</w:t>
            </w:r>
            <w:r w:rsidRPr="007E7A42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5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</w:tcPr>
          <w:p w:rsidR="00DC0890" w:rsidRPr="00C85BD3" w:rsidRDefault="00DC0890" w:rsidP="00B4029E">
            <w:pPr>
              <w:ind w:left="360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</w:t>
            </w: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7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890" w:rsidRPr="00A872F4" w:rsidTr="00B4029E">
        <w:trPr>
          <w:trHeight w:val="306"/>
          <w:jc w:val="center"/>
        </w:trPr>
        <w:tc>
          <w:tcPr>
            <w:tcW w:w="2554" w:type="dxa"/>
          </w:tcPr>
          <w:p w:rsidR="00DC0890" w:rsidRPr="00020316" w:rsidRDefault="00DC0890" w:rsidP="00B4029E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020316">
              <w:rPr>
                <w:rFonts w:asciiTheme="majorBidi" w:hAnsiTheme="majorBidi" w:cstheme="majorBidi"/>
                <w:b/>
                <w:bCs/>
              </w:rPr>
              <w:t xml:space="preserve">Barola (2017) </w:t>
            </w:r>
            <w:r w:rsidRPr="00020316">
              <w:rPr>
                <w:rFonts w:asciiTheme="majorBidi" w:hAnsiTheme="majorBidi" w:cstheme="majorBidi"/>
                <w:b/>
                <w:bCs/>
                <w:noProof/>
              </w:rPr>
              <w:t>[</w:t>
            </w:r>
            <w:r>
              <w:rPr>
                <w:rFonts w:asciiTheme="majorBidi" w:hAnsiTheme="majorBidi" w:cstheme="majorBidi"/>
                <w:b/>
                <w:bCs/>
                <w:noProof/>
              </w:rPr>
              <w:t>4</w:t>
            </w:r>
            <w:r w:rsidRPr="00020316">
              <w:rPr>
                <w:rFonts w:asciiTheme="majorBidi" w:hAnsiTheme="majorBidi" w:cstheme="majorBidi"/>
                <w:b/>
                <w:bCs/>
                <w:noProof/>
              </w:rPr>
              <w:t>]</w:t>
            </w:r>
          </w:p>
        </w:tc>
        <w:tc>
          <w:tcPr>
            <w:tcW w:w="1170" w:type="dxa"/>
            <w:gridSpan w:val="2"/>
          </w:tcPr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72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8" w:type="dxa"/>
          </w:tcPr>
          <w:p w:rsidR="00DC0890" w:rsidRPr="00C85BD3" w:rsidRDefault="008D30D1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noProof/>
              </w:rPr>
              <w:t xml:space="preserve">    </w:t>
            </w:r>
            <w:r w:rsidR="00DC0890" w:rsidRPr="00C85BD3">
              <w:rPr>
                <w:rFonts w:asciiTheme="majorBidi" w:hAnsiTheme="majorBidi" w:cstheme="majorBidi"/>
                <w:b/>
                <w:noProof/>
              </w:rPr>
              <w:t xml:space="preserve"> </w:t>
            </w:r>
            <w:r w:rsidR="00DC0890" w:rsidRPr="00C85BD3">
              <w:rPr>
                <w:rFonts w:asciiTheme="majorBidi" w:hAnsiTheme="majorBidi" w:cstheme="majorBidi"/>
                <w:b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449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7" w:type="dxa"/>
            <w:gridSpan w:val="2"/>
          </w:tcPr>
          <w:p w:rsidR="00DC0890" w:rsidRPr="00C85BD3" w:rsidRDefault="00DC0890" w:rsidP="00B4029E">
            <w:pPr>
              <w:pStyle w:val="ListParagraph"/>
              <w:spacing w:after="0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   </w:t>
            </w: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4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gridSpan w:val="2"/>
          </w:tcPr>
          <w:p w:rsidR="00DC0890" w:rsidRPr="00C85BD3" w:rsidRDefault="00DC0890" w:rsidP="00B4029E">
            <w:pPr>
              <w:ind w:left="360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</w:t>
            </w: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45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</w:tcPr>
          <w:p w:rsidR="00DC0890" w:rsidRPr="00C85BD3" w:rsidRDefault="008D30D1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 w:rsidR="00DC0890"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45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890" w:rsidRPr="00A872F4" w:rsidTr="00B4029E">
        <w:trPr>
          <w:trHeight w:val="270"/>
          <w:jc w:val="center"/>
        </w:trPr>
        <w:tc>
          <w:tcPr>
            <w:tcW w:w="2554" w:type="dxa"/>
          </w:tcPr>
          <w:p w:rsidR="00DC0890" w:rsidRPr="00020316" w:rsidRDefault="00DC0890" w:rsidP="00B4029E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</w:t>
            </w:r>
            <w:r w:rsidRPr="00020316">
              <w:rPr>
                <w:rFonts w:asciiTheme="majorBidi" w:hAnsiTheme="majorBidi" w:cstheme="majorBidi"/>
                <w:b/>
                <w:bCs/>
              </w:rPr>
              <w:t xml:space="preserve">e Quadros (2018) </w:t>
            </w:r>
            <w:r w:rsidRPr="00020316">
              <w:rPr>
                <w:rFonts w:asciiTheme="majorBidi" w:hAnsiTheme="majorBidi" w:cstheme="majorBidi"/>
                <w:b/>
                <w:bCs/>
                <w:noProof/>
              </w:rPr>
              <w:t>[</w:t>
            </w:r>
            <w:r>
              <w:rPr>
                <w:rFonts w:asciiTheme="majorBidi" w:hAnsiTheme="majorBidi" w:cstheme="majorBidi"/>
                <w:b/>
                <w:bCs/>
                <w:noProof/>
              </w:rPr>
              <w:t>5</w:t>
            </w:r>
            <w:r w:rsidRPr="00020316">
              <w:rPr>
                <w:rFonts w:asciiTheme="majorBidi" w:hAnsiTheme="majorBidi" w:cstheme="majorBidi"/>
                <w:b/>
                <w:bCs/>
                <w:noProof/>
              </w:rPr>
              <w:t>]</w:t>
            </w:r>
          </w:p>
        </w:tc>
        <w:tc>
          <w:tcPr>
            <w:tcW w:w="1170" w:type="dxa"/>
            <w:gridSpan w:val="2"/>
          </w:tcPr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72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8" w:type="dxa"/>
          </w:tcPr>
          <w:p w:rsidR="00DC0890" w:rsidRPr="00C85BD3" w:rsidRDefault="008D30D1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noProof/>
              </w:rPr>
              <w:t xml:space="preserve">    </w:t>
            </w:r>
            <w:r w:rsidR="00DC0890" w:rsidRPr="00C85BD3">
              <w:rPr>
                <w:rFonts w:asciiTheme="majorBidi" w:hAnsiTheme="majorBidi" w:cstheme="majorBidi"/>
                <w:b/>
                <w:noProof/>
              </w:rPr>
              <w:t xml:space="preserve"> </w:t>
            </w:r>
            <w:r w:rsidR="00DC0890" w:rsidRPr="007E7A42">
              <w:rPr>
                <w:rFonts w:asciiTheme="majorBidi" w:hAnsiTheme="majorBidi" w:cstheme="majorBidi"/>
                <w:b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7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7" w:type="dxa"/>
            <w:gridSpan w:val="2"/>
          </w:tcPr>
          <w:p w:rsidR="00DC0890" w:rsidRPr="00C85BD3" w:rsidRDefault="00DC0890" w:rsidP="00B4029E">
            <w:pPr>
              <w:pStyle w:val="ListParagraph"/>
              <w:spacing w:after="0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   </w:t>
            </w:r>
            <w:r w:rsidRPr="007E7A42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733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gridSpan w:val="2"/>
          </w:tcPr>
          <w:p w:rsidR="00DC0890" w:rsidRPr="00C85BD3" w:rsidRDefault="00DC0890" w:rsidP="00B4029E">
            <w:pPr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    </w:t>
            </w:r>
            <w:r w:rsidR="008D30D1">
              <w:rPr>
                <w:rFonts w:asciiTheme="majorBidi" w:hAnsiTheme="majorBidi" w:cstheme="majorBidi"/>
              </w:rPr>
              <w:t xml:space="preserve"> </w:t>
            </w:r>
            <w:r w:rsidRPr="00C85BD3">
              <w:rPr>
                <w:rFonts w:asciiTheme="majorBidi" w:hAnsiTheme="majorBidi" w:cstheme="majorBidi"/>
              </w:rPr>
              <w:t xml:space="preserve">  </w:t>
            </w:r>
            <w:r w:rsidRPr="00303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5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</w:tcPr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4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890" w:rsidRPr="00A872F4" w:rsidTr="00B4029E">
        <w:trPr>
          <w:trHeight w:val="288"/>
          <w:jc w:val="center"/>
        </w:trPr>
        <w:tc>
          <w:tcPr>
            <w:tcW w:w="2554" w:type="dxa"/>
          </w:tcPr>
          <w:p w:rsidR="00DC0890" w:rsidRPr="00020316" w:rsidRDefault="00DC0890" w:rsidP="00B4029E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020316">
              <w:rPr>
                <w:rFonts w:asciiTheme="majorBidi" w:hAnsiTheme="majorBidi" w:cstheme="majorBidi"/>
                <w:b/>
                <w:bCs/>
              </w:rPr>
              <w:t xml:space="preserve">Lopez-Nava (2019) </w:t>
            </w:r>
            <w:r w:rsidRPr="00020316">
              <w:rPr>
                <w:rFonts w:asciiTheme="majorBidi" w:hAnsiTheme="majorBidi" w:cstheme="majorBidi"/>
                <w:b/>
                <w:bCs/>
                <w:noProof/>
              </w:rPr>
              <w:t>[</w:t>
            </w:r>
            <w:r>
              <w:rPr>
                <w:rFonts w:asciiTheme="majorBidi" w:hAnsiTheme="majorBidi" w:cstheme="majorBidi"/>
                <w:b/>
                <w:bCs/>
                <w:noProof/>
              </w:rPr>
              <w:t>6</w:t>
            </w:r>
            <w:r w:rsidRPr="00020316">
              <w:rPr>
                <w:rFonts w:asciiTheme="majorBidi" w:hAnsiTheme="majorBidi" w:cstheme="majorBidi"/>
                <w:b/>
                <w:bCs/>
                <w:noProof/>
              </w:rPr>
              <w:t>]</w:t>
            </w:r>
          </w:p>
        </w:tc>
        <w:tc>
          <w:tcPr>
            <w:tcW w:w="1170" w:type="dxa"/>
            <w:gridSpan w:val="2"/>
          </w:tcPr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72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8" w:type="dxa"/>
          </w:tcPr>
          <w:p w:rsidR="00DC0890" w:rsidRPr="00C85BD3" w:rsidRDefault="008D30D1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noProof/>
              </w:rPr>
              <w:t xml:space="preserve">     </w:t>
            </w:r>
            <w:r w:rsidR="00DC0890" w:rsidRPr="00C85BD3">
              <w:rPr>
                <w:rFonts w:asciiTheme="majorBidi" w:hAnsiTheme="majorBidi" w:cstheme="majorBidi"/>
                <w:b/>
                <w:noProof/>
              </w:rPr>
              <w:t xml:space="preserve"> </w:t>
            </w:r>
            <w:r w:rsidR="00DC0890" w:rsidRPr="00C85BD3">
              <w:rPr>
                <w:rFonts w:asciiTheme="majorBidi" w:hAnsiTheme="majorBidi" w:cstheme="majorBidi"/>
                <w:b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45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7" w:type="dxa"/>
            <w:gridSpan w:val="2"/>
          </w:tcPr>
          <w:p w:rsidR="00DC0890" w:rsidRPr="00C85BD3" w:rsidRDefault="008D30D1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</w:rPr>
              <w:t xml:space="preserve">  </w:t>
            </w:r>
            <w:r w:rsidR="00DC0890" w:rsidRPr="00C85BD3">
              <w:rPr>
                <w:rFonts w:asciiTheme="majorBidi" w:hAnsiTheme="majorBidi" w:cstheme="majorBidi"/>
                <w:noProof/>
              </w:rPr>
              <w:t xml:space="preserve">  </w:t>
            </w:r>
            <w:r w:rsidR="00DC0890" w:rsidRPr="007E7A42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7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gridSpan w:val="2"/>
          </w:tcPr>
          <w:p w:rsidR="00DC0890" w:rsidRPr="00C85BD3" w:rsidRDefault="00DC0890" w:rsidP="00B4029E">
            <w:pPr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     </w:t>
            </w:r>
            <w:r w:rsidR="008D30D1">
              <w:rPr>
                <w:rFonts w:asciiTheme="majorBidi" w:hAnsiTheme="majorBidi" w:cstheme="majorBidi"/>
              </w:rPr>
              <w:t xml:space="preserve"> </w:t>
            </w:r>
            <w:r w:rsidRPr="00C85BD3">
              <w:rPr>
                <w:rFonts w:asciiTheme="majorBidi" w:hAnsiTheme="majorBidi" w:cstheme="majorBidi"/>
              </w:rPr>
              <w:t xml:space="preserve"> </w:t>
            </w:r>
            <w:r w:rsidRPr="00303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518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</w:tcPr>
          <w:p w:rsidR="00DC0890" w:rsidRPr="00C85BD3" w:rsidRDefault="008D30D1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 w:rsidR="00DC0890"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46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890" w:rsidRPr="00A872F4" w:rsidTr="00B4029E">
        <w:trPr>
          <w:trHeight w:val="513"/>
          <w:jc w:val="center"/>
        </w:trPr>
        <w:tc>
          <w:tcPr>
            <w:tcW w:w="2554" w:type="dxa"/>
          </w:tcPr>
          <w:p w:rsidR="00DC0890" w:rsidRPr="00020316" w:rsidRDefault="00DC0890" w:rsidP="00B4029E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020316">
              <w:rPr>
                <w:rFonts w:asciiTheme="majorBidi" w:hAnsiTheme="majorBidi" w:cstheme="majorBidi"/>
                <w:b/>
                <w:bCs/>
              </w:rPr>
              <w:t xml:space="preserve">Quarta (2019) </w:t>
            </w:r>
            <w:r w:rsidRPr="00020316">
              <w:rPr>
                <w:rFonts w:asciiTheme="majorBidi" w:hAnsiTheme="majorBidi" w:cstheme="majorBidi"/>
                <w:b/>
                <w:bCs/>
                <w:noProof/>
              </w:rPr>
              <w:t>[</w:t>
            </w:r>
            <w:r>
              <w:rPr>
                <w:rFonts w:asciiTheme="majorBidi" w:hAnsiTheme="majorBidi" w:cstheme="majorBidi"/>
                <w:b/>
                <w:bCs/>
                <w:noProof/>
              </w:rPr>
              <w:t>7</w:t>
            </w:r>
            <w:r w:rsidRPr="00020316">
              <w:rPr>
                <w:rFonts w:asciiTheme="majorBidi" w:hAnsiTheme="majorBidi" w:cstheme="majorBidi"/>
                <w:b/>
                <w:bCs/>
                <w:noProof/>
              </w:rPr>
              <w:t>]</w:t>
            </w:r>
          </w:p>
        </w:tc>
        <w:tc>
          <w:tcPr>
            <w:tcW w:w="1170" w:type="dxa"/>
            <w:gridSpan w:val="2"/>
          </w:tcPr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46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8" w:type="dxa"/>
          </w:tcPr>
          <w:p w:rsidR="00DC0890" w:rsidRPr="00C85BD3" w:rsidRDefault="008D30D1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noProof/>
              </w:rPr>
              <w:t xml:space="preserve">    </w:t>
            </w:r>
            <w:r w:rsidR="00DC0890" w:rsidRPr="00C85BD3">
              <w:rPr>
                <w:rFonts w:asciiTheme="majorBidi" w:hAnsiTheme="majorBidi" w:cstheme="majorBidi"/>
                <w:b/>
                <w:noProof/>
              </w:rPr>
              <w:t xml:space="preserve"> </w:t>
            </w:r>
            <w:r w:rsidR="00DC0890" w:rsidRPr="00C85BD3">
              <w:rPr>
                <w:rFonts w:asciiTheme="majorBidi" w:hAnsiTheme="majorBidi" w:cstheme="majorBidi"/>
                <w:b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4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7" w:type="dxa"/>
            <w:gridSpan w:val="2"/>
          </w:tcPr>
          <w:p w:rsidR="00DC0890" w:rsidRPr="00C85BD3" w:rsidRDefault="008D30D1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</w:rPr>
              <w:t xml:space="preserve">  </w:t>
            </w:r>
            <w:r w:rsidR="00DC0890" w:rsidRPr="00C85BD3">
              <w:rPr>
                <w:rFonts w:asciiTheme="majorBidi" w:hAnsiTheme="majorBidi" w:cstheme="majorBidi"/>
                <w:noProof/>
              </w:rPr>
              <w:t xml:space="preserve">  </w:t>
            </w:r>
            <w:r w:rsidR="00DC0890" w:rsidRPr="007E7A42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73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gridSpan w:val="2"/>
          </w:tcPr>
          <w:p w:rsidR="00DC0890" w:rsidRPr="00C85BD3" w:rsidRDefault="00DC0890" w:rsidP="00B4029E">
            <w:pPr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     </w:t>
            </w:r>
            <w:r w:rsidR="008D30D1">
              <w:rPr>
                <w:rFonts w:asciiTheme="majorBidi" w:hAnsiTheme="majorBidi" w:cstheme="majorBidi"/>
              </w:rPr>
              <w:t xml:space="preserve"> </w:t>
            </w:r>
            <w:r w:rsidRPr="00C85BD3">
              <w:rPr>
                <w:rFonts w:asciiTheme="majorBidi" w:hAnsiTheme="majorBidi" w:cstheme="majorBidi"/>
              </w:rPr>
              <w:t xml:space="preserve"> </w:t>
            </w:r>
            <w:r w:rsidRPr="00303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51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</w:tcPr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4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890" w:rsidRPr="00A872F4" w:rsidTr="00B4029E">
        <w:trPr>
          <w:trHeight w:val="342"/>
          <w:jc w:val="center"/>
        </w:trPr>
        <w:tc>
          <w:tcPr>
            <w:tcW w:w="2554" w:type="dxa"/>
          </w:tcPr>
          <w:p w:rsidR="00DC0890" w:rsidRPr="00020316" w:rsidRDefault="00DC0890" w:rsidP="00B4029E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020316">
              <w:rPr>
                <w:rFonts w:asciiTheme="majorBidi" w:hAnsiTheme="majorBidi" w:cstheme="majorBidi"/>
                <w:b/>
                <w:bCs/>
              </w:rPr>
              <w:t xml:space="preserve">Barrichello (2020) </w:t>
            </w:r>
            <w:r w:rsidRPr="00020316">
              <w:rPr>
                <w:rFonts w:asciiTheme="majorBidi" w:hAnsiTheme="majorBidi" w:cstheme="majorBidi"/>
                <w:b/>
                <w:bCs/>
                <w:noProof/>
              </w:rPr>
              <w:t>[</w:t>
            </w:r>
            <w:r>
              <w:rPr>
                <w:rFonts w:asciiTheme="majorBidi" w:hAnsiTheme="majorBidi" w:cstheme="majorBidi"/>
                <w:b/>
                <w:bCs/>
                <w:noProof/>
              </w:rPr>
              <w:t>8</w:t>
            </w:r>
            <w:r w:rsidRPr="00020316">
              <w:rPr>
                <w:rFonts w:asciiTheme="majorBidi" w:hAnsiTheme="majorBidi" w:cstheme="majorBidi"/>
                <w:b/>
                <w:bCs/>
                <w:noProof/>
              </w:rPr>
              <w:t>]</w:t>
            </w:r>
          </w:p>
        </w:tc>
        <w:tc>
          <w:tcPr>
            <w:tcW w:w="1170" w:type="dxa"/>
            <w:gridSpan w:val="2"/>
          </w:tcPr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7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8" w:type="dxa"/>
          </w:tcPr>
          <w:p w:rsidR="00DC0890" w:rsidRPr="00C85BD3" w:rsidRDefault="00DC0890" w:rsidP="00B4029E">
            <w:pPr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         </w:t>
            </w: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4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7" w:type="dxa"/>
            <w:gridSpan w:val="2"/>
          </w:tcPr>
          <w:p w:rsidR="00DC0890" w:rsidRPr="00C85BD3" w:rsidRDefault="008D30D1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</w:rPr>
              <w:t xml:space="preserve"> </w:t>
            </w:r>
            <w:r w:rsidR="00DC0890" w:rsidRPr="00C85BD3">
              <w:rPr>
                <w:rFonts w:asciiTheme="majorBidi" w:hAnsiTheme="majorBidi" w:cstheme="majorBidi"/>
                <w:noProof/>
              </w:rPr>
              <w:t xml:space="preserve">   </w:t>
            </w:r>
            <w:r w:rsidR="00DC0890" w:rsidRPr="007E7A42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gridSpan w:val="2"/>
          </w:tcPr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 </w:t>
            </w: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4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</w:tcPr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4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890" w:rsidRPr="00A872F4" w:rsidTr="00B4029E">
        <w:trPr>
          <w:trHeight w:val="342"/>
          <w:jc w:val="center"/>
        </w:trPr>
        <w:tc>
          <w:tcPr>
            <w:tcW w:w="2554" w:type="dxa"/>
          </w:tcPr>
          <w:p w:rsidR="00DC0890" w:rsidRPr="00020316" w:rsidRDefault="00DC0890" w:rsidP="00B4029E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020316">
              <w:rPr>
                <w:rFonts w:asciiTheme="majorBidi" w:hAnsiTheme="majorBidi" w:cstheme="majorBidi"/>
                <w:b/>
                <w:bCs/>
              </w:rPr>
              <w:t xml:space="preserve">Basile (2020) </w:t>
            </w:r>
            <w:r w:rsidRPr="00020316">
              <w:rPr>
                <w:rFonts w:asciiTheme="majorBidi" w:hAnsiTheme="majorBidi" w:cstheme="majorBidi"/>
                <w:b/>
                <w:bCs/>
                <w:noProof/>
              </w:rPr>
              <w:t>[</w:t>
            </w:r>
            <w:r>
              <w:rPr>
                <w:rFonts w:asciiTheme="majorBidi" w:hAnsiTheme="majorBidi" w:cstheme="majorBidi"/>
                <w:b/>
                <w:bCs/>
                <w:noProof/>
              </w:rPr>
              <w:t>9</w:t>
            </w:r>
            <w:r w:rsidRPr="00020316">
              <w:rPr>
                <w:rFonts w:asciiTheme="majorBidi" w:hAnsiTheme="majorBidi" w:cstheme="majorBidi"/>
                <w:b/>
                <w:bCs/>
                <w:noProof/>
              </w:rPr>
              <w:t>]</w:t>
            </w:r>
          </w:p>
        </w:tc>
        <w:tc>
          <w:tcPr>
            <w:tcW w:w="1170" w:type="dxa"/>
            <w:gridSpan w:val="2"/>
          </w:tcPr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47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8" w:type="dxa"/>
          </w:tcPr>
          <w:p w:rsidR="00DC0890" w:rsidRPr="00C85BD3" w:rsidRDefault="00DC0890" w:rsidP="00B4029E">
            <w:pPr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         </w:t>
            </w: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4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7" w:type="dxa"/>
            <w:gridSpan w:val="2"/>
          </w:tcPr>
          <w:p w:rsidR="00DC0890" w:rsidRPr="00C85BD3" w:rsidRDefault="00DC0890" w:rsidP="00B4029E">
            <w:pPr>
              <w:pStyle w:val="ListParagraph"/>
              <w:spacing w:after="0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   </w:t>
            </w:r>
            <w:r w:rsidRPr="007E7A42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513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gridSpan w:val="2"/>
          </w:tcPr>
          <w:p w:rsidR="00DC0890" w:rsidRPr="00C85BD3" w:rsidRDefault="008D30D1" w:rsidP="00B4029E">
            <w:pPr>
              <w:ind w:left="36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w:r w:rsidR="00DC0890" w:rsidRPr="00303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52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</w:tcPr>
          <w:p w:rsidR="00DC0890" w:rsidRPr="00C85BD3" w:rsidRDefault="00DC0890" w:rsidP="00B4029E">
            <w:pPr>
              <w:ind w:left="360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</w:t>
            </w: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4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890" w:rsidRPr="00A872F4" w:rsidTr="00B4029E">
        <w:trPr>
          <w:trHeight w:val="360"/>
          <w:jc w:val="center"/>
        </w:trPr>
        <w:tc>
          <w:tcPr>
            <w:tcW w:w="2554" w:type="dxa"/>
          </w:tcPr>
          <w:p w:rsidR="00DC0890" w:rsidRPr="00020316" w:rsidRDefault="00DC0890" w:rsidP="00B4029E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020316">
              <w:rPr>
                <w:rFonts w:asciiTheme="majorBidi" w:hAnsiTheme="majorBidi" w:cstheme="majorBidi"/>
                <w:b/>
                <w:bCs/>
              </w:rPr>
              <w:t xml:space="preserve">Usuy et al. (2020) </w:t>
            </w:r>
            <w:r w:rsidRPr="00020316">
              <w:rPr>
                <w:rFonts w:asciiTheme="majorBidi" w:hAnsiTheme="majorBidi" w:cstheme="majorBidi"/>
                <w:b/>
                <w:bCs/>
                <w:noProof/>
              </w:rPr>
              <w:t>[</w:t>
            </w:r>
            <w:r>
              <w:rPr>
                <w:rFonts w:asciiTheme="majorBidi" w:hAnsiTheme="majorBidi" w:cstheme="majorBidi"/>
                <w:b/>
                <w:bCs/>
                <w:noProof/>
              </w:rPr>
              <w:t>10</w:t>
            </w:r>
            <w:r w:rsidRPr="00020316">
              <w:rPr>
                <w:rFonts w:asciiTheme="majorBidi" w:hAnsiTheme="majorBidi" w:cstheme="majorBidi"/>
                <w:b/>
                <w:bCs/>
                <w:noProof/>
              </w:rPr>
              <w:t>]</w:t>
            </w:r>
          </w:p>
        </w:tc>
        <w:tc>
          <w:tcPr>
            <w:tcW w:w="1170" w:type="dxa"/>
            <w:gridSpan w:val="2"/>
          </w:tcPr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7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8" w:type="dxa"/>
          </w:tcPr>
          <w:p w:rsidR="00DC0890" w:rsidRPr="00C85BD3" w:rsidRDefault="00DC0890" w:rsidP="00B4029E">
            <w:pPr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         </w:t>
            </w:r>
            <w:r w:rsidRPr="007E7A42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730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7" w:type="dxa"/>
            <w:gridSpan w:val="2"/>
          </w:tcPr>
          <w:p w:rsidR="00DC0890" w:rsidRPr="00C85BD3" w:rsidRDefault="008D30D1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</w:rPr>
              <w:t xml:space="preserve"> </w:t>
            </w:r>
            <w:r w:rsidR="00DC0890" w:rsidRPr="00C85BD3">
              <w:rPr>
                <w:rFonts w:asciiTheme="majorBidi" w:hAnsiTheme="majorBidi" w:cstheme="majorBidi"/>
                <w:noProof/>
              </w:rPr>
              <w:t xml:space="preserve">   </w:t>
            </w:r>
            <w:r w:rsidR="00DC0890"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706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gridSpan w:val="2"/>
          </w:tcPr>
          <w:p w:rsidR="00DC0890" w:rsidRPr="00C85BD3" w:rsidRDefault="00DC0890" w:rsidP="00B4029E">
            <w:pPr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</w:rPr>
              <w:t xml:space="preserve">    </w:t>
            </w:r>
            <w:r w:rsidR="008D30D1">
              <w:rPr>
                <w:rFonts w:asciiTheme="majorBidi" w:hAnsiTheme="majorBidi" w:cstheme="majorBidi"/>
              </w:rPr>
              <w:t xml:space="preserve"> </w:t>
            </w:r>
            <w:r w:rsidRPr="00C85BD3">
              <w:rPr>
                <w:rFonts w:asciiTheme="majorBidi" w:hAnsiTheme="majorBidi" w:cstheme="majorBidi"/>
              </w:rPr>
              <w:t xml:space="preserve">   </w:t>
            </w:r>
            <w:r w:rsidRPr="00C85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70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</w:tcPr>
          <w:p w:rsidR="00DC0890" w:rsidRPr="00C85BD3" w:rsidRDefault="008D30D1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 w:rsidR="00DC0890" w:rsidRPr="00303BD3">
              <w:rPr>
                <w:rFonts w:asciiTheme="majorBidi" w:hAnsiTheme="majorBidi" w:cstheme="majorBidi"/>
                <w:noProof/>
              </w:rPr>
              <w:drawing>
                <wp:inline distT="0" distB="0" distL="0" distR="0">
                  <wp:extent cx="146685" cy="146685"/>
                  <wp:effectExtent l="19050" t="0" r="5715" b="0"/>
                  <wp:docPr id="522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4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890" w:rsidRPr="00A872F4" w:rsidTr="00B4029E">
        <w:trPr>
          <w:trHeight w:val="396"/>
          <w:jc w:val="center"/>
        </w:trPr>
        <w:tc>
          <w:tcPr>
            <w:tcW w:w="2554" w:type="dxa"/>
          </w:tcPr>
          <w:p w:rsidR="00DC0890" w:rsidRPr="00020316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20316">
              <w:rPr>
                <w:rFonts w:asciiTheme="majorBidi" w:hAnsiTheme="majorBidi" w:cstheme="majorBidi"/>
                <w:b/>
                <w:bCs/>
              </w:rPr>
              <w:t>Total: 10 Studies</w:t>
            </w:r>
          </w:p>
        </w:tc>
        <w:tc>
          <w:tcPr>
            <w:tcW w:w="1170" w:type="dxa"/>
            <w:gridSpan w:val="2"/>
          </w:tcPr>
          <w:p w:rsidR="00DC0890" w:rsidRPr="00C85BD3" w:rsidRDefault="00DC0890" w:rsidP="00B4029E">
            <w:pPr>
              <w:snapToGri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85BD3">
              <w:rPr>
                <w:rFonts w:asciiTheme="majorBidi" w:hAnsiTheme="majorBidi" w:cstheme="majorBidi"/>
                <w:b/>
                <w:bCs/>
              </w:rPr>
              <w:t xml:space="preserve">GMQ </w:t>
            </w:r>
            <w:r>
              <w:rPr>
                <w:rFonts w:asciiTheme="majorBidi" w:hAnsiTheme="majorBidi" w:cstheme="majorBidi"/>
                <w:b/>
                <w:bCs/>
              </w:rPr>
              <w:t>0</w:t>
            </w:r>
          </w:p>
          <w:p w:rsidR="00DC0890" w:rsidRPr="00C85BD3" w:rsidRDefault="00DC0890" w:rsidP="00B4029E">
            <w:pPr>
              <w:snapToGri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85BD3">
              <w:rPr>
                <w:rFonts w:asciiTheme="majorBidi" w:hAnsiTheme="majorBidi" w:cstheme="majorBidi"/>
                <w:b/>
                <w:bCs/>
              </w:rPr>
              <w:t xml:space="preserve">UMQ </w:t>
            </w:r>
            <w:r>
              <w:rPr>
                <w:rFonts w:asciiTheme="majorBidi" w:hAnsiTheme="majorBidi" w:cstheme="majorBidi"/>
                <w:b/>
                <w:bCs/>
              </w:rPr>
              <w:t>0</w:t>
            </w:r>
          </w:p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  <w:b/>
                <w:bCs/>
              </w:rPr>
              <w:t xml:space="preserve">LMQ </w:t>
            </w: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1348" w:type="dxa"/>
          </w:tcPr>
          <w:p w:rsidR="00DC0890" w:rsidRPr="00C85BD3" w:rsidRDefault="00DC0890" w:rsidP="00B4029E">
            <w:pPr>
              <w:snapToGri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85BD3">
              <w:rPr>
                <w:rFonts w:asciiTheme="majorBidi" w:hAnsiTheme="majorBidi" w:cstheme="majorBidi"/>
                <w:b/>
                <w:bCs/>
              </w:rPr>
              <w:t xml:space="preserve">GMQ 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  <w:p w:rsidR="00DC0890" w:rsidRPr="00C85BD3" w:rsidRDefault="00DC0890" w:rsidP="00B4029E">
            <w:pPr>
              <w:snapToGri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85BD3">
              <w:rPr>
                <w:rFonts w:asciiTheme="majorBidi" w:hAnsiTheme="majorBidi" w:cstheme="majorBidi"/>
                <w:b/>
                <w:bCs/>
              </w:rPr>
              <w:t xml:space="preserve">UMQ 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  <w:b/>
                <w:bCs/>
              </w:rPr>
              <w:t>LMQ 0</w:t>
            </w:r>
          </w:p>
        </w:tc>
        <w:tc>
          <w:tcPr>
            <w:tcW w:w="2117" w:type="dxa"/>
            <w:gridSpan w:val="2"/>
          </w:tcPr>
          <w:p w:rsidR="00DC0890" w:rsidRPr="00C85BD3" w:rsidRDefault="00DC0890" w:rsidP="00B4029E">
            <w:pPr>
              <w:snapToGri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85BD3">
              <w:rPr>
                <w:rFonts w:asciiTheme="majorBidi" w:hAnsiTheme="majorBidi" w:cstheme="majorBidi"/>
                <w:b/>
                <w:bCs/>
              </w:rPr>
              <w:t xml:space="preserve">GMQ 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  <w:p w:rsidR="00DC0890" w:rsidRPr="00C85BD3" w:rsidRDefault="00DC0890" w:rsidP="00B4029E">
            <w:pPr>
              <w:snapToGri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85BD3">
              <w:rPr>
                <w:rFonts w:asciiTheme="majorBidi" w:hAnsiTheme="majorBidi" w:cstheme="majorBidi"/>
                <w:b/>
                <w:bCs/>
              </w:rPr>
              <w:t xml:space="preserve">UMQ 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  <w:b/>
                <w:bCs/>
              </w:rPr>
              <w:t xml:space="preserve">LMQ 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1288" w:type="dxa"/>
            <w:gridSpan w:val="2"/>
          </w:tcPr>
          <w:p w:rsidR="00DC0890" w:rsidRPr="00C85BD3" w:rsidRDefault="00DC0890" w:rsidP="00B4029E">
            <w:pPr>
              <w:snapToGri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85BD3">
              <w:rPr>
                <w:rFonts w:asciiTheme="majorBidi" w:hAnsiTheme="majorBidi" w:cstheme="majorBidi"/>
                <w:b/>
                <w:bCs/>
              </w:rPr>
              <w:t xml:space="preserve">GMQ 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  <w:p w:rsidR="00DC0890" w:rsidRPr="00C85BD3" w:rsidRDefault="00DC0890" w:rsidP="00B4029E">
            <w:pPr>
              <w:snapToGri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85BD3">
              <w:rPr>
                <w:rFonts w:asciiTheme="majorBidi" w:hAnsiTheme="majorBidi" w:cstheme="majorBidi"/>
                <w:b/>
                <w:bCs/>
              </w:rPr>
              <w:t xml:space="preserve">UMQ 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  <w:b/>
                <w:bCs/>
              </w:rPr>
              <w:t xml:space="preserve">LMQ 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1277" w:type="dxa"/>
          </w:tcPr>
          <w:p w:rsidR="00DC0890" w:rsidRPr="00C85BD3" w:rsidRDefault="00DC0890" w:rsidP="00B4029E">
            <w:pPr>
              <w:snapToGri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85BD3">
              <w:rPr>
                <w:rFonts w:asciiTheme="majorBidi" w:hAnsiTheme="majorBidi" w:cstheme="majorBidi"/>
                <w:b/>
                <w:bCs/>
              </w:rPr>
              <w:t xml:space="preserve">GMQ 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  <w:p w:rsidR="00DC0890" w:rsidRPr="00C85BD3" w:rsidRDefault="00DC0890" w:rsidP="00B4029E">
            <w:pPr>
              <w:snapToGri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85BD3">
              <w:rPr>
                <w:rFonts w:asciiTheme="majorBidi" w:hAnsiTheme="majorBidi" w:cstheme="majorBidi"/>
                <w:b/>
                <w:bCs/>
              </w:rPr>
              <w:t xml:space="preserve">UMQ 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  <w:p w:rsidR="00DC0890" w:rsidRPr="00C85BD3" w:rsidRDefault="00DC0890" w:rsidP="00B4029E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</w:rPr>
            </w:pPr>
            <w:r w:rsidRPr="00C85BD3">
              <w:rPr>
                <w:rFonts w:asciiTheme="majorBidi" w:hAnsiTheme="majorBidi" w:cstheme="majorBidi"/>
                <w:b/>
                <w:bCs/>
              </w:rPr>
              <w:t>LMQ 0</w:t>
            </w:r>
          </w:p>
        </w:tc>
      </w:tr>
    </w:tbl>
    <w:p w:rsidR="00DC0890" w:rsidRPr="00A872F4" w:rsidRDefault="00DC0890" w:rsidP="00DC0890">
      <w:pPr>
        <w:tabs>
          <w:tab w:val="left" w:pos="7344"/>
        </w:tabs>
        <w:spacing w:after="0"/>
        <w:jc w:val="center"/>
        <w:rPr>
          <w:rFonts w:asciiTheme="majorBidi" w:hAnsiTheme="majorBidi" w:cstheme="majorBidi"/>
        </w:rPr>
      </w:pPr>
    </w:p>
    <w:p w:rsidR="00DC0890" w:rsidRPr="0075218A" w:rsidRDefault="00DC0890" w:rsidP="00DC0890">
      <w:pPr>
        <w:spacing w:line="240" w:lineRule="auto"/>
        <w:jc w:val="center"/>
        <w:rPr>
          <w:rFonts w:asciiTheme="majorBidi" w:hAnsiTheme="majorBidi" w:cstheme="majorBidi"/>
        </w:rPr>
      </w:pPr>
      <w:r w:rsidRPr="0075218A">
        <w:rPr>
          <w:rFonts w:asciiTheme="majorBidi" w:hAnsiTheme="majorBidi" w:cstheme="majorBidi"/>
          <w:noProof/>
        </w:rPr>
        <w:drawing>
          <wp:inline distT="0" distB="0" distL="0" distR="0">
            <wp:extent cx="146685" cy="146685"/>
            <wp:effectExtent l="19050" t="0" r="5715" b="0"/>
            <wp:docPr id="1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4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18A">
        <w:rPr>
          <w:rFonts w:asciiTheme="majorBidi" w:hAnsiTheme="majorBidi" w:cstheme="majorBidi"/>
        </w:rPr>
        <w:t xml:space="preserve">Good methodological quality – </w:t>
      </w:r>
      <w:r w:rsidRPr="0075218A">
        <w:rPr>
          <w:rFonts w:asciiTheme="majorBidi" w:hAnsiTheme="majorBidi" w:cstheme="majorBidi"/>
          <w:noProof/>
        </w:rPr>
        <w:drawing>
          <wp:inline distT="0" distB="0" distL="0" distR="0">
            <wp:extent cx="146685" cy="146685"/>
            <wp:effectExtent l="19050" t="0" r="5715" b="0"/>
            <wp:docPr id="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6685" cy="14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18A">
        <w:rPr>
          <w:rFonts w:asciiTheme="majorBidi" w:hAnsiTheme="majorBidi" w:cstheme="majorBidi"/>
        </w:rPr>
        <w:t xml:space="preserve">  Unclear methodological quality – </w:t>
      </w:r>
      <w:r w:rsidRPr="0075218A">
        <w:rPr>
          <w:rFonts w:asciiTheme="majorBidi" w:hAnsiTheme="majorBidi" w:cstheme="majorBidi"/>
          <w:noProof/>
        </w:rPr>
        <w:drawing>
          <wp:inline distT="0" distB="0" distL="0" distR="0">
            <wp:extent cx="146685" cy="146685"/>
            <wp:effectExtent l="19050" t="0" r="5715" b="0"/>
            <wp:docPr id="1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6685" cy="14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18A">
        <w:rPr>
          <w:rFonts w:asciiTheme="majorBidi" w:hAnsiTheme="majorBidi" w:cstheme="majorBidi"/>
        </w:rPr>
        <w:t xml:space="preserve">  Low methodological quality</w:t>
      </w:r>
    </w:p>
    <w:p w:rsidR="00DC0890" w:rsidRPr="0075218A" w:rsidRDefault="00DC0890" w:rsidP="00DC0890">
      <w:pPr>
        <w:spacing w:after="120" w:line="240" w:lineRule="auto"/>
        <w:jc w:val="center"/>
        <w:rPr>
          <w:rFonts w:asciiTheme="majorBidi" w:hAnsiTheme="majorBidi" w:cstheme="majorBidi"/>
        </w:rPr>
      </w:pPr>
      <w:r w:rsidRPr="0075218A">
        <w:rPr>
          <w:rFonts w:asciiTheme="majorBidi" w:hAnsiTheme="majorBidi" w:cstheme="majorBidi"/>
        </w:rPr>
        <w:t>GMQ: good methodological quality – UMQ: unclear methodological quality – LMQ: low methodological quality</w:t>
      </w:r>
    </w:p>
    <w:p w:rsidR="00DC0890" w:rsidRDefault="00DC0890" w:rsidP="00DC0890">
      <w:pPr>
        <w:spacing w:after="12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/>
      </w:r>
    </w:p>
    <w:p w:rsidR="00DC0890" w:rsidRDefault="00DC0890" w:rsidP="00DC0890">
      <w:pPr>
        <w:spacing w:after="120" w:line="240" w:lineRule="auto"/>
        <w:rPr>
          <w:rFonts w:asciiTheme="majorBidi" w:hAnsiTheme="majorBidi" w:cstheme="majorBidi"/>
        </w:rPr>
      </w:pPr>
    </w:p>
    <w:p w:rsidR="00DC0890" w:rsidRDefault="00DC0890" w:rsidP="00DC0890">
      <w:pPr>
        <w:spacing w:after="120" w:line="240" w:lineRule="auto"/>
        <w:rPr>
          <w:rFonts w:asciiTheme="majorBidi" w:hAnsiTheme="majorBidi" w:cstheme="majorBidi"/>
          <w:b/>
          <w:bCs/>
        </w:rPr>
        <w:sectPr w:rsidR="00DC0890" w:rsidSect="004C442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DC0890" w:rsidRPr="0022219B" w:rsidRDefault="00DC0890" w:rsidP="00DC0890">
      <w:pPr>
        <w:spacing w:after="120" w:line="240" w:lineRule="auto"/>
        <w:rPr>
          <w:rFonts w:asciiTheme="majorBidi" w:hAnsiTheme="majorBidi" w:cstheme="majorBidi"/>
          <w:b/>
          <w:bCs/>
        </w:rPr>
      </w:pPr>
      <w:r w:rsidRPr="0022219B">
        <w:rPr>
          <w:rFonts w:asciiTheme="majorBidi" w:hAnsiTheme="majorBidi" w:cstheme="majorBidi"/>
          <w:b/>
          <w:bCs/>
        </w:rPr>
        <w:lastRenderedPageBreak/>
        <w:t xml:space="preserve">References: </w:t>
      </w:r>
    </w:p>
    <w:p w:rsidR="00DC0890" w:rsidRDefault="00DC0890" w:rsidP="00DC0890">
      <w:pPr>
        <w:pStyle w:val="EndNoteBibliography"/>
        <w:numPr>
          <w:ilvl w:val="0"/>
          <w:numId w:val="6"/>
        </w:numPr>
        <w:spacing w:after="0" w:line="480" w:lineRule="auto"/>
        <w:rPr>
          <w:rFonts w:asciiTheme="majorBidi" w:hAnsiTheme="majorBidi" w:cstheme="majorBidi"/>
        </w:rPr>
      </w:pPr>
      <w:r w:rsidRPr="002368FA">
        <w:rPr>
          <w:rFonts w:asciiTheme="majorBidi" w:hAnsiTheme="majorBidi" w:cstheme="majorBidi"/>
        </w:rPr>
        <w:t xml:space="preserve">Madeira M, Madeira E, Guedes EP, Mafort TT, Lopes AJ, Moreira RO, et al. Symptomatic bacterial contamination of an intragastric balloon. </w:t>
      </w:r>
      <w:r w:rsidRPr="002368FA">
        <w:rPr>
          <w:rFonts w:asciiTheme="majorBidi" w:hAnsiTheme="majorBidi" w:cstheme="majorBidi"/>
          <w:i/>
          <w:iCs/>
        </w:rPr>
        <w:t>Gastrointest Endosc</w:t>
      </w:r>
      <w:r w:rsidRPr="002368FA">
        <w:rPr>
          <w:rFonts w:asciiTheme="majorBidi" w:hAnsiTheme="majorBidi" w:cstheme="majorBidi"/>
        </w:rPr>
        <w:t>. 2013;78:360-361.</w:t>
      </w:r>
    </w:p>
    <w:p w:rsidR="00DC0890" w:rsidRDefault="00DC0890" w:rsidP="00DC0890">
      <w:pPr>
        <w:pStyle w:val="EndNoteBibliography"/>
        <w:numPr>
          <w:ilvl w:val="0"/>
          <w:numId w:val="6"/>
        </w:numPr>
        <w:spacing w:after="0" w:line="480" w:lineRule="auto"/>
        <w:rPr>
          <w:rFonts w:asciiTheme="majorBidi" w:hAnsiTheme="majorBidi" w:cstheme="majorBidi"/>
        </w:rPr>
      </w:pPr>
      <w:r w:rsidRPr="002368FA">
        <w:rPr>
          <w:rFonts w:asciiTheme="majorBidi" w:hAnsiTheme="majorBidi" w:cstheme="majorBidi"/>
        </w:rPr>
        <w:t xml:space="preserve">Patel KV, Ooi J, Ray S, Griffin N, Oben JA. Abdominal pain following obesity treatment. </w:t>
      </w:r>
      <w:r w:rsidRPr="002368FA">
        <w:rPr>
          <w:rFonts w:asciiTheme="majorBidi" w:hAnsiTheme="majorBidi" w:cstheme="majorBidi"/>
          <w:i/>
          <w:iCs/>
        </w:rPr>
        <w:t>Gut</w:t>
      </w:r>
      <w:r w:rsidRPr="002368FA">
        <w:rPr>
          <w:rFonts w:asciiTheme="majorBidi" w:hAnsiTheme="majorBidi" w:cstheme="majorBidi"/>
        </w:rPr>
        <w:t>. 2014;63:364-365.</w:t>
      </w:r>
    </w:p>
    <w:p w:rsidR="00DC0890" w:rsidRPr="002368FA" w:rsidRDefault="00DC0890" w:rsidP="00DC0890">
      <w:pPr>
        <w:pStyle w:val="EndNoteBibliography"/>
        <w:numPr>
          <w:ilvl w:val="0"/>
          <w:numId w:val="6"/>
        </w:numPr>
        <w:spacing w:after="0" w:line="480" w:lineRule="auto"/>
        <w:rPr>
          <w:rFonts w:asciiTheme="majorBidi" w:hAnsiTheme="majorBidi" w:cstheme="majorBidi"/>
        </w:rPr>
      </w:pPr>
      <w:r w:rsidRPr="002368FA">
        <w:rPr>
          <w:rFonts w:asciiTheme="majorBidi" w:hAnsiTheme="majorBidi" w:cstheme="majorBidi"/>
        </w:rPr>
        <w:t xml:space="preserve">Marques L, de Souza TF, Grecco E, Neto MDPG, Ramos FM, Verira FM, et al. Proposed treatment of adjustable intragastric balloon contaminated with Candida. </w:t>
      </w:r>
      <w:r w:rsidRPr="00DC0890">
        <w:rPr>
          <w:rStyle w:val="Strong"/>
          <w:rFonts w:asciiTheme="majorBidi" w:hAnsiTheme="majorBidi" w:cstheme="majorBidi"/>
          <w:b w:val="0"/>
          <w:bCs w:val="0"/>
          <w:i/>
          <w:iCs/>
          <w:shd w:val="clear" w:color="auto" w:fill="FFFFFF"/>
        </w:rPr>
        <w:t>Bariatr Surg Pract Patient Care</w:t>
      </w:r>
      <w:r w:rsidRPr="002368FA">
        <w:rPr>
          <w:rFonts w:asciiTheme="majorBidi" w:hAnsiTheme="majorBidi" w:cstheme="majorBidi"/>
        </w:rPr>
        <w:t>. 2015;10:169-172.</w:t>
      </w:r>
    </w:p>
    <w:p w:rsidR="00DC0890" w:rsidRPr="002368FA" w:rsidRDefault="00DC0890" w:rsidP="00DC0890">
      <w:pPr>
        <w:pStyle w:val="EndNoteBibliography"/>
        <w:numPr>
          <w:ilvl w:val="0"/>
          <w:numId w:val="6"/>
        </w:numPr>
        <w:spacing w:after="0" w:line="480" w:lineRule="auto"/>
        <w:rPr>
          <w:rFonts w:asciiTheme="majorBidi" w:hAnsiTheme="majorBidi" w:cstheme="majorBidi"/>
        </w:rPr>
      </w:pPr>
      <w:r w:rsidRPr="002368FA">
        <w:rPr>
          <w:rFonts w:asciiTheme="majorBidi" w:hAnsiTheme="majorBidi" w:cstheme="majorBidi"/>
        </w:rPr>
        <w:t xml:space="preserve">Barola S, Agnihotri A, Chang Chiu A, Kalloo AN, Kumbhari V. Spontaneous hyperinflation of an intragastric balloon 5 months after insertion. </w:t>
      </w:r>
      <w:r w:rsidRPr="002368FA">
        <w:rPr>
          <w:rFonts w:asciiTheme="majorBidi" w:hAnsiTheme="majorBidi" w:cstheme="majorBidi"/>
          <w:i/>
          <w:iCs/>
        </w:rPr>
        <w:t>Am J Gastroenterol</w:t>
      </w:r>
      <w:r w:rsidRPr="002368FA">
        <w:rPr>
          <w:rFonts w:asciiTheme="majorBidi" w:hAnsiTheme="majorBidi" w:cstheme="majorBidi"/>
        </w:rPr>
        <w:t>. 2017;112:412.</w:t>
      </w:r>
    </w:p>
    <w:p w:rsidR="00DC0890" w:rsidRPr="002368FA" w:rsidRDefault="00DC0890" w:rsidP="00DC0890">
      <w:pPr>
        <w:pStyle w:val="EndNoteBibliography"/>
        <w:numPr>
          <w:ilvl w:val="0"/>
          <w:numId w:val="6"/>
        </w:numPr>
        <w:spacing w:after="0"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</w:t>
      </w:r>
      <w:r w:rsidRPr="002368FA">
        <w:rPr>
          <w:rFonts w:asciiTheme="majorBidi" w:hAnsiTheme="majorBidi" w:cstheme="majorBidi"/>
        </w:rPr>
        <w:t xml:space="preserve">e Quadros LG, Neto MDPG, Grecco E, de Souza TF, Kaiser Jr RL, Campos JM, et al. Intragastric balloon hyperinsufflation as a cause of acute obstructive abdomen. </w:t>
      </w:r>
      <w:r w:rsidRPr="002368FA">
        <w:rPr>
          <w:rFonts w:asciiTheme="majorBidi" w:hAnsiTheme="majorBidi" w:cstheme="majorBidi"/>
          <w:i/>
          <w:iCs/>
        </w:rPr>
        <w:t>ACG Case Rep J</w:t>
      </w:r>
      <w:r w:rsidRPr="002368FA">
        <w:rPr>
          <w:rFonts w:asciiTheme="majorBidi" w:hAnsiTheme="majorBidi" w:cstheme="majorBidi"/>
        </w:rPr>
        <w:t>. 2018;5:e69.</w:t>
      </w:r>
    </w:p>
    <w:p w:rsidR="00DC0890" w:rsidRPr="002368FA" w:rsidRDefault="00DC0890" w:rsidP="00DC0890">
      <w:pPr>
        <w:pStyle w:val="EndNoteBibliography"/>
        <w:numPr>
          <w:ilvl w:val="0"/>
          <w:numId w:val="6"/>
        </w:numPr>
        <w:spacing w:after="0" w:line="480" w:lineRule="auto"/>
        <w:rPr>
          <w:rFonts w:asciiTheme="majorBidi" w:hAnsiTheme="majorBidi" w:cstheme="majorBidi"/>
        </w:rPr>
      </w:pPr>
      <w:r w:rsidRPr="002368FA">
        <w:rPr>
          <w:rFonts w:asciiTheme="majorBidi" w:hAnsiTheme="majorBidi" w:cstheme="majorBidi"/>
        </w:rPr>
        <w:t xml:space="preserve">Lopez-Nava G, Asokkumar R, Bautista I, Negi A. Spontaneous hyperinflation of intragastric balloon: What caused it? </w:t>
      </w:r>
      <w:r w:rsidRPr="002368FA">
        <w:rPr>
          <w:rFonts w:asciiTheme="majorBidi" w:hAnsiTheme="majorBidi" w:cstheme="majorBidi"/>
          <w:i/>
          <w:iCs/>
        </w:rPr>
        <w:t>Endoscopy</w:t>
      </w:r>
      <w:r w:rsidRPr="002368FA">
        <w:rPr>
          <w:rFonts w:asciiTheme="majorBidi" w:hAnsiTheme="majorBidi" w:cstheme="majorBidi"/>
        </w:rPr>
        <w:t>. 2020;52:411-412.</w:t>
      </w:r>
    </w:p>
    <w:p w:rsidR="00DC0890" w:rsidRPr="002368FA" w:rsidRDefault="00DC0890" w:rsidP="00DC0890">
      <w:pPr>
        <w:pStyle w:val="EndNoteBibliography"/>
        <w:numPr>
          <w:ilvl w:val="0"/>
          <w:numId w:val="6"/>
        </w:numPr>
        <w:spacing w:after="0" w:line="480" w:lineRule="auto"/>
        <w:rPr>
          <w:rFonts w:asciiTheme="majorBidi" w:hAnsiTheme="majorBidi" w:cstheme="majorBidi"/>
        </w:rPr>
      </w:pPr>
      <w:r w:rsidRPr="002368FA">
        <w:rPr>
          <w:rFonts w:asciiTheme="majorBidi" w:hAnsiTheme="majorBidi" w:cstheme="majorBidi"/>
        </w:rPr>
        <w:t xml:space="preserve">Quarta G, Popov VB. Intragastric balloon hyperinflation secondary to polymicrobial overgrowth associated with proton pump inhibitor use. </w:t>
      </w:r>
      <w:r w:rsidRPr="002368FA">
        <w:rPr>
          <w:rFonts w:asciiTheme="majorBidi" w:hAnsiTheme="majorBidi" w:cstheme="majorBidi"/>
          <w:i/>
          <w:iCs/>
        </w:rPr>
        <w:t>Gastrointest Endosc</w:t>
      </w:r>
      <w:r w:rsidRPr="002368FA">
        <w:rPr>
          <w:rFonts w:asciiTheme="majorBidi" w:hAnsiTheme="majorBidi" w:cstheme="majorBidi"/>
        </w:rPr>
        <w:t>. 2019;90:311-312.</w:t>
      </w:r>
    </w:p>
    <w:p w:rsidR="00DC0890" w:rsidRPr="002368FA" w:rsidRDefault="00DC0890" w:rsidP="00DC0890">
      <w:pPr>
        <w:pStyle w:val="EndNoteBibliography"/>
        <w:numPr>
          <w:ilvl w:val="0"/>
          <w:numId w:val="6"/>
        </w:numPr>
        <w:spacing w:after="0" w:line="480" w:lineRule="auto"/>
        <w:rPr>
          <w:rFonts w:asciiTheme="majorBidi" w:hAnsiTheme="majorBidi" w:cstheme="majorBidi"/>
        </w:rPr>
      </w:pPr>
      <w:r w:rsidRPr="002368FA">
        <w:rPr>
          <w:rFonts w:asciiTheme="majorBidi" w:hAnsiTheme="majorBidi" w:cstheme="majorBidi"/>
        </w:rPr>
        <w:t xml:space="preserve">Barrichello S, de Moura DTH, Hoff AC, Veinert A, Thompson CC. Acute pancreatitis due to intragastric balloon hyperinflation (with video). </w:t>
      </w:r>
      <w:r w:rsidRPr="002368FA">
        <w:rPr>
          <w:rFonts w:asciiTheme="majorBidi" w:hAnsiTheme="majorBidi" w:cstheme="majorBidi"/>
          <w:i/>
          <w:iCs/>
        </w:rPr>
        <w:t>Gastrointest Endosc</w:t>
      </w:r>
      <w:r w:rsidRPr="002368FA">
        <w:rPr>
          <w:rFonts w:asciiTheme="majorBidi" w:hAnsiTheme="majorBidi" w:cstheme="majorBidi"/>
        </w:rPr>
        <w:t>. 2020;91:1207-1209.</w:t>
      </w:r>
    </w:p>
    <w:p w:rsidR="00DC0890" w:rsidRDefault="00DC0890" w:rsidP="00DC0890">
      <w:pPr>
        <w:pStyle w:val="EndNoteBibliography"/>
        <w:numPr>
          <w:ilvl w:val="0"/>
          <w:numId w:val="6"/>
        </w:numPr>
        <w:spacing w:after="0" w:line="480" w:lineRule="auto"/>
        <w:rPr>
          <w:rFonts w:asciiTheme="majorBidi" w:hAnsiTheme="majorBidi" w:cstheme="majorBidi"/>
        </w:rPr>
      </w:pPr>
      <w:r w:rsidRPr="002368FA">
        <w:rPr>
          <w:rFonts w:asciiTheme="majorBidi" w:hAnsiTheme="majorBidi" w:cstheme="majorBidi"/>
        </w:rPr>
        <w:t xml:space="preserve">Basile P, Marre C, Le Mouel JP. Gastric obstruction secondary to an unexplained hyperinflation of an intragastric balloon. </w:t>
      </w:r>
      <w:r w:rsidRPr="002368FA">
        <w:rPr>
          <w:rFonts w:asciiTheme="majorBidi" w:hAnsiTheme="majorBidi" w:cstheme="majorBidi"/>
          <w:i/>
          <w:iCs/>
        </w:rPr>
        <w:t>Clin Gastroenterol Hepatol</w:t>
      </w:r>
      <w:r w:rsidRPr="002368FA">
        <w:rPr>
          <w:rFonts w:asciiTheme="majorBidi" w:hAnsiTheme="majorBidi" w:cstheme="majorBidi"/>
        </w:rPr>
        <w:t>. 2020;18:A16.</w:t>
      </w:r>
    </w:p>
    <w:p w:rsidR="00DC0890" w:rsidRPr="0022219B" w:rsidRDefault="00DC0890" w:rsidP="00DC0890">
      <w:pPr>
        <w:pStyle w:val="EndNoteBibliography"/>
        <w:numPr>
          <w:ilvl w:val="0"/>
          <w:numId w:val="6"/>
        </w:numPr>
        <w:spacing w:after="0" w:line="480" w:lineRule="auto"/>
        <w:rPr>
          <w:rFonts w:asciiTheme="majorBidi" w:hAnsiTheme="majorBidi" w:cstheme="majorBidi"/>
        </w:rPr>
      </w:pPr>
      <w:r w:rsidRPr="0022219B">
        <w:rPr>
          <w:rFonts w:asciiTheme="majorBidi" w:hAnsiTheme="majorBidi" w:cstheme="majorBidi"/>
        </w:rPr>
        <w:t xml:space="preserve">Usuy E, Silva M, Neto MDPG, Grecco E, de Souza TF, de Quadros LG. Antibiotics to prevent relapse of adjustable gastric balloon hyperinflation: feasible for balloon maintenance? </w:t>
      </w:r>
      <w:r w:rsidRPr="0022219B">
        <w:rPr>
          <w:rFonts w:asciiTheme="majorBidi" w:hAnsiTheme="majorBidi" w:cstheme="majorBidi"/>
          <w:i/>
          <w:iCs/>
        </w:rPr>
        <w:t>GE Port J Gastroenterol</w:t>
      </w:r>
      <w:r w:rsidRPr="0022219B">
        <w:rPr>
          <w:rFonts w:asciiTheme="majorBidi" w:hAnsiTheme="majorBidi" w:cstheme="majorBidi"/>
        </w:rPr>
        <w:t xml:space="preserve">. 2020; 28:52-55.  </w:t>
      </w:r>
    </w:p>
    <w:p w:rsidR="00DC0890" w:rsidRPr="001F077C" w:rsidRDefault="00DC0890" w:rsidP="00DC0890">
      <w:pPr>
        <w:rPr>
          <w:rFonts w:asciiTheme="majorBidi" w:hAnsiTheme="majorBidi" w:cstheme="majorBidi"/>
          <w:sz w:val="20"/>
          <w:szCs w:val="20"/>
        </w:rPr>
        <w:sectPr w:rsidR="00DC0890" w:rsidRPr="001F077C" w:rsidSect="0022219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C0890" w:rsidRPr="008C0639" w:rsidRDefault="00DC0890" w:rsidP="00DC0890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Supplementary Figure 1</w:t>
      </w:r>
      <w:r w:rsidRPr="008C0639">
        <w:rPr>
          <w:rFonts w:ascii="Times New Roman" w:eastAsia="Times New Roman" w:hAnsi="Times New Roman" w:cs="Times New Roman"/>
          <w:b/>
          <w:bCs/>
        </w:rPr>
        <w:t>:</w:t>
      </w:r>
      <w:r w:rsidRPr="008C0639">
        <w:rPr>
          <w:rFonts w:ascii="Times New Roman" w:eastAsia="Times New Roman" w:hAnsi="Times New Roman" w:cs="Times New Roman"/>
        </w:rPr>
        <w:t xml:space="preserve"> </w:t>
      </w:r>
      <w:r w:rsidRPr="008C0639">
        <w:rPr>
          <w:rFonts w:asciiTheme="majorBidi" w:eastAsiaTheme="minorHAnsi" w:hAnsiTheme="majorBidi" w:cstheme="majorBidi"/>
        </w:rPr>
        <w:t>Evaluation of the methodological quality of the</w:t>
      </w:r>
      <w:r>
        <w:rPr>
          <w:rFonts w:asciiTheme="majorBidi" w:eastAsiaTheme="minorHAnsi" w:hAnsiTheme="majorBidi" w:cstheme="majorBidi"/>
        </w:rPr>
        <w:t xml:space="preserve"> case reports</w:t>
      </w:r>
      <w:r w:rsidRPr="008C0639">
        <w:rPr>
          <w:rFonts w:asciiTheme="majorBidi" w:eastAsiaTheme="minorHAnsi" w:hAnsiTheme="majorBidi" w:cstheme="majorBidi"/>
        </w:rPr>
        <w:t xml:space="preserve"> in the systematic review</w:t>
      </w:r>
    </w:p>
    <w:p w:rsidR="00DC0890" w:rsidRDefault="00DC0890" w:rsidP="00DC0890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12"/>
          <w:szCs w:val="12"/>
        </w:rPr>
      </w:pPr>
    </w:p>
    <w:p w:rsidR="00DC0890" w:rsidRPr="001F077C" w:rsidRDefault="00DC0890" w:rsidP="00DC0890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12"/>
          <w:szCs w:val="12"/>
        </w:rPr>
      </w:pPr>
    </w:p>
    <w:p w:rsidR="00DC0890" w:rsidRDefault="00DC0890" w:rsidP="00DC089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  <w:sectPr w:rsidR="00DC0890" w:rsidSect="001F077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1F077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761817" cy="3649345"/>
            <wp:effectExtent l="19050" t="0" r="10583" b="8255"/>
            <wp:docPr id="524" name="Chart 13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AA9380AE-E5B4-4756-A915-43A5800414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323B1" w:rsidRDefault="006323B1" w:rsidP="00DC0890"/>
    <w:sectPr w:rsidR="006323B1" w:rsidSect="006323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B79" w:rsidRDefault="00874B79" w:rsidP="007D6D02">
      <w:pPr>
        <w:spacing w:after="0" w:line="240" w:lineRule="auto"/>
      </w:pPr>
      <w:r>
        <w:separator/>
      </w:r>
    </w:p>
  </w:endnote>
  <w:endnote w:type="continuationSeparator" w:id="0">
    <w:p w:rsidR="00874B79" w:rsidRDefault="00874B79" w:rsidP="007D6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428" w:rsidRDefault="00874B79" w:rsidP="004761CB">
    <w:pPr>
      <w:pStyle w:val="Footer"/>
    </w:pPr>
  </w:p>
  <w:p w:rsidR="004C4428" w:rsidRDefault="00874B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B79" w:rsidRDefault="00874B79" w:rsidP="007D6D02">
      <w:pPr>
        <w:spacing w:after="0" w:line="240" w:lineRule="auto"/>
      </w:pPr>
      <w:r>
        <w:separator/>
      </w:r>
    </w:p>
  </w:footnote>
  <w:footnote w:type="continuationSeparator" w:id="0">
    <w:p w:rsidR="00874B79" w:rsidRDefault="00874B79" w:rsidP="007D6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B44DB"/>
    <w:multiLevelType w:val="hybridMultilevel"/>
    <w:tmpl w:val="730AA05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816613"/>
    <w:multiLevelType w:val="hybridMultilevel"/>
    <w:tmpl w:val="700860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441A24"/>
    <w:multiLevelType w:val="hybridMultilevel"/>
    <w:tmpl w:val="090C5708"/>
    <w:lvl w:ilvl="0" w:tplc="57C49590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7E74AF"/>
    <w:multiLevelType w:val="hybridMultilevel"/>
    <w:tmpl w:val="89121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B3EBF"/>
    <w:multiLevelType w:val="hybridMultilevel"/>
    <w:tmpl w:val="C6320C6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EC47CD"/>
    <w:multiLevelType w:val="hybridMultilevel"/>
    <w:tmpl w:val="8A78A68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890"/>
    <w:rsid w:val="000B1551"/>
    <w:rsid w:val="00412DB8"/>
    <w:rsid w:val="005362C8"/>
    <w:rsid w:val="006323B1"/>
    <w:rsid w:val="006C58E6"/>
    <w:rsid w:val="006D576D"/>
    <w:rsid w:val="00720FA1"/>
    <w:rsid w:val="007C69E9"/>
    <w:rsid w:val="007D6D02"/>
    <w:rsid w:val="00874B79"/>
    <w:rsid w:val="008D30D1"/>
    <w:rsid w:val="00BC70DA"/>
    <w:rsid w:val="00DC0890"/>
    <w:rsid w:val="00FC3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89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uiPriority w:val="99"/>
    <w:rsid w:val="00DC0890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uiPriority w:val="99"/>
    <w:rsid w:val="00DC0890"/>
    <w:rPr>
      <w:rFonts w:ascii="Calibri" w:eastAsiaTheme="minorEastAsia" w:hAnsi="Calibri"/>
      <w:noProof/>
    </w:rPr>
  </w:style>
  <w:style w:type="character" w:styleId="Strong">
    <w:name w:val="Strong"/>
    <w:basedOn w:val="DefaultParagraphFont"/>
    <w:uiPriority w:val="22"/>
    <w:qFormat/>
    <w:rsid w:val="00DC0890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DC0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890"/>
    <w:rPr>
      <w:rFonts w:eastAsiaTheme="minorEastAsia"/>
    </w:rPr>
  </w:style>
  <w:style w:type="table" w:styleId="TableGrid">
    <w:name w:val="Table Grid"/>
    <w:basedOn w:val="TableNormal"/>
    <w:uiPriority w:val="39"/>
    <w:rsid w:val="00DC08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DC0890"/>
    <w:pPr>
      <w:spacing w:after="160" w:line="259" w:lineRule="auto"/>
      <w:ind w:left="720"/>
      <w:contextualSpacing/>
    </w:pPr>
    <w:rPr>
      <w:rFonts w:eastAsiaTheme="minorHAnsi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C0890"/>
  </w:style>
  <w:style w:type="paragraph" w:styleId="BalloonText">
    <w:name w:val="Balloon Text"/>
    <w:basedOn w:val="Normal"/>
    <w:link w:val="BalloonTextChar"/>
    <w:uiPriority w:val="99"/>
    <w:semiHidden/>
    <w:unhideWhenUsed/>
    <w:rsid w:val="00DC0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89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adi\Desktop\Scholary%20Activity\Research\Intragastric%20Ballon%20Hyperinflation\BMC%20Gastroenterology%20Submission\Methodological%20Quality\Methodological%20Quality%20Assessment-IGB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 b="1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rPr>
              <a:t>Domains</a:t>
            </a:r>
            <a:r>
              <a:rPr lang="en-US" sz="1600" b="1" baseline="0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rPr>
              <a:t> of Quality Assessment </a:t>
            </a:r>
            <a:endParaRPr lang="en-US" sz="16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5612226677831686"/>
          <c:y val="0.12448517258763452"/>
          <c:w val="0.80878931159220968"/>
          <c:h val="0.69754069800833562"/>
        </c:manualLayout>
      </c:layout>
      <c:barChart>
        <c:barDir val="bar"/>
        <c:grouping val="stacked"/>
        <c:ser>
          <c:idx val="0"/>
          <c:order val="0"/>
          <c:tx>
            <c:strRef>
              <c:f>'Risk of Bias'!$B$65</c:f>
              <c:strCache>
                <c:ptCount val="1"/>
                <c:pt idx="0">
                  <c:v>Good methodological quality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cat>
            <c:strRef>
              <c:f>'Risk of Bias'!$C$64:$G$64</c:f>
              <c:strCache>
                <c:ptCount val="5"/>
                <c:pt idx="0">
                  <c:v>Selection</c:v>
                </c:pt>
                <c:pt idx="1">
                  <c:v>Ascertainment 1</c:v>
                </c:pt>
                <c:pt idx="2">
                  <c:v>Ascertainment 2</c:v>
                </c:pt>
                <c:pt idx="3">
                  <c:v>Causality</c:v>
                </c:pt>
                <c:pt idx="4">
                  <c:v>Reporting</c:v>
                </c:pt>
              </c:strCache>
            </c:strRef>
          </c:cat>
          <c:val>
            <c:numRef>
              <c:f>'Risk of Bias'!$C$65:$G$65</c:f>
              <c:numCache>
                <c:formatCode>General</c:formatCode>
                <c:ptCount val="5"/>
                <c:pt idx="0">
                  <c:v>0</c:v>
                </c:pt>
                <c:pt idx="1">
                  <c:v>40</c:v>
                </c:pt>
                <c:pt idx="2">
                  <c:v>50</c:v>
                </c:pt>
                <c:pt idx="3">
                  <c:v>30</c:v>
                </c:pt>
                <c:pt idx="4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B32-436D-B42C-5BEDF4C82679}"/>
            </c:ext>
          </c:extLst>
        </c:ser>
        <c:ser>
          <c:idx val="1"/>
          <c:order val="1"/>
          <c:tx>
            <c:strRef>
              <c:f>'Risk of Bias'!$B$66</c:f>
              <c:strCache>
                <c:ptCount val="1"/>
                <c:pt idx="0">
                  <c:v>Unclear methodological quality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cat>
            <c:strRef>
              <c:f>'Risk of Bias'!$C$64:$G$64</c:f>
              <c:strCache>
                <c:ptCount val="5"/>
                <c:pt idx="0">
                  <c:v>Selection</c:v>
                </c:pt>
                <c:pt idx="1">
                  <c:v>Ascertainment 1</c:v>
                </c:pt>
                <c:pt idx="2">
                  <c:v>Ascertainment 2</c:v>
                </c:pt>
                <c:pt idx="3">
                  <c:v>Causality</c:v>
                </c:pt>
                <c:pt idx="4">
                  <c:v>Reporting</c:v>
                </c:pt>
              </c:strCache>
            </c:strRef>
          </c:cat>
          <c:val>
            <c:numRef>
              <c:f>'Risk of Bias'!$C$66:$G$66</c:f>
              <c:numCache>
                <c:formatCode>General</c:formatCode>
                <c:ptCount val="5"/>
                <c:pt idx="0">
                  <c:v>0</c:v>
                </c:pt>
                <c:pt idx="1">
                  <c:v>60</c:v>
                </c:pt>
                <c:pt idx="2">
                  <c:v>30</c:v>
                </c:pt>
                <c:pt idx="3">
                  <c:v>30</c:v>
                </c:pt>
                <c:pt idx="4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B32-436D-B42C-5BEDF4C82679}"/>
            </c:ext>
          </c:extLst>
        </c:ser>
        <c:ser>
          <c:idx val="2"/>
          <c:order val="2"/>
          <c:tx>
            <c:strRef>
              <c:f>'Risk of Bias'!$B$67</c:f>
              <c:strCache>
                <c:ptCount val="1"/>
                <c:pt idx="0">
                  <c:v>Low methodological quality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cat>
            <c:strRef>
              <c:f>'Risk of Bias'!$C$64:$G$64</c:f>
              <c:strCache>
                <c:ptCount val="5"/>
                <c:pt idx="0">
                  <c:v>Selection</c:v>
                </c:pt>
                <c:pt idx="1">
                  <c:v>Ascertainment 1</c:v>
                </c:pt>
                <c:pt idx="2">
                  <c:v>Ascertainment 2</c:v>
                </c:pt>
                <c:pt idx="3">
                  <c:v>Causality</c:v>
                </c:pt>
                <c:pt idx="4">
                  <c:v>Reporting</c:v>
                </c:pt>
              </c:strCache>
            </c:strRef>
          </c:cat>
          <c:val>
            <c:numRef>
              <c:f>'Risk of Bias'!$C$67:$G$67</c:f>
              <c:numCache>
                <c:formatCode>General</c:formatCode>
                <c:ptCount val="5"/>
                <c:pt idx="0">
                  <c:v>100</c:v>
                </c:pt>
                <c:pt idx="1">
                  <c:v>0</c:v>
                </c:pt>
                <c:pt idx="2">
                  <c:v>20</c:v>
                </c:pt>
                <c:pt idx="3">
                  <c:v>40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B32-436D-B42C-5BEDF4C82679}"/>
            </c:ext>
          </c:extLst>
        </c:ser>
        <c:overlap val="100"/>
        <c:axId val="129839872"/>
        <c:axId val="129842176"/>
      </c:barChart>
      <c:catAx>
        <c:axId val="12983987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en-US"/>
          </a:p>
        </c:txPr>
        <c:crossAx val="129842176"/>
        <c:crosses val="autoZero"/>
        <c:auto val="1"/>
        <c:lblAlgn val="ctr"/>
        <c:lblOffset val="100"/>
      </c:catAx>
      <c:valAx>
        <c:axId val="129842176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9839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052627906668118E-2"/>
          <c:y val="0.90750829392728449"/>
          <c:w val="0.86362411318542742"/>
          <c:h val="6.8993016386789729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1122</Words>
  <Characters>6402</Characters>
  <Application>Microsoft Office Word</Application>
  <DocSecurity>0</DocSecurity>
  <Lines>53</Lines>
  <Paragraphs>15</Paragraphs>
  <ScaleCrop>false</ScaleCrop>
  <Company/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Fadi Hawa</dc:creator>
  <cp:lastModifiedBy>Fadi Hawa</cp:lastModifiedBy>
  <cp:revision>13</cp:revision>
  <dcterms:created xsi:type="dcterms:W3CDTF">2021-03-09T01:45:00Z</dcterms:created>
  <dcterms:modified xsi:type="dcterms:W3CDTF">2021-03-11T20:20:00Z</dcterms:modified>
</cp:coreProperties>
</file>