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BBA97" w14:textId="77777777" w:rsidR="00B56B23" w:rsidRPr="003467E9" w:rsidRDefault="00B56B23" w:rsidP="00B56B23">
      <w:pPr>
        <w:spacing w:line="480" w:lineRule="auto"/>
        <w:rPr>
          <w:b/>
          <w:szCs w:val="22"/>
        </w:rPr>
      </w:pPr>
      <w:r w:rsidRPr="003467E9">
        <w:rPr>
          <w:b/>
          <w:szCs w:val="22"/>
        </w:rPr>
        <w:t xml:space="preserve">Appendix </w:t>
      </w:r>
      <w:r>
        <w:rPr>
          <w:b/>
          <w:szCs w:val="22"/>
        </w:rPr>
        <w:t>1</w:t>
      </w:r>
      <w:r w:rsidRPr="003467E9">
        <w:rPr>
          <w:b/>
          <w:szCs w:val="22"/>
        </w:rPr>
        <w:t>: Details of the methodology of parent study by MEASURE Evaluation researchers</w:t>
      </w:r>
    </w:p>
    <w:p w14:paraId="5E022246" w14:textId="77777777" w:rsidR="00B56B23" w:rsidRPr="00A4112E" w:rsidRDefault="00B56B23" w:rsidP="00B56B23">
      <w:pPr>
        <w:spacing w:line="480" w:lineRule="auto"/>
        <w:rPr>
          <w:szCs w:val="22"/>
        </w:rPr>
      </w:pPr>
      <w:r w:rsidRPr="00A4112E">
        <w:rPr>
          <w:szCs w:val="22"/>
        </w:rPr>
        <w:t xml:space="preserve">Data </w:t>
      </w:r>
      <w:r>
        <w:rPr>
          <w:szCs w:val="22"/>
        </w:rPr>
        <w:t xml:space="preserve">for the present study </w:t>
      </w:r>
      <w:r w:rsidRPr="00A4112E">
        <w:rPr>
          <w:szCs w:val="22"/>
        </w:rPr>
        <w:t>are from a quasi-experimental referral network</w:t>
      </w:r>
      <w:r>
        <w:rPr>
          <w:szCs w:val="22"/>
        </w:rPr>
        <w:t xml:space="preserve"> </w:t>
      </w:r>
      <w:r w:rsidRPr="00A4112E">
        <w:rPr>
          <w:szCs w:val="22"/>
        </w:rPr>
        <w:t>study conducted by MEASURE Evaluation.</w:t>
      </w:r>
      <w:r>
        <w:rPr>
          <w:szCs w:val="22"/>
        </w:rPr>
        <w:t xml:space="preserve"> </w:t>
      </w:r>
      <w:r w:rsidRPr="00A4112E">
        <w:rPr>
          <w:szCs w:val="22"/>
        </w:rPr>
        <w:t>Kirkos was the site of an intervention aimed at</w:t>
      </w:r>
      <w:r>
        <w:rPr>
          <w:szCs w:val="22"/>
        </w:rPr>
        <w:t xml:space="preserve"> </w:t>
      </w:r>
      <w:r w:rsidRPr="00A4112E">
        <w:rPr>
          <w:szCs w:val="22"/>
        </w:rPr>
        <w:t>improving ties among providers. Providers were</w:t>
      </w:r>
    </w:p>
    <w:p w14:paraId="12E9B52B" w14:textId="77777777" w:rsidR="00B56B23" w:rsidRPr="00A4112E" w:rsidRDefault="00B56B23" w:rsidP="00B56B23">
      <w:pPr>
        <w:spacing w:line="480" w:lineRule="auto"/>
        <w:rPr>
          <w:szCs w:val="22"/>
        </w:rPr>
      </w:pPr>
      <w:r w:rsidRPr="00A4112E">
        <w:rPr>
          <w:szCs w:val="22"/>
        </w:rPr>
        <w:t>identified using snowball sampling, beginning with</w:t>
      </w:r>
      <w:r>
        <w:rPr>
          <w:szCs w:val="22"/>
        </w:rPr>
        <w:t xml:space="preserve"> </w:t>
      </w:r>
      <w:r w:rsidRPr="00A4112E">
        <w:rPr>
          <w:szCs w:val="22"/>
        </w:rPr>
        <w:t>well-known service providers as the seeds. All service</w:t>
      </w:r>
    </w:p>
    <w:p w14:paraId="2AD7EF04" w14:textId="77777777" w:rsidR="00B56B23" w:rsidRPr="00A4112E" w:rsidRDefault="00B56B23" w:rsidP="00B56B23">
      <w:pPr>
        <w:spacing w:line="480" w:lineRule="auto"/>
        <w:rPr>
          <w:szCs w:val="22"/>
        </w:rPr>
      </w:pPr>
      <w:r w:rsidRPr="00A4112E">
        <w:rPr>
          <w:szCs w:val="22"/>
        </w:rPr>
        <w:t>providers that offered, and could refer clients</w:t>
      </w:r>
      <w:r>
        <w:rPr>
          <w:szCs w:val="22"/>
        </w:rPr>
        <w:t xml:space="preserve"> </w:t>
      </w:r>
      <w:r w:rsidRPr="00A4112E">
        <w:rPr>
          <w:szCs w:val="22"/>
        </w:rPr>
        <w:t>to one another for, HIV care and treatment support</w:t>
      </w:r>
    </w:p>
    <w:p w14:paraId="38F92F5D" w14:textId="77777777" w:rsidR="00B56B23" w:rsidRPr="00A4112E" w:rsidRDefault="00B56B23" w:rsidP="00B56B23">
      <w:pPr>
        <w:spacing w:line="480" w:lineRule="auto"/>
        <w:rPr>
          <w:szCs w:val="22"/>
        </w:rPr>
      </w:pPr>
      <w:r w:rsidRPr="00A4112E">
        <w:rPr>
          <w:szCs w:val="22"/>
        </w:rPr>
        <w:t>and family planning services to HIV-positive</w:t>
      </w:r>
      <w:r>
        <w:rPr>
          <w:szCs w:val="22"/>
        </w:rPr>
        <w:t xml:space="preserve"> </w:t>
      </w:r>
      <w:r w:rsidRPr="00A4112E">
        <w:rPr>
          <w:szCs w:val="22"/>
        </w:rPr>
        <w:t>women of ages 18–49 were included. Saturation</w:t>
      </w:r>
    </w:p>
    <w:p w14:paraId="4A9AE47E" w14:textId="77777777" w:rsidR="00B56B23" w:rsidRPr="00A4112E" w:rsidRDefault="00B56B23" w:rsidP="00B56B23">
      <w:pPr>
        <w:spacing w:line="480" w:lineRule="auto"/>
        <w:rPr>
          <w:szCs w:val="22"/>
        </w:rPr>
      </w:pPr>
      <w:r w:rsidRPr="00A4112E">
        <w:rPr>
          <w:szCs w:val="22"/>
        </w:rPr>
        <w:t>was reached when nominated organizational representatives,</w:t>
      </w:r>
      <w:r>
        <w:rPr>
          <w:szCs w:val="22"/>
        </w:rPr>
        <w:t xml:space="preserve"> </w:t>
      </w:r>
      <w:r w:rsidRPr="00A4112E">
        <w:rPr>
          <w:szCs w:val="22"/>
        </w:rPr>
        <w:t>who were also the interviewees for the</w:t>
      </w:r>
    </w:p>
    <w:p w14:paraId="333C8A38" w14:textId="77777777" w:rsidR="00B56B23" w:rsidRPr="00A4112E" w:rsidRDefault="00B56B23" w:rsidP="00B56B23">
      <w:pPr>
        <w:spacing w:line="480" w:lineRule="auto"/>
        <w:rPr>
          <w:szCs w:val="22"/>
        </w:rPr>
      </w:pPr>
      <w:r w:rsidRPr="00A4112E">
        <w:rPr>
          <w:szCs w:val="22"/>
        </w:rPr>
        <w:t>study, named service providers that had already</w:t>
      </w:r>
      <w:r>
        <w:rPr>
          <w:szCs w:val="22"/>
        </w:rPr>
        <w:t xml:space="preserve"> </w:t>
      </w:r>
      <w:r w:rsidRPr="00A4112E">
        <w:rPr>
          <w:szCs w:val="22"/>
        </w:rPr>
        <w:t>been named by others. Ultimately, 25 providers</w:t>
      </w:r>
    </w:p>
    <w:p w14:paraId="348F5505" w14:textId="77777777" w:rsidR="00B56B23" w:rsidRPr="00A4112E" w:rsidRDefault="00B56B23" w:rsidP="00B56B23">
      <w:pPr>
        <w:spacing w:line="480" w:lineRule="auto"/>
        <w:rPr>
          <w:szCs w:val="22"/>
        </w:rPr>
      </w:pPr>
      <w:r w:rsidRPr="00A4112E">
        <w:rPr>
          <w:szCs w:val="22"/>
        </w:rPr>
        <w:t xml:space="preserve">in Kirkos and 26 in </w:t>
      </w:r>
      <w:proofErr w:type="spellStart"/>
      <w:r w:rsidRPr="00A4112E">
        <w:rPr>
          <w:szCs w:val="22"/>
        </w:rPr>
        <w:t>Kolfe-Keranyo</w:t>
      </w:r>
      <w:proofErr w:type="spellEnd"/>
      <w:r w:rsidRPr="00A4112E">
        <w:rPr>
          <w:szCs w:val="22"/>
        </w:rPr>
        <w:t xml:space="preserve"> were included</w:t>
      </w:r>
      <w:r>
        <w:rPr>
          <w:szCs w:val="22"/>
        </w:rPr>
        <w:t xml:space="preserve"> </w:t>
      </w:r>
      <w:r w:rsidRPr="00A4112E">
        <w:rPr>
          <w:szCs w:val="22"/>
        </w:rPr>
        <w:t>in the study. The data included provider characteristics</w:t>
      </w:r>
    </w:p>
    <w:p w14:paraId="79BD7003" w14:textId="77777777" w:rsidR="00B56B23" w:rsidRPr="00A4112E" w:rsidRDefault="00B56B23" w:rsidP="00B56B23">
      <w:pPr>
        <w:spacing w:line="480" w:lineRule="auto"/>
        <w:rPr>
          <w:szCs w:val="22"/>
        </w:rPr>
      </w:pPr>
      <w:r w:rsidRPr="00A4112E">
        <w:rPr>
          <w:szCs w:val="22"/>
        </w:rPr>
        <w:t>and linkages among providers. To obtain</w:t>
      </w:r>
      <w:r>
        <w:rPr>
          <w:szCs w:val="22"/>
        </w:rPr>
        <w:t xml:space="preserve"> </w:t>
      </w:r>
      <w:r w:rsidRPr="00A4112E">
        <w:rPr>
          <w:szCs w:val="22"/>
        </w:rPr>
        <w:t>referral network data, T1 (baseline) and T2</w:t>
      </w:r>
      <w:r>
        <w:rPr>
          <w:szCs w:val="22"/>
        </w:rPr>
        <w:t xml:space="preserve"> </w:t>
      </w:r>
      <w:r w:rsidRPr="00A4112E">
        <w:rPr>
          <w:szCs w:val="22"/>
        </w:rPr>
        <w:t>(follow-up) interviews were conducted with nominated</w:t>
      </w:r>
      <w:r>
        <w:rPr>
          <w:szCs w:val="22"/>
        </w:rPr>
        <w:t xml:space="preserve"> </w:t>
      </w:r>
      <w:r w:rsidRPr="00A4112E">
        <w:rPr>
          <w:szCs w:val="22"/>
        </w:rPr>
        <w:t>key informants in each provider organization</w:t>
      </w:r>
      <w:r>
        <w:rPr>
          <w:szCs w:val="22"/>
        </w:rPr>
        <w:t xml:space="preserve"> </w:t>
      </w:r>
      <w:r w:rsidRPr="00A4112E">
        <w:rPr>
          <w:szCs w:val="22"/>
        </w:rPr>
        <w:t>about HIV services and the nature and types</w:t>
      </w:r>
      <w:r>
        <w:rPr>
          <w:szCs w:val="22"/>
        </w:rPr>
        <w:t xml:space="preserve"> </w:t>
      </w:r>
      <w:r w:rsidRPr="00A4112E">
        <w:rPr>
          <w:szCs w:val="22"/>
        </w:rPr>
        <w:t>of referrals offered, provider characteristics, collaborations,</w:t>
      </w:r>
      <w:r>
        <w:rPr>
          <w:szCs w:val="22"/>
        </w:rPr>
        <w:t xml:space="preserve"> </w:t>
      </w:r>
      <w:r w:rsidRPr="00A4112E">
        <w:rPr>
          <w:szCs w:val="22"/>
        </w:rPr>
        <w:t>joint programs, and linkages with other</w:t>
      </w:r>
      <w:r>
        <w:rPr>
          <w:szCs w:val="22"/>
        </w:rPr>
        <w:t xml:space="preserve"> </w:t>
      </w:r>
      <w:r w:rsidRPr="00A4112E">
        <w:rPr>
          <w:szCs w:val="22"/>
        </w:rPr>
        <w:t>providers.</w:t>
      </w:r>
    </w:p>
    <w:p w14:paraId="737F2311" w14:textId="77777777" w:rsidR="00B56B23" w:rsidRPr="003467E9" w:rsidRDefault="00B56B23" w:rsidP="00B56B23">
      <w:pPr>
        <w:spacing w:line="480" w:lineRule="auto"/>
        <w:rPr>
          <w:b/>
          <w:szCs w:val="22"/>
        </w:rPr>
      </w:pPr>
      <w:r>
        <w:rPr>
          <w:b/>
          <w:szCs w:val="22"/>
        </w:rPr>
        <w:t>The i</w:t>
      </w:r>
      <w:r w:rsidRPr="003467E9">
        <w:rPr>
          <w:b/>
          <w:szCs w:val="22"/>
        </w:rPr>
        <w:t>ntervention</w:t>
      </w:r>
    </w:p>
    <w:p w14:paraId="6F71264E" w14:textId="77777777" w:rsidR="00B56B23" w:rsidRPr="00A4112E" w:rsidRDefault="00B56B23" w:rsidP="00B56B23">
      <w:pPr>
        <w:spacing w:line="480" w:lineRule="auto"/>
        <w:rPr>
          <w:szCs w:val="22"/>
        </w:rPr>
      </w:pPr>
      <w:r w:rsidRPr="00A4112E">
        <w:rPr>
          <w:szCs w:val="22"/>
        </w:rPr>
        <w:t>A referral network strengthening intervention was</w:t>
      </w:r>
      <w:r>
        <w:rPr>
          <w:szCs w:val="22"/>
        </w:rPr>
        <w:t xml:space="preserve"> </w:t>
      </w:r>
      <w:r w:rsidRPr="00A4112E">
        <w:rPr>
          <w:szCs w:val="22"/>
        </w:rPr>
        <w:t>implemented in Kirkos where 21 of the 25 providers</w:t>
      </w:r>
    </w:p>
    <w:p w14:paraId="62D76429" w14:textId="77777777" w:rsidR="00B56B23" w:rsidRPr="00A4112E" w:rsidRDefault="00B56B23" w:rsidP="00B56B23">
      <w:pPr>
        <w:spacing w:line="480" w:lineRule="auto"/>
        <w:rPr>
          <w:szCs w:val="22"/>
        </w:rPr>
      </w:pPr>
      <w:r w:rsidRPr="00A4112E">
        <w:rPr>
          <w:szCs w:val="22"/>
        </w:rPr>
        <w:t>were represented in at least one of the meetings.</w:t>
      </w:r>
      <w:r>
        <w:rPr>
          <w:szCs w:val="22"/>
        </w:rPr>
        <w:t xml:space="preserve"> </w:t>
      </w:r>
      <w:r w:rsidRPr="00A4112E">
        <w:rPr>
          <w:szCs w:val="22"/>
        </w:rPr>
        <w:t>Kirkos was selected for the intervention after</w:t>
      </w:r>
      <w:r>
        <w:rPr>
          <w:szCs w:val="22"/>
        </w:rPr>
        <w:t xml:space="preserve"> </w:t>
      </w:r>
      <w:r w:rsidRPr="00A4112E">
        <w:rPr>
          <w:szCs w:val="22"/>
        </w:rPr>
        <w:t>T1 results showed lower network density there</w:t>
      </w:r>
      <w:r>
        <w:rPr>
          <w:szCs w:val="22"/>
        </w:rPr>
        <w:t xml:space="preserve"> </w:t>
      </w:r>
      <w:r w:rsidRPr="00A4112E">
        <w:rPr>
          <w:szCs w:val="22"/>
        </w:rPr>
        <w:t xml:space="preserve">compared with </w:t>
      </w:r>
      <w:proofErr w:type="spellStart"/>
      <w:r w:rsidRPr="00A4112E">
        <w:rPr>
          <w:szCs w:val="22"/>
        </w:rPr>
        <w:t>Kolfe-Keranyo</w:t>
      </w:r>
      <w:proofErr w:type="spellEnd"/>
      <w:r w:rsidRPr="00A4112E">
        <w:rPr>
          <w:szCs w:val="22"/>
        </w:rPr>
        <w:t>. The intervention</w:t>
      </w:r>
      <w:r>
        <w:rPr>
          <w:szCs w:val="22"/>
        </w:rPr>
        <w:t xml:space="preserve"> </w:t>
      </w:r>
      <w:r w:rsidRPr="00A4112E">
        <w:rPr>
          <w:szCs w:val="22"/>
        </w:rPr>
        <w:t>consisted of a series of three 2-day educational</w:t>
      </w:r>
      <w:r>
        <w:rPr>
          <w:szCs w:val="22"/>
        </w:rPr>
        <w:t xml:space="preserve"> </w:t>
      </w:r>
      <w:r w:rsidRPr="00A4112E">
        <w:rPr>
          <w:szCs w:val="22"/>
        </w:rPr>
        <w:t>meetings held 2 months apart at different times</w:t>
      </w:r>
      <w:r>
        <w:rPr>
          <w:szCs w:val="22"/>
        </w:rPr>
        <w:t xml:space="preserve"> </w:t>
      </w:r>
      <w:r w:rsidRPr="00A4112E">
        <w:rPr>
          <w:szCs w:val="22"/>
        </w:rPr>
        <w:t>after T1 data collection. During the meetings, participants</w:t>
      </w:r>
      <w:r>
        <w:rPr>
          <w:szCs w:val="22"/>
        </w:rPr>
        <w:t xml:space="preserve"> </w:t>
      </w:r>
      <w:r w:rsidRPr="00A4112E">
        <w:rPr>
          <w:szCs w:val="22"/>
        </w:rPr>
        <w:t>learned about strategies for client referral,</w:t>
      </w:r>
      <w:r>
        <w:rPr>
          <w:szCs w:val="22"/>
        </w:rPr>
        <w:t xml:space="preserve"> </w:t>
      </w:r>
      <w:r w:rsidRPr="00A4112E">
        <w:rPr>
          <w:szCs w:val="22"/>
        </w:rPr>
        <w:t>collaboration, joint programming, and partnerships.</w:t>
      </w:r>
      <w:r>
        <w:rPr>
          <w:szCs w:val="22"/>
        </w:rPr>
        <w:t xml:space="preserve"> </w:t>
      </w:r>
      <w:r w:rsidRPr="00A4112E">
        <w:rPr>
          <w:szCs w:val="22"/>
        </w:rPr>
        <w:t>They also learned about services offered by</w:t>
      </w:r>
      <w:r>
        <w:rPr>
          <w:szCs w:val="22"/>
        </w:rPr>
        <w:t xml:space="preserve"> </w:t>
      </w:r>
      <w:r w:rsidRPr="00A4112E">
        <w:rPr>
          <w:szCs w:val="22"/>
        </w:rPr>
        <w:t>other facilities in the network. Service directories,</w:t>
      </w:r>
    </w:p>
    <w:p w14:paraId="7C2A7366" w14:textId="77777777" w:rsidR="00B56B23" w:rsidRPr="00A4112E" w:rsidRDefault="00B56B23" w:rsidP="00B56B23">
      <w:pPr>
        <w:spacing w:line="480" w:lineRule="auto"/>
        <w:rPr>
          <w:szCs w:val="22"/>
        </w:rPr>
      </w:pPr>
      <w:r w:rsidRPr="00A4112E">
        <w:rPr>
          <w:szCs w:val="22"/>
        </w:rPr>
        <w:t>listing contact information and services offered,</w:t>
      </w:r>
      <w:r>
        <w:rPr>
          <w:szCs w:val="22"/>
        </w:rPr>
        <w:t xml:space="preserve"> </w:t>
      </w:r>
      <w:r w:rsidRPr="00A4112E">
        <w:rPr>
          <w:szCs w:val="22"/>
        </w:rPr>
        <w:t>were developed and shared, with each participating</w:t>
      </w:r>
    </w:p>
    <w:p w14:paraId="039A0F96" w14:textId="77777777" w:rsidR="00B56B23" w:rsidRPr="00A4112E" w:rsidRDefault="00B56B23" w:rsidP="00B56B23">
      <w:pPr>
        <w:spacing w:line="480" w:lineRule="auto"/>
        <w:rPr>
          <w:szCs w:val="22"/>
        </w:rPr>
      </w:pPr>
      <w:r w:rsidRPr="00A4112E">
        <w:rPr>
          <w:szCs w:val="22"/>
        </w:rPr>
        <w:t>provider receiving at least one directory. No</w:t>
      </w:r>
      <w:r>
        <w:rPr>
          <w:szCs w:val="22"/>
        </w:rPr>
        <w:t xml:space="preserve"> </w:t>
      </w:r>
      <w:r w:rsidRPr="00A4112E">
        <w:rPr>
          <w:szCs w:val="22"/>
        </w:rPr>
        <w:t xml:space="preserve">intervention was implemented in </w:t>
      </w:r>
      <w:proofErr w:type="spellStart"/>
      <w:r w:rsidRPr="00A4112E">
        <w:rPr>
          <w:szCs w:val="22"/>
        </w:rPr>
        <w:t>Kolfe-Keranyo</w:t>
      </w:r>
      <w:proofErr w:type="spellEnd"/>
      <w:r w:rsidRPr="00A4112E">
        <w:rPr>
          <w:szCs w:val="22"/>
        </w:rPr>
        <w:t>,</w:t>
      </w:r>
    </w:p>
    <w:p w14:paraId="4854A6F6" w14:textId="77777777" w:rsidR="00B56B23" w:rsidRPr="00A4112E" w:rsidRDefault="00B56B23" w:rsidP="00B56B23">
      <w:pPr>
        <w:spacing w:line="480" w:lineRule="auto"/>
        <w:rPr>
          <w:szCs w:val="22"/>
        </w:rPr>
      </w:pPr>
      <w:r w:rsidRPr="00A4112E">
        <w:rPr>
          <w:szCs w:val="22"/>
        </w:rPr>
        <w:t xml:space="preserve">the control </w:t>
      </w:r>
      <w:proofErr w:type="gramStart"/>
      <w:r w:rsidRPr="00A4112E">
        <w:rPr>
          <w:szCs w:val="22"/>
        </w:rPr>
        <w:t>network</w:t>
      </w:r>
      <w:proofErr w:type="gramEnd"/>
      <w:r w:rsidRPr="00A4112E">
        <w:rPr>
          <w:szCs w:val="22"/>
        </w:rPr>
        <w:t>.</w:t>
      </w:r>
      <w:r>
        <w:rPr>
          <w:szCs w:val="22"/>
        </w:rPr>
        <w:t xml:space="preserve"> </w:t>
      </w:r>
      <w:r w:rsidRPr="00A4112E">
        <w:rPr>
          <w:szCs w:val="22"/>
        </w:rPr>
        <w:t>Characteristics of service providers</w:t>
      </w:r>
      <w:r>
        <w:rPr>
          <w:szCs w:val="22"/>
        </w:rPr>
        <w:t xml:space="preserve"> </w:t>
      </w:r>
      <w:r w:rsidRPr="00A4112E">
        <w:rPr>
          <w:szCs w:val="22"/>
        </w:rPr>
        <w:t>Service providers in the two networks were owned</w:t>
      </w:r>
    </w:p>
    <w:p w14:paraId="7296116B" w14:textId="77777777" w:rsidR="00B56B23" w:rsidRDefault="00B56B23" w:rsidP="00B56B23">
      <w:pPr>
        <w:spacing w:line="480" w:lineRule="auto"/>
        <w:rPr>
          <w:szCs w:val="22"/>
        </w:rPr>
      </w:pPr>
      <w:r w:rsidRPr="00A4112E">
        <w:rPr>
          <w:szCs w:val="22"/>
        </w:rPr>
        <w:t>and operated by the Ethiopian government or</w:t>
      </w:r>
      <w:r>
        <w:rPr>
          <w:szCs w:val="22"/>
        </w:rPr>
        <w:t xml:space="preserve"> </w:t>
      </w:r>
      <w:r w:rsidRPr="00A4112E">
        <w:rPr>
          <w:szCs w:val="22"/>
        </w:rPr>
        <w:t>various types of non-governmental bodies. The</w:t>
      </w:r>
      <w:r>
        <w:rPr>
          <w:szCs w:val="22"/>
        </w:rPr>
        <w:t xml:space="preserve"> </w:t>
      </w:r>
      <w:r w:rsidRPr="00A4112E">
        <w:rPr>
          <w:szCs w:val="22"/>
        </w:rPr>
        <w:t>government owned and operated 10 out of the</w:t>
      </w:r>
      <w:r>
        <w:rPr>
          <w:szCs w:val="22"/>
        </w:rPr>
        <w:t xml:space="preserve"> </w:t>
      </w:r>
      <w:r w:rsidRPr="00A4112E">
        <w:rPr>
          <w:szCs w:val="22"/>
        </w:rPr>
        <w:t>51 service providers, whereas non-governmental</w:t>
      </w:r>
      <w:r>
        <w:rPr>
          <w:szCs w:val="22"/>
        </w:rPr>
        <w:t xml:space="preserve"> </w:t>
      </w:r>
      <w:r w:rsidRPr="00A4112E">
        <w:rPr>
          <w:szCs w:val="22"/>
        </w:rPr>
        <w:t>organizations (NGOs), faith-based providers (FBOs)</w:t>
      </w:r>
      <w:r>
        <w:rPr>
          <w:szCs w:val="22"/>
        </w:rPr>
        <w:t xml:space="preserve"> </w:t>
      </w:r>
      <w:r w:rsidRPr="00A4112E">
        <w:rPr>
          <w:szCs w:val="22"/>
        </w:rPr>
        <w:t>or private individuals owned and operated the remainder.</w:t>
      </w:r>
      <w:r>
        <w:rPr>
          <w:szCs w:val="22"/>
        </w:rPr>
        <w:t xml:space="preserve"> </w:t>
      </w:r>
      <w:r w:rsidRPr="00A4112E">
        <w:rPr>
          <w:szCs w:val="22"/>
        </w:rPr>
        <w:t xml:space="preserve">Kirkos had </w:t>
      </w:r>
      <w:r w:rsidRPr="00A4112E">
        <w:rPr>
          <w:szCs w:val="22"/>
        </w:rPr>
        <w:lastRenderedPageBreak/>
        <w:t>significantly fewer (three) government</w:t>
      </w:r>
      <w:r>
        <w:rPr>
          <w:szCs w:val="22"/>
        </w:rPr>
        <w:t xml:space="preserve"> </w:t>
      </w:r>
      <w:r w:rsidRPr="00A4112E">
        <w:rPr>
          <w:szCs w:val="22"/>
        </w:rPr>
        <w:t>owned and operated providers compared</w:t>
      </w:r>
      <w:r>
        <w:rPr>
          <w:szCs w:val="22"/>
        </w:rPr>
        <w:t xml:space="preserve"> </w:t>
      </w:r>
      <w:r w:rsidRPr="00A4112E">
        <w:rPr>
          <w:szCs w:val="22"/>
        </w:rPr>
        <w:t xml:space="preserve">with </w:t>
      </w:r>
      <w:proofErr w:type="spellStart"/>
      <w:r w:rsidRPr="00A4112E">
        <w:rPr>
          <w:szCs w:val="22"/>
        </w:rPr>
        <w:t>Kolfe-Keranyo</w:t>
      </w:r>
      <w:proofErr w:type="spellEnd"/>
      <w:r w:rsidRPr="00A4112E">
        <w:rPr>
          <w:szCs w:val="22"/>
        </w:rPr>
        <w:t>, which had seven. There was</w:t>
      </w:r>
      <w:r>
        <w:rPr>
          <w:szCs w:val="22"/>
        </w:rPr>
        <w:t xml:space="preserve"> </w:t>
      </w:r>
      <w:r w:rsidRPr="00A4112E">
        <w:rPr>
          <w:szCs w:val="22"/>
        </w:rPr>
        <w:t>a significant increase in the number of providers</w:t>
      </w:r>
      <w:r>
        <w:rPr>
          <w:szCs w:val="22"/>
        </w:rPr>
        <w:t xml:space="preserve"> </w:t>
      </w:r>
      <w:r w:rsidRPr="00A4112E">
        <w:rPr>
          <w:szCs w:val="22"/>
        </w:rPr>
        <w:t>self-identifying as NGOs in Kirkos from five at T1 to</w:t>
      </w:r>
      <w:r>
        <w:rPr>
          <w:szCs w:val="22"/>
        </w:rPr>
        <w:t xml:space="preserve"> </w:t>
      </w:r>
      <w:r w:rsidRPr="00A4112E">
        <w:rPr>
          <w:szCs w:val="22"/>
        </w:rPr>
        <w:t xml:space="preserve">14 at T2. Conversely, </w:t>
      </w:r>
      <w:proofErr w:type="spellStart"/>
      <w:r w:rsidRPr="00A4112E">
        <w:rPr>
          <w:szCs w:val="22"/>
        </w:rPr>
        <w:t>Kolfe-Keranyo</w:t>
      </w:r>
      <w:proofErr w:type="spellEnd"/>
      <w:r w:rsidRPr="00A4112E">
        <w:rPr>
          <w:szCs w:val="22"/>
        </w:rPr>
        <w:t xml:space="preserve"> experienced a</w:t>
      </w:r>
      <w:r>
        <w:rPr>
          <w:szCs w:val="22"/>
        </w:rPr>
        <w:t xml:space="preserve"> </w:t>
      </w:r>
      <w:r w:rsidRPr="00A4112E">
        <w:rPr>
          <w:szCs w:val="22"/>
        </w:rPr>
        <w:t>reduction in the number of NGOs from eight at T1</w:t>
      </w:r>
      <w:r>
        <w:rPr>
          <w:szCs w:val="22"/>
        </w:rPr>
        <w:t xml:space="preserve"> </w:t>
      </w:r>
      <w:r w:rsidRPr="00A4112E">
        <w:rPr>
          <w:szCs w:val="22"/>
        </w:rPr>
        <w:t xml:space="preserve">to five at T2. </w:t>
      </w:r>
    </w:p>
    <w:p w14:paraId="02271EDA" w14:textId="77777777" w:rsidR="00B56B23" w:rsidRPr="004B0B00" w:rsidRDefault="00B56B23" w:rsidP="00B56B23">
      <w:pPr>
        <w:pStyle w:val="Heading2"/>
        <w:numPr>
          <w:ilvl w:val="0"/>
          <w:numId w:val="0"/>
        </w:numPr>
        <w:ind w:left="576" w:hanging="576"/>
        <w:rPr>
          <w:szCs w:val="22"/>
        </w:rPr>
      </w:pPr>
      <w:r w:rsidRPr="003467E9">
        <w:rPr>
          <w:szCs w:val="22"/>
        </w:rPr>
        <w:t xml:space="preserve">Appendix </w:t>
      </w:r>
      <w:r>
        <w:rPr>
          <w:szCs w:val="22"/>
        </w:rPr>
        <w:t>2</w:t>
      </w:r>
      <w:r w:rsidRPr="003467E9">
        <w:rPr>
          <w:szCs w:val="22"/>
        </w:rPr>
        <w:t xml:space="preserve">: </w:t>
      </w:r>
      <w:r>
        <w:rPr>
          <w:szCs w:val="22"/>
        </w:rPr>
        <w:t>Invariance testing</w:t>
      </w:r>
    </w:p>
    <w:p w14:paraId="31D730BE" w14:textId="77777777" w:rsidR="00B56B23" w:rsidRPr="004B0B00" w:rsidRDefault="00B56B23" w:rsidP="00B56B23">
      <w:pPr>
        <w:pStyle w:val="Heading3"/>
        <w:numPr>
          <w:ilvl w:val="0"/>
          <w:numId w:val="0"/>
        </w:numPr>
        <w:spacing w:line="480" w:lineRule="auto"/>
        <w:rPr>
          <w:rFonts w:ascii="Garamond" w:hAnsi="Garamond"/>
          <w:b/>
          <w:color w:val="auto"/>
          <w:szCs w:val="22"/>
        </w:rPr>
      </w:pPr>
      <w:r w:rsidRPr="004B0B00">
        <w:rPr>
          <w:rFonts w:ascii="Garamond" w:hAnsi="Garamond"/>
          <w:color w:val="auto"/>
          <w:szCs w:val="22"/>
        </w:rPr>
        <w:t>An invariant measurement model has equal factor loadings, intercepts, factor v</w:t>
      </w:r>
      <w:r>
        <w:rPr>
          <w:rFonts w:ascii="Garamond" w:hAnsi="Garamond"/>
          <w:color w:val="auto"/>
          <w:szCs w:val="22"/>
        </w:rPr>
        <w:t xml:space="preserve">ariances and residual variances </w:t>
      </w:r>
      <w:r w:rsidRPr="004B0B00">
        <w:rPr>
          <w:rFonts w:ascii="Garamond" w:hAnsi="Garamond"/>
          <w:color w:val="auto"/>
          <w:szCs w:val="22"/>
        </w:rPr>
        <w:t xml:space="preserve">across groups. We applied MI testing methods described by </w:t>
      </w:r>
      <w:proofErr w:type="spellStart"/>
      <w:r w:rsidRPr="004B0B00">
        <w:rPr>
          <w:rFonts w:ascii="Garamond" w:hAnsi="Garamond"/>
          <w:color w:val="auto"/>
          <w:szCs w:val="22"/>
        </w:rPr>
        <w:t>Bollen</w:t>
      </w:r>
      <w:proofErr w:type="spellEnd"/>
      <w:r w:rsidRPr="004B0B00">
        <w:rPr>
          <w:rFonts w:ascii="Garamond" w:hAnsi="Garamond"/>
          <w:color w:val="auto"/>
          <w:szCs w:val="22"/>
        </w:rPr>
        <w:t xml:space="preserve"> (1989) and </w:t>
      </w:r>
      <w:proofErr w:type="spellStart"/>
      <w:r w:rsidRPr="004B0B00">
        <w:rPr>
          <w:rFonts w:ascii="Garamond" w:hAnsi="Garamond"/>
          <w:color w:val="auto"/>
          <w:szCs w:val="22"/>
        </w:rPr>
        <w:t>Widaman</w:t>
      </w:r>
      <w:proofErr w:type="spellEnd"/>
      <w:r w:rsidRPr="004B0B00">
        <w:rPr>
          <w:rFonts w:ascii="Garamond" w:hAnsi="Garamond"/>
          <w:color w:val="auto"/>
          <w:szCs w:val="22"/>
        </w:rPr>
        <w:t xml:space="preserve"> &amp; </w:t>
      </w:r>
      <w:proofErr w:type="spellStart"/>
      <w:r w:rsidRPr="004B0B00">
        <w:rPr>
          <w:rFonts w:ascii="Garamond" w:hAnsi="Garamond"/>
          <w:color w:val="auto"/>
          <w:szCs w:val="22"/>
        </w:rPr>
        <w:t>Reise</w:t>
      </w:r>
      <w:proofErr w:type="spellEnd"/>
      <w:r w:rsidRPr="004B0B00">
        <w:rPr>
          <w:rFonts w:ascii="Garamond" w:hAnsi="Garamond"/>
          <w:color w:val="auto"/>
          <w:szCs w:val="22"/>
        </w:rPr>
        <w:t xml:space="preserve"> (1997) </w:t>
      </w:r>
      <w:sdt>
        <w:sdtPr>
          <w:rPr>
            <w:rFonts w:ascii="Garamond" w:hAnsi="Garamond"/>
            <w:color w:val="auto"/>
            <w:szCs w:val="22"/>
          </w:rPr>
          <w:id w:val="211396484"/>
          <w:citation/>
        </w:sdtPr>
        <w:sdtContent>
          <w:r w:rsidRPr="004B0B00">
            <w:rPr>
              <w:rFonts w:ascii="Garamond" w:hAnsi="Garamond"/>
              <w:color w:val="auto"/>
              <w:szCs w:val="22"/>
            </w:rPr>
            <w:fldChar w:fldCharType="begin"/>
          </w:r>
          <w:r w:rsidRPr="004B0B00">
            <w:rPr>
              <w:rFonts w:ascii="Garamond" w:hAnsi="Garamond"/>
              <w:color w:val="auto"/>
              <w:szCs w:val="22"/>
            </w:rPr>
            <w:instrText xml:space="preserve">CITATION Ken89 \t  \m KFW97 \l 1033 </w:instrText>
          </w:r>
          <w:r w:rsidRPr="004B0B00">
            <w:rPr>
              <w:rFonts w:ascii="Garamond" w:hAnsi="Garamond"/>
              <w:color w:val="auto"/>
              <w:szCs w:val="22"/>
            </w:rPr>
            <w:fldChar w:fldCharType="separate"/>
          </w:r>
          <w:r w:rsidRPr="00C95B70">
            <w:rPr>
              <w:rFonts w:ascii="Garamond" w:hAnsi="Garamond"/>
              <w:noProof/>
              <w:color w:val="auto"/>
              <w:szCs w:val="22"/>
            </w:rPr>
            <w:t>[75, 76]</w:t>
          </w:r>
          <w:r w:rsidRPr="004B0B00">
            <w:rPr>
              <w:rFonts w:ascii="Garamond" w:hAnsi="Garamond"/>
              <w:color w:val="auto"/>
              <w:szCs w:val="22"/>
            </w:rPr>
            <w:fldChar w:fldCharType="end"/>
          </w:r>
        </w:sdtContent>
      </w:sdt>
      <w:r w:rsidRPr="004B0B00">
        <w:rPr>
          <w:rFonts w:ascii="Garamond" w:hAnsi="Garamond"/>
          <w:color w:val="auto"/>
          <w:szCs w:val="22"/>
        </w:rPr>
        <w:t xml:space="preserve">. The most basic form of invariance is configural or pattern invariance, followed by weak, strong and strict factorial invariance, in that order. </w:t>
      </w:r>
      <w:r w:rsidRPr="004B0B00">
        <w:rPr>
          <w:rFonts w:ascii="Garamond" w:hAnsi="Garamond" w:cs="Times-Roman"/>
          <w:color w:val="auto"/>
          <w:szCs w:val="22"/>
        </w:rPr>
        <w:t>Measurement invariance was assessed by testing the invariance of measurement parameters including: factor loadings, intercepts and factor variances across the four groups</w:t>
      </w:r>
      <w:sdt>
        <w:sdtPr>
          <w:rPr>
            <w:rFonts w:ascii="Garamond" w:hAnsi="Garamond" w:cs="Times-Roman"/>
            <w:color w:val="auto"/>
            <w:szCs w:val="22"/>
          </w:rPr>
          <w:id w:val="707765422"/>
          <w:citation/>
        </w:sdtPr>
        <w:sdtContent>
          <w:r w:rsidRPr="004B0B00">
            <w:rPr>
              <w:rFonts w:ascii="Garamond" w:hAnsi="Garamond" w:cs="Times-Roman"/>
              <w:color w:val="auto"/>
              <w:szCs w:val="22"/>
            </w:rPr>
            <w:fldChar w:fldCharType="begin"/>
          </w:r>
          <w:r w:rsidRPr="004B0B00">
            <w:rPr>
              <w:rFonts w:ascii="Garamond" w:hAnsi="Garamond" w:cs="Times-Roman"/>
              <w:color w:val="auto"/>
              <w:szCs w:val="22"/>
            </w:rPr>
            <w:instrText xml:space="preserve">CITATION Ken89 \t  \m KFW97 \l 1033 </w:instrText>
          </w:r>
          <w:r w:rsidRPr="004B0B00">
            <w:rPr>
              <w:rFonts w:ascii="Garamond" w:hAnsi="Garamond" w:cs="Times-Roman"/>
              <w:color w:val="auto"/>
              <w:szCs w:val="22"/>
            </w:rPr>
            <w:fldChar w:fldCharType="separate"/>
          </w:r>
          <w:r>
            <w:rPr>
              <w:rFonts w:ascii="Garamond" w:hAnsi="Garamond" w:cs="Times-Roman"/>
              <w:noProof/>
              <w:color w:val="auto"/>
              <w:szCs w:val="22"/>
            </w:rPr>
            <w:t xml:space="preserve"> </w:t>
          </w:r>
          <w:r w:rsidRPr="00C95B70">
            <w:rPr>
              <w:rFonts w:ascii="Garamond" w:hAnsi="Garamond" w:cs="Times-Roman"/>
              <w:noProof/>
              <w:color w:val="auto"/>
              <w:szCs w:val="22"/>
            </w:rPr>
            <w:t>[75, 76]</w:t>
          </w:r>
          <w:r w:rsidRPr="004B0B00">
            <w:rPr>
              <w:rFonts w:ascii="Garamond" w:hAnsi="Garamond" w:cs="Times-Roman"/>
              <w:color w:val="auto"/>
              <w:szCs w:val="22"/>
            </w:rPr>
            <w:fldChar w:fldCharType="end"/>
          </w:r>
        </w:sdtContent>
      </w:sdt>
      <w:r w:rsidRPr="004B0B00">
        <w:rPr>
          <w:rFonts w:ascii="Garamond" w:hAnsi="Garamond" w:cs="Times-Roman"/>
          <w:color w:val="auto"/>
          <w:szCs w:val="22"/>
        </w:rPr>
        <w:t xml:space="preserve">. </w:t>
      </w:r>
      <w:r w:rsidRPr="004B0B00">
        <w:rPr>
          <w:rFonts w:ascii="Garamond" w:hAnsi="Garamond"/>
          <w:color w:val="auto"/>
          <w:szCs w:val="22"/>
        </w:rPr>
        <w:t xml:space="preserve">We tested for MI by consecutively imposing additional constraints on successive levels of invariance. For configural invariance test, we conducted independent group-specific CFAs with no modifications to assess overall fit of the model within each study group. Next, we equated factor loadings and fixed mean adherence to zero to test for weak factorial. A factor loading is the strength of the linear relation between a latent factor and each of the six items of the scale </w:t>
      </w:r>
      <w:sdt>
        <w:sdtPr>
          <w:rPr>
            <w:rFonts w:ascii="Garamond" w:hAnsi="Garamond"/>
            <w:color w:val="auto"/>
            <w:szCs w:val="22"/>
          </w:rPr>
          <w:id w:val="967625720"/>
          <w:citation/>
        </w:sdtPr>
        <w:sdtContent>
          <w:r w:rsidRPr="004B0B00">
            <w:rPr>
              <w:rFonts w:ascii="Garamond" w:hAnsi="Garamond"/>
              <w:color w:val="auto"/>
              <w:szCs w:val="22"/>
            </w:rPr>
            <w:fldChar w:fldCharType="begin"/>
          </w:r>
          <w:r w:rsidRPr="004B0B00">
            <w:rPr>
              <w:rFonts w:ascii="Garamond" w:hAnsi="Garamond"/>
              <w:color w:val="auto"/>
              <w:szCs w:val="22"/>
            </w:rPr>
            <w:instrText xml:space="preserve"> CITATION Kar12 \l 1033  \m Ken89</w:instrText>
          </w:r>
          <w:r w:rsidRPr="004B0B00">
            <w:rPr>
              <w:rFonts w:ascii="Garamond" w:hAnsi="Garamond"/>
              <w:color w:val="auto"/>
              <w:szCs w:val="22"/>
            </w:rPr>
            <w:fldChar w:fldCharType="separate"/>
          </w:r>
          <w:r w:rsidRPr="00C95B70">
            <w:rPr>
              <w:rFonts w:ascii="Garamond" w:hAnsi="Garamond"/>
              <w:noProof/>
              <w:color w:val="auto"/>
              <w:szCs w:val="22"/>
            </w:rPr>
            <w:t>[37, 75]</w:t>
          </w:r>
          <w:r w:rsidRPr="004B0B00">
            <w:rPr>
              <w:rFonts w:ascii="Garamond" w:hAnsi="Garamond"/>
              <w:color w:val="auto"/>
              <w:szCs w:val="22"/>
            </w:rPr>
            <w:fldChar w:fldCharType="end"/>
          </w:r>
        </w:sdtContent>
      </w:sdt>
      <w:r w:rsidRPr="004B0B00">
        <w:rPr>
          <w:rFonts w:ascii="Garamond" w:hAnsi="Garamond"/>
          <w:color w:val="auto"/>
          <w:szCs w:val="22"/>
        </w:rPr>
        <w:t xml:space="preserve">. Finally, we tested for strong invariance by fixing factor means for adherence in one group and constraining factor loadings, intercepts and factor variances to be equal, whereas residual variances were freely estimated. Strong invariance justifies across time and between group comparisons </w:t>
      </w:r>
      <w:sdt>
        <w:sdtPr>
          <w:rPr>
            <w:rFonts w:ascii="Garamond" w:hAnsi="Garamond"/>
            <w:color w:val="auto"/>
            <w:szCs w:val="22"/>
          </w:rPr>
          <w:id w:val="223034159"/>
          <w:citation/>
        </w:sdtPr>
        <w:sdtContent>
          <w:r w:rsidRPr="004B0B00">
            <w:rPr>
              <w:rFonts w:ascii="Garamond" w:hAnsi="Garamond"/>
              <w:color w:val="auto"/>
              <w:szCs w:val="22"/>
            </w:rPr>
            <w:fldChar w:fldCharType="begin"/>
          </w:r>
          <w:r w:rsidRPr="004B0B00">
            <w:rPr>
              <w:rFonts w:ascii="Garamond" w:hAnsi="Garamond"/>
              <w:color w:val="auto"/>
              <w:szCs w:val="22"/>
            </w:rPr>
            <w:instrText xml:space="preserve"> CITATION Sil13 \l 1033  \m Kar12 \m Ken89</w:instrText>
          </w:r>
          <w:r w:rsidRPr="004B0B00">
            <w:rPr>
              <w:rFonts w:ascii="Garamond" w:hAnsi="Garamond"/>
              <w:color w:val="auto"/>
              <w:szCs w:val="22"/>
            </w:rPr>
            <w:fldChar w:fldCharType="separate"/>
          </w:r>
          <w:r w:rsidRPr="00C95B70">
            <w:rPr>
              <w:rFonts w:ascii="Garamond" w:hAnsi="Garamond"/>
              <w:noProof/>
              <w:color w:val="auto"/>
              <w:szCs w:val="22"/>
            </w:rPr>
            <w:t>[36, 37, 75]</w:t>
          </w:r>
          <w:r w:rsidRPr="004B0B00">
            <w:rPr>
              <w:rFonts w:ascii="Garamond" w:hAnsi="Garamond"/>
              <w:color w:val="auto"/>
              <w:szCs w:val="22"/>
            </w:rPr>
            <w:fldChar w:fldCharType="end"/>
          </w:r>
        </w:sdtContent>
      </w:sdt>
      <w:r w:rsidRPr="004B0B00">
        <w:rPr>
          <w:rFonts w:ascii="Garamond" w:hAnsi="Garamond"/>
          <w:color w:val="auto"/>
          <w:szCs w:val="22"/>
        </w:rPr>
        <w:t>. We did not test for strict invariance because residual variances would vary from group to group even if all the groups were from one population.</w:t>
      </w:r>
    </w:p>
    <w:p w14:paraId="2775AE90" w14:textId="77777777" w:rsidR="00B56B23" w:rsidRPr="004B0B00" w:rsidRDefault="00B56B23" w:rsidP="00B56B23">
      <w:pPr>
        <w:pStyle w:val="Heading3"/>
        <w:numPr>
          <w:ilvl w:val="0"/>
          <w:numId w:val="0"/>
        </w:numPr>
        <w:spacing w:line="480" w:lineRule="auto"/>
        <w:ind w:left="720" w:hanging="720"/>
        <w:rPr>
          <w:rFonts w:ascii="Garamond" w:hAnsi="Garamond"/>
          <w:b/>
          <w:color w:val="auto"/>
          <w:szCs w:val="22"/>
        </w:rPr>
      </w:pPr>
      <w:r w:rsidRPr="004B0B00">
        <w:rPr>
          <w:rFonts w:ascii="Garamond" w:hAnsi="Garamond"/>
          <w:b/>
          <w:color w:val="auto"/>
          <w:szCs w:val="22"/>
        </w:rPr>
        <w:t>Levels of invariance</w:t>
      </w:r>
    </w:p>
    <w:p w14:paraId="68B68401" w14:textId="77777777" w:rsidR="00B56B23" w:rsidRPr="003467E9" w:rsidRDefault="00B56B23" w:rsidP="00B56B23">
      <w:pPr>
        <w:pStyle w:val="Heading3"/>
        <w:numPr>
          <w:ilvl w:val="0"/>
          <w:numId w:val="2"/>
        </w:numPr>
        <w:spacing w:line="480" w:lineRule="auto"/>
        <w:rPr>
          <w:rFonts w:ascii="Garamond" w:hAnsi="Garamond"/>
          <w:b/>
          <w:color w:val="auto"/>
          <w:szCs w:val="22"/>
        </w:rPr>
      </w:pPr>
      <w:r w:rsidRPr="003467E9">
        <w:rPr>
          <w:rFonts w:ascii="Garamond" w:hAnsi="Garamond"/>
          <w:b/>
          <w:color w:val="auto"/>
          <w:szCs w:val="22"/>
        </w:rPr>
        <w:t>Configural invariance</w:t>
      </w:r>
    </w:p>
    <w:p w14:paraId="3CF31552" w14:textId="77777777" w:rsidR="00B56B23" w:rsidRPr="00A1006E" w:rsidRDefault="00B56B23" w:rsidP="00B56B23">
      <w:pPr>
        <w:spacing w:line="480" w:lineRule="auto"/>
        <w:rPr>
          <w:szCs w:val="22"/>
        </w:rPr>
      </w:pPr>
      <w:r w:rsidRPr="003467E9">
        <w:rPr>
          <w:szCs w:val="22"/>
        </w:rPr>
        <w:t xml:space="preserve">Under configural invariance, we were interested in testing whether the same indicators measured the construct of interest across multiple groups </w:t>
      </w:r>
      <w:sdt>
        <w:sdtPr>
          <w:rPr>
            <w:szCs w:val="22"/>
          </w:rPr>
          <w:id w:val="-814879723"/>
          <w:citation/>
        </w:sdtPr>
        <w:sdtContent>
          <w:r w:rsidRPr="003467E9">
            <w:rPr>
              <w:szCs w:val="22"/>
            </w:rPr>
            <w:fldChar w:fldCharType="begin"/>
          </w:r>
          <w:r w:rsidRPr="003467E9">
            <w:rPr>
              <w:szCs w:val="22"/>
            </w:rPr>
            <w:instrText xml:space="preserve"> CITATION Sil13 \l 1033 </w:instrText>
          </w:r>
          <w:r w:rsidRPr="003467E9">
            <w:rPr>
              <w:szCs w:val="22"/>
            </w:rPr>
            <w:fldChar w:fldCharType="separate"/>
          </w:r>
          <w:r w:rsidRPr="00C95B70">
            <w:rPr>
              <w:noProof/>
              <w:szCs w:val="22"/>
            </w:rPr>
            <w:t>[36]</w:t>
          </w:r>
          <w:r w:rsidRPr="003467E9">
            <w:rPr>
              <w:szCs w:val="22"/>
            </w:rPr>
            <w:fldChar w:fldCharType="end"/>
          </w:r>
        </w:sdtContent>
      </w:sdt>
      <w:r w:rsidRPr="003467E9">
        <w:rPr>
          <w:szCs w:val="22"/>
        </w:rPr>
        <w:t xml:space="preserve">. The model structure requires that the same item must be an indicator of the latent factor in each group, but the magnitude of the factor loadings, intercepts, variances and covariances may differ across groups </w:t>
      </w:r>
      <w:sdt>
        <w:sdtPr>
          <w:rPr>
            <w:szCs w:val="22"/>
          </w:rPr>
          <w:id w:val="1504009688"/>
          <w:citation/>
        </w:sdtPr>
        <w:sdtContent>
          <w:r w:rsidRPr="003467E9">
            <w:rPr>
              <w:szCs w:val="22"/>
            </w:rPr>
            <w:fldChar w:fldCharType="begin"/>
          </w:r>
          <w:r w:rsidRPr="003467E9">
            <w:rPr>
              <w:szCs w:val="22"/>
            </w:rPr>
            <w:instrText xml:space="preserve"> CITATION Kar12 \l 1033 </w:instrText>
          </w:r>
          <w:r w:rsidRPr="003467E9">
            <w:rPr>
              <w:szCs w:val="22"/>
            </w:rPr>
            <w:fldChar w:fldCharType="separate"/>
          </w:r>
          <w:r w:rsidRPr="00C95B70">
            <w:rPr>
              <w:noProof/>
              <w:szCs w:val="22"/>
            </w:rPr>
            <w:t>[37]</w:t>
          </w:r>
          <w:r w:rsidRPr="003467E9">
            <w:rPr>
              <w:szCs w:val="22"/>
            </w:rPr>
            <w:fldChar w:fldCharType="end"/>
          </w:r>
        </w:sdtContent>
      </w:sdt>
      <w:r w:rsidRPr="003467E9">
        <w:rPr>
          <w:szCs w:val="22"/>
        </w:rPr>
        <w:t xml:space="preserve">. This is the baseline model because we assumed the same pattern of fixed and free parameters across groups, but no equality constraints were imposed. Therefore, we can </w:t>
      </w:r>
      <w:r w:rsidRPr="003467E9">
        <w:rPr>
          <w:szCs w:val="22"/>
        </w:rPr>
        <w:lastRenderedPageBreak/>
        <w:t xml:space="preserve">compare it with more restrictive models. To estimate this model, the means of adherence were fixed to zero in all groups, </w:t>
      </w:r>
      <w:r w:rsidRPr="00A1006E">
        <w:rPr>
          <w:szCs w:val="22"/>
        </w:rPr>
        <w:t xml:space="preserve">but factor loadings, intercepts/thresholds, factor and residual variances were free to vary across groups. </w:t>
      </w:r>
    </w:p>
    <w:p w14:paraId="5485C766" w14:textId="77777777" w:rsidR="00B56B23" w:rsidRPr="00A1006E" w:rsidRDefault="00B56B23" w:rsidP="00B56B23">
      <w:pPr>
        <w:pStyle w:val="Heading3"/>
        <w:numPr>
          <w:ilvl w:val="0"/>
          <w:numId w:val="2"/>
        </w:numPr>
        <w:spacing w:line="480" w:lineRule="auto"/>
        <w:rPr>
          <w:rFonts w:ascii="Garamond" w:hAnsi="Garamond"/>
          <w:b/>
          <w:color w:val="auto"/>
          <w:szCs w:val="22"/>
        </w:rPr>
      </w:pPr>
      <w:r w:rsidRPr="00A1006E">
        <w:rPr>
          <w:rFonts w:ascii="Garamond" w:hAnsi="Garamond"/>
          <w:b/>
          <w:color w:val="auto"/>
          <w:szCs w:val="22"/>
        </w:rPr>
        <w:t>Metric, weak factorial or factor loading invariance</w:t>
      </w:r>
    </w:p>
    <w:p w14:paraId="2B3F8160" w14:textId="77777777" w:rsidR="00B56B23" w:rsidRPr="00A1006E" w:rsidRDefault="00B56B23" w:rsidP="00B56B23">
      <w:pPr>
        <w:spacing w:line="480" w:lineRule="auto"/>
        <w:ind w:firstLine="720"/>
        <w:rPr>
          <w:szCs w:val="22"/>
        </w:rPr>
      </w:pPr>
      <w:r w:rsidRPr="00A1006E">
        <w:rPr>
          <w:szCs w:val="22"/>
        </w:rPr>
        <w:t xml:space="preserve">This level of invariance requires that in addition to the constructs being measured by the same indicators as in configural invariance, factor loadings of those indicators must be equivalent across multiple groups </w:t>
      </w:r>
      <w:sdt>
        <w:sdtPr>
          <w:rPr>
            <w:szCs w:val="22"/>
          </w:rPr>
          <w:id w:val="-2135619650"/>
          <w:citation/>
        </w:sdtPr>
        <w:sdtContent>
          <w:r w:rsidRPr="00A1006E">
            <w:rPr>
              <w:szCs w:val="22"/>
            </w:rPr>
            <w:fldChar w:fldCharType="begin"/>
          </w:r>
          <w:r w:rsidRPr="00A1006E">
            <w:rPr>
              <w:szCs w:val="22"/>
            </w:rPr>
            <w:instrText xml:space="preserve"> CITATION Sil13 \l 1033 </w:instrText>
          </w:r>
          <w:r w:rsidRPr="00A1006E">
            <w:rPr>
              <w:szCs w:val="22"/>
            </w:rPr>
            <w:fldChar w:fldCharType="separate"/>
          </w:r>
          <w:r w:rsidRPr="00C95B70">
            <w:rPr>
              <w:noProof/>
              <w:szCs w:val="22"/>
            </w:rPr>
            <w:t>[36]</w:t>
          </w:r>
          <w:r w:rsidRPr="00A1006E">
            <w:rPr>
              <w:szCs w:val="22"/>
            </w:rPr>
            <w:fldChar w:fldCharType="end"/>
          </w:r>
        </w:sdtContent>
      </w:sdt>
      <w:r w:rsidRPr="00A1006E">
        <w:rPr>
          <w:szCs w:val="22"/>
        </w:rPr>
        <w:t xml:space="preserve">. A factor loading is the strength of the linear relation between a latent factor and each of the associated indicators </w:t>
      </w:r>
      <w:sdt>
        <w:sdtPr>
          <w:rPr>
            <w:szCs w:val="22"/>
          </w:rPr>
          <w:id w:val="1556580051"/>
          <w:citation/>
        </w:sdtPr>
        <w:sdtContent>
          <w:r w:rsidRPr="00A1006E">
            <w:rPr>
              <w:szCs w:val="22"/>
            </w:rPr>
            <w:fldChar w:fldCharType="begin"/>
          </w:r>
          <w:r w:rsidRPr="00A1006E">
            <w:rPr>
              <w:szCs w:val="22"/>
            </w:rPr>
            <w:instrText xml:space="preserve"> CITATION Kar12 \l 1033  \m Ken89</w:instrText>
          </w:r>
          <w:r w:rsidRPr="00A1006E">
            <w:rPr>
              <w:szCs w:val="22"/>
            </w:rPr>
            <w:fldChar w:fldCharType="separate"/>
          </w:r>
          <w:r w:rsidRPr="00C95B70">
            <w:rPr>
              <w:noProof/>
              <w:szCs w:val="22"/>
            </w:rPr>
            <w:t>[37, 75]</w:t>
          </w:r>
          <w:r w:rsidRPr="00A1006E">
            <w:rPr>
              <w:szCs w:val="22"/>
            </w:rPr>
            <w:fldChar w:fldCharType="end"/>
          </w:r>
        </w:sdtContent>
      </w:sdt>
      <w:r w:rsidRPr="00A1006E">
        <w:rPr>
          <w:szCs w:val="22"/>
        </w:rPr>
        <w:t>. Under this type of invariance, factor loadings are constrained to be equal across groups, but no other equality constraints are imposed. Differences in this model imply differences across groups in how the latent variable affects its indicators</w:t>
      </w:r>
      <w:sdt>
        <w:sdtPr>
          <w:rPr>
            <w:szCs w:val="22"/>
          </w:rPr>
          <w:id w:val="-1559389598"/>
          <w:citation/>
        </w:sdtPr>
        <w:sdtContent>
          <w:r w:rsidRPr="00A1006E">
            <w:rPr>
              <w:szCs w:val="22"/>
            </w:rPr>
            <w:fldChar w:fldCharType="begin"/>
          </w:r>
          <w:r w:rsidRPr="00A1006E">
            <w:rPr>
              <w:szCs w:val="22"/>
            </w:rPr>
            <w:instrText xml:space="preserve"> CITATION Kar12 \l 1033 </w:instrText>
          </w:r>
          <w:r w:rsidRPr="00A1006E">
            <w:rPr>
              <w:szCs w:val="22"/>
            </w:rPr>
            <w:fldChar w:fldCharType="separate"/>
          </w:r>
          <w:r>
            <w:rPr>
              <w:noProof/>
              <w:szCs w:val="22"/>
            </w:rPr>
            <w:t xml:space="preserve"> </w:t>
          </w:r>
          <w:r w:rsidRPr="00C95B70">
            <w:rPr>
              <w:noProof/>
              <w:szCs w:val="22"/>
            </w:rPr>
            <w:t>[37]</w:t>
          </w:r>
          <w:r w:rsidRPr="00A1006E">
            <w:rPr>
              <w:szCs w:val="22"/>
            </w:rPr>
            <w:fldChar w:fldCharType="end"/>
          </w:r>
        </w:sdtContent>
      </w:sdt>
      <w:r w:rsidRPr="00A1006E">
        <w:rPr>
          <w:szCs w:val="22"/>
        </w:rPr>
        <w:t>. Factor means cannot be compared across groups because of differences in the origin of the scale</w:t>
      </w:r>
      <w:sdt>
        <w:sdtPr>
          <w:rPr>
            <w:szCs w:val="22"/>
          </w:rPr>
          <w:id w:val="168214735"/>
          <w:citation/>
        </w:sdtPr>
        <w:sdtContent>
          <w:r w:rsidRPr="00A1006E">
            <w:rPr>
              <w:szCs w:val="22"/>
            </w:rPr>
            <w:fldChar w:fldCharType="begin"/>
          </w:r>
          <w:r w:rsidRPr="00A1006E">
            <w:rPr>
              <w:szCs w:val="22"/>
            </w:rPr>
            <w:instrText xml:space="preserve"> CITATION Kar12 \l 1033 </w:instrText>
          </w:r>
          <w:r w:rsidRPr="00A1006E">
            <w:rPr>
              <w:szCs w:val="22"/>
            </w:rPr>
            <w:fldChar w:fldCharType="separate"/>
          </w:r>
          <w:r>
            <w:rPr>
              <w:noProof/>
              <w:szCs w:val="22"/>
            </w:rPr>
            <w:t xml:space="preserve"> </w:t>
          </w:r>
          <w:r w:rsidRPr="00C95B70">
            <w:rPr>
              <w:noProof/>
              <w:szCs w:val="22"/>
            </w:rPr>
            <w:t>[37]</w:t>
          </w:r>
          <w:r w:rsidRPr="00A1006E">
            <w:rPr>
              <w:szCs w:val="22"/>
            </w:rPr>
            <w:fldChar w:fldCharType="end"/>
          </w:r>
        </w:sdtContent>
      </w:sdt>
      <w:r w:rsidRPr="00A1006E">
        <w:rPr>
          <w:szCs w:val="22"/>
        </w:rPr>
        <w:t>. To estimate this model, means of adherence were fixed to zero in all groups, factor loadings were constrained to be equal, and the other parameters were freely estimated across groups.</w:t>
      </w:r>
    </w:p>
    <w:p w14:paraId="3E531A3D" w14:textId="77777777" w:rsidR="00B56B23" w:rsidRPr="00A1006E" w:rsidRDefault="00B56B23" w:rsidP="00B56B23">
      <w:pPr>
        <w:pStyle w:val="Heading3"/>
        <w:numPr>
          <w:ilvl w:val="0"/>
          <w:numId w:val="2"/>
        </w:numPr>
        <w:spacing w:line="480" w:lineRule="auto"/>
        <w:rPr>
          <w:rFonts w:ascii="Garamond" w:hAnsi="Garamond"/>
          <w:b/>
          <w:color w:val="auto"/>
          <w:szCs w:val="22"/>
        </w:rPr>
      </w:pPr>
      <w:r w:rsidRPr="00A1006E">
        <w:rPr>
          <w:rFonts w:ascii="Garamond" w:hAnsi="Garamond"/>
          <w:b/>
          <w:color w:val="auto"/>
          <w:szCs w:val="22"/>
        </w:rPr>
        <w:t>Scalar, strong factorial or intercept invariance</w:t>
      </w:r>
    </w:p>
    <w:p w14:paraId="15227240" w14:textId="77777777" w:rsidR="00B56B23" w:rsidRPr="00A1006E" w:rsidRDefault="00B56B23" w:rsidP="00B56B23">
      <w:pPr>
        <w:spacing w:line="480" w:lineRule="auto"/>
        <w:ind w:firstLine="720"/>
        <w:rPr>
          <w:szCs w:val="22"/>
        </w:rPr>
      </w:pPr>
      <w:r w:rsidRPr="00A1006E">
        <w:rPr>
          <w:szCs w:val="22"/>
        </w:rPr>
        <w:t>This level of invariance justifies across time and between group comparisons</w:t>
      </w:r>
      <w:sdt>
        <w:sdtPr>
          <w:rPr>
            <w:szCs w:val="22"/>
          </w:rPr>
          <w:id w:val="1018053035"/>
          <w:citation/>
        </w:sdtPr>
        <w:sdtContent>
          <w:r w:rsidRPr="00A1006E">
            <w:rPr>
              <w:szCs w:val="22"/>
            </w:rPr>
            <w:fldChar w:fldCharType="begin"/>
          </w:r>
          <w:r w:rsidRPr="00A1006E">
            <w:rPr>
              <w:szCs w:val="22"/>
            </w:rPr>
            <w:instrText xml:space="preserve"> CITATION Sil13 \l 1033 </w:instrText>
          </w:r>
          <w:r w:rsidRPr="00A1006E">
            <w:rPr>
              <w:szCs w:val="22"/>
            </w:rPr>
            <w:fldChar w:fldCharType="separate"/>
          </w:r>
          <w:r>
            <w:rPr>
              <w:noProof/>
              <w:szCs w:val="22"/>
            </w:rPr>
            <w:t xml:space="preserve"> </w:t>
          </w:r>
          <w:r w:rsidRPr="00C95B70">
            <w:rPr>
              <w:noProof/>
              <w:szCs w:val="22"/>
            </w:rPr>
            <w:t>[36]</w:t>
          </w:r>
          <w:r w:rsidRPr="00A1006E">
            <w:rPr>
              <w:szCs w:val="22"/>
            </w:rPr>
            <w:fldChar w:fldCharType="end"/>
          </w:r>
        </w:sdtContent>
      </w:sdt>
      <w:r w:rsidRPr="00A1006E">
        <w:rPr>
          <w:szCs w:val="22"/>
        </w:rPr>
        <w:t xml:space="preserve">. It builds upon weak factorial, factor loading or metric invariance by requiring that the indicator intercepts also be equivalent across multiple groups </w:t>
      </w:r>
      <w:sdt>
        <w:sdtPr>
          <w:rPr>
            <w:szCs w:val="22"/>
          </w:rPr>
          <w:id w:val="-1962032204"/>
          <w:citation/>
        </w:sdtPr>
        <w:sdtContent>
          <w:r w:rsidRPr="00A1006E">
            <w:rPr>
              <w:szCs w:val="22"/>
            </w:rPr>
            <w:fldChar w:fldCharType="begin"/>
          </w:r>
          <w:r w:rsidRPr="00A1006E">
            <w:rPr>
              <w:szCs w:val="22"/>
            </w:rPr>
            <w:instrText xml:space="preserve"> CITATION Sil13 \l 1033 </w:instrText>
          </w:r>
          <w:r w:rsidRPr="00A1006E">
            <w:rPr>
              <w:szCs w:val="22"/>
            </w:rPr>
            <w:fldChar w:fldCharType="separate"/>
          </w:r>
          <w:r w:rsidRPr="00C95B70">
            <w:rPr>
              <w:noProof/>
              <w:szCs w:val="22"/>
            </w:rPr>
            <w:t>[36]</w:t>
          </w:r>
          <w:r w:rsidRPr="00A1006E">
            <w:rPr>
              <w:szCs w:val="22"/>
            </w:rPr>
            <w:fldChar w:fldCharType="end"/>
          </w:r>
        </w:sdtContent>
      </w:sdt>
      <w:r w:rsidRPr="00A1006E">
        <w:rPr>
          <w:szCs w:val="22"/>
        </w:rPr>
        <w:t>. An intercept is the origin or starting value of the adherence scale that the factor is based upon. To assess strong factorial invariance, factor loadings and intercepts were constrained to be equal across groups. This condition is also called “scalar invariance.” This level of invariance is required to make valid comparisons of means of latent factors across groups</w:t>
      </w:r>
      <w:sdt>
        <w:sdtPr>
          <w:rPr>
            <w:szCs w:val="22"/>
          </w:rPr>
          <w:id w:val="688108626"/>
          <w:citation/>
        </w:sdtPr>
        <w:sdtContent>
          <w:r w:rsidRPr="00A1006E">
            <w:rPr>
              <w:szCs w:val="22"/>
            </w:rPr>
            <w:fldChar w:fldCharType="begin"/>
          </w:r>
          <w:r w:rsidRPr="00A1006E">
            <w:rPr>
              <w:szCs w:val="22"/>
            </w:rPr>
            <w:instrText xml:space="preserve"> CITATION Kar12 \l 1033 </w:instrText>
          </w:r>
          <w:r w:rsidRPr="00A1006E">
            <w:rPr>
              <w:szCs w:val="22"/>
            </w:rPr>
            <w:fldChar w:fldCharType="separate"/>
          </w:r>
          <w:r>
            <w:rPr>
              <w:noProof/>
              <w:szCs w:val="22"/>
            </w:rPr>
            <w:t xml:space="preserve"> </w:t>
          </w:r>
          <w:r w:rsidRPr="00C95B70">
            <w:rPr>
              <w:noProof/>
              <w:szCs w:val="22"/>
            </w:rPr>
            <w:t>[37]</w:t>
          </w:r>
          <w:r w:rsidRPr="00A1006E">
            <w:rPr>
              <w:szCs w:val="22"/>
            </w:rPr>
            <w:fldChar w:fldCharType="end"/>
          </w:r>
        </w:sdtContent>
      </w:sdt>
      <w:r w:rsidRPr="00A1006E">
        <w:rPr>
          <w:szCs w:val="22"/>
        </w:rPr>
        <w:t>. The model implies that any differences in means of the indicators are attributable to a difference in means of the latent variable. Thus, differences in covariances among indicators and in means of indicators are attributable to group differences in covariances and means on latent variables</w:t>
      </w:r>
      <w:sdt>
        <w:sdtPr>
          <w:rPr>
            <w:szCs w:val="22"/>
          </w:rPr>
          <w:id w:val="100929725"/>
          <w:citation/>
        </w:sdtPr>
        <w:sdtContent>
          <w:r w:rsidRPr="00A1006E">
            <w:rPr>
              <w:szCs w:val="22"/>
            </w:rPr>
            <w:fldChar w:fldCharType="begin"/>
          </w:r>
          <w:r w:rsidRPr="00A1006E">
            <w:rPr>
              <w:szCs w:val="22"/>
            </w:rPr>
            <w:instrText xml:space="preserve">CITATION Ken89 \t  \l 1033 </w:instrText>
          </w:r>
          <w:r w:rsidRPr="00A1006E">
            <w:rPr>
              <w:szCs w:val="22"/>
            </w:rPr>
            <w:fldChar w:fldCharType="separate"/>
          </w:r>
          <w:r>
            <w:rPr>
              <w:noProof/>
              <w:szCs w:val="22"/>
            </w:rPr>
            <w:t xml:space="preserve"> </w:t>
          </w:r>
          <w:r w:rsidRPr="00C95B70">
            <w:rPr>
              <w:noProof/>
              <w:szCs w:val="22"/>
            </w:rPr>
            <w:t>[75]</w:t>
          </w:r>
          <w:r w:rsidRPr="00A1006E">
            <w:rPr>
              <w:szCs w:val="22"/>
            </w:rPr>
            <w:fldChar w:fldCharType="end"/>
          </w:r>
        </w:sdtContent>
      </w:sdt>
      <w:r w:rsidRPr="00A1006E">
        <w:rPr>
          <w:szCs w:val="22"/>
        </w:rPr>
        <w:t>. Under this invariance model, factor means for adherence were fixed in one group and free in the others, factor loadings and intercepts/thresholds and factor variances were constrained to be equal, whereas residual variances were freely estimated.</w:t>
      </w:r>
    </w:p>
    <w:p w14:paraId="6585BDCA" w14:textId="77777777" w:rsidR="00B56B23" w:rsidRPr="00A1006E" w:rsidRDefault="00B56B23" w:rsidP="00B56B23">
      <w:pPr>
        <w:pStyle w:val="Heading3"/>
        <w:numPr>
          <w:ilvl w:val="0"/>
          <w:numId w:val="2"/>
        </w:numPr>
        <w:spacing w:line="480" w:lineRule="auto"/>
        <w:rPr>
          <w:rFonts w:ascii="Garamond" w:hAnsi="Garamond"/>
          <w:b/>
          <w:color w:val="auto"/>
          <w:szCs w:val="22"/>
        </w:rPr>
      </w:pPr>
      <w:r w:rsidRPr="00A1006E">
        <w:rPr>
          <w:rFonts w:ascii="Garamond" w:hAnsi="Garamond"/>
          <w:b/>
          <w:color w:val="auto"/>
          <w:szCs w:val="22"/>
        </w:rPr>
        <w:lastRenderedPageBreak/>
        <w:t>Strict factorial or residual invariance</w:t>
      </w:r>
    </w:p>
    <w:p w14:paraId="56CEE598" w14:textId="77777777" w:rsidR="00B56B23" w:rsidRPr="00A1006E" w:rsidRDefault="00B56B23" w:rsidP="00B56B23">
      <w:pPr>
        <w:spacing w:line="480" w:lineRule="auto"/>
        <w:ind w:firstLine="720"/>
        <w:rPr>
          <w:szCs w:val="22"/>
        </w:rPr>
      </w:pPr>
      <w:r w:rsidRPr="00A1006E">
        <w:rPr>
          <w:szCs w:val="22"/>
        </w:rPr>
        <w:t xml:space="preserve">This is the final criterion of invariance testing </w:t>
      </w:r>
      <w:sdt>
        <w:sdtPr>
          <w:rPr>
            <w:szCs w:val="22"/>
          </w:rPr>
          <w:id w:val="1854449100"/>
          <w:citation/>
        </w:sdtPr>
        <w:sdtContent>
          <w:r w:rsidRPr="00A1006E">
            <w:rPr>
              <w:szCs w:val="22"/>
            </w:rPr>
            <w:fldChar w:fldCharType="begin"/>
          </w:r>
          <w:r w:rsidRPr="00A1006E">
            <w:rPr>
              <w:szCs w:val="22"/>
            </w:rPr>
            <w:instrText xml:space="preserve"> CITATION Sil13 \l 1033  \m Kar12</w:instrText>
          </w:r>
          <w:r w:rsidRPr="00A1006E">
            <w:rPr>
              <w:szCs w:val="22"/>
            </w:rPr>
            <w:fldChar w:fldCharType="separate"/>
          </w:r>
          <w:r w:rsidRPr="00C95B70">
            <w:rPr>
              <w:noProof/>
              <w:szCs w:val="22"/>
            </w:rPr>
            <w:t>[36, 37]</w:t>
          </w:r>
          <w:r w:rsidRPr="00A1006E">
            <w:rPr>
              <w:szCs w:val="22"/>
            </w:rPr>
            <w:fldChar w:fldCharType="end"/>
          </w:r>
        </w:sdtContent>
      </w:sdt>
      <w:r w:rsidRPr="00A1006E">
        <w:rPr>
          <w:szCs w:val="22"/>
        </w:rPr>
        <w:t>. There are two levels of strict factorial or residual invariance. The first level is invariance of factor variances, which represents overall error in prediction of the latent construct. The second level is invariance in error term estimates of individual indicator variables. Strict invariance testing assesses whether residual errors are equivalent across multiple groups. A residual is defined as uniqueness or measurement error associated with each measured indicator. This type of invariance extends strong factorial invariance, such that, residual variances are also constrained to be equal, in addition to factor loadings, intercepts and factor variances. Under this type of invariance, group differences are solely due to group differences in latent variables. This type of invariance likely does not hold in practice, because residual variances would vary from group to group even if all the groups were from one population. Therefore, we did not estimate models for this type of invariance.</w:t>
      </w:r>
    </w:p>
    <w:p w14:paraId="5A4AD1AF" w14:textId="77777777" w:rsidR="00B56B23" w:rsidRPr="00A1006E" w:rsidRDefault="00B56B23" w:rsidP="00B56B23">
      <w:pPr>
        <w:spacing w:after="200" w:line="276" w:lineRule="auto"/>
        <w:rPr>
          <w:szCs w:val="22"/>
        </w:rPr>
      </w:pPr>
    </w:p>
    <w:p w14:paraId="799231F9" w14:textId="77777777" w:rsidR="003517B1" w:rsidRDefault="003517B1">
      <w:bookmarkStart w:id="0" w:name="_GoBack"/>
      <w:bookmarkEnd w:id="0"/>
    </w:p>
    <w:sectPr w:rsidR="003517B1" w:rsidSect="00553259">
      <w:headerReference w:type="default" r:id="rId6"/>
      <w:footerReference w:type="default" r:id="rId7"/>
      <w:pgSz w:w="12240" w:h="15840"/>
      <w:pgMar w:top="1440" w:right="1440" w:bottom="1440" w:left="1440" w:header="63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2358594"/>
      <w:docPartObj>
        <w:docPartGallery w:val="Page Numbers (Bottom of Page)"/>
        <w:docPartUnique/>
      </w:docPartObj>
    </w:sdtPr>
    <w:sdtEndPr>
      <w:rPr>
        <w:noProof/>
        <w:szCs w:val="22"/>
      </w:rPr>
    </w:sdtEndPr>
    <w:sdtContent>
      <w:p w14:paraId="539E7CE1" w14:textId="77777777" w:rsidR="005C6D5D" w:rsidRPr="00A44A2A" w:rsidRDefault="00B56B23">
        <w:pPr>
          <w:pStyle w:val="Footer"/>
          <w:jc w:val="center"/>
          <w:rPr>
            <w:szCs w:val="22"/>
          </w:rPr>
        </w:pPr>
        <w:r w:rsidRPr="00A44A2A">
          <w:rPr>
            <w:szCs w:val="22"/>
          </w:rPr>
          <w:fldChar w:fldCharType="begin"/>
        </w:r>
        <w:r w:rsidRPr="00A44A2A">
          <w:rPr>
            <w:szCs w:val="22"/>
          </w:rPr>
          <w:instrText xml:space="preserve"> PAGE   \* MERGEFORMAT </w:instrText>
        </w:r>
        <w:r w:rsidRPr="00A44A2A">
          <w:rPr>
            <w:szCs w:val="22"/>
          </w:rPr>
          <w:fldChar w:fldCharType="separate"/>
        </w:r>
        <w:r>
          <w:rPr>
            <w:noProof/>
            <w:szCs w:val="22"/>
          </w:rPr>
          <w:t>36</w:t>
        </w:r>
        <w:r w:rsidRPr="00A44A2A">
          <w:rPr>
            <w:noProof/>
            <w:szCs w:val="22"/>
          </w:rPr>
          <w:fldChar w:fldCharType="end"/>
        </w:r>
      </w:p>
    </w:sdtContent>
  </w:sdt>
  <w:p w14:paraId="0229A11A" w14:textId="77777777" w:rsidR="005C6D5D" w:rsidRPr="0012535F" w:rsidRDefault="00B56B2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5AFBC6" w14:textId="77777777" w:rsidR="005C6D5D" w:rsidRDefault="00B56B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66EAC"/>
    <w:multiLevelType w:val="hybridMultilevel"/>
    <w:tmpl w:val="16B20B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BD732D"/>
    <w:multiLevelType w:val="multilevel"/>
    <w:tmpl w:val="6FA0AD94"/>
    <w:lvl w:ilvl="0">
      <w:start w:val="1"/>
      <w:numFmt w:val="decimal"/>
      <w:pStyle w:val="Heading1"/>
      <w:suff w:val="space"/>
      <w:lvlText w:val="CHAPTER %1."/>
      <w:lvlJc w:val="left"/>
      <w:pPr>
        <w:ind w:left="432" w:hanging="432"/>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B23"/>
    <w:rsid w:val="000731CB"/>
    <w:rsid w:val="00275F92"/>
    <w:rsid w:val="0029568F"/>
    <w:rsid w:val="00317F7C"/>
    <w:rsid w:val="003517B1"/>
    <w:rsid w:val="0060409E"/>
    <w:rsid w:val="00615B5F"/>
    <w:rsid w:val="00783965"/>
    <w:rsid w:val="00950ED0"/>
    <w:rsid w:val="009D7BE2"/>
    <w:rsid w:val="00A11F89"/>
    <w:rsid w:val="00A4604F"/>
    <w:rsid w:val="00A571C8"/>
    <w:rsid w:val="00A57C61"/>
    <w:rsid w:val="00B43DCD"/>
    <w:rsid w:val="00B56B23"/>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A5B25"/>
  <w15:chartTrackingRefBased/>
  <w15:docId w15:val="{45D93CA2-10DB-46BF-A73A-D69905F85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B23"/>
    <w:pPr>
      <w:spacing w:line="240" w:lineRule="auto"/>
    </w:pPr>
    <w:rPr>
      <w:rFonts w:ascii="Garamond" w:hAnsi="Garamond" w:cs="Courier New"/>
      <w:sz w:val="22"/>
      <w:szCs w:val="20"/>
    </w:rPr>
  </w:style>
  <w:style w:type="paragraph" w:styleId="Heading1">
    <w:name w:val="heading 1"/>
    <w:basedOn w:val="Normal"/>
    <w:next w:val="Normal"/>
    <w:link w:val="Heading1Char"/>
    <w:uiPriority w:val="9"/>
    <w:qFormat/>
    <w:rsid w:val="00B56B23"/>
    <w:pPr>
      <w:keepNext/>
      <w:keepLines/>
      <w:numPr>
        <w:numId w:val="1"/>
      </w:numPr>
      <w:jc w:val="center"/>
      <w:textAlignment w:val="baseline"/>
      <w:outlineLvl w:val="0"/>
    </w:pPr>
    <w:rPr>
      <w:rFonts w:eastAsia="Times New Roman" w:cstheme="majorBidi"/>
      <w:b/>
      <w:caps/>
      <w:szCs w:val="22"/>
      <w:bdr w:val="none" w:sz="0" w:space="0" w:color="auto" w:frame="1"/>
    </w:rPr>
  </w:style>
  <w:style w:type="paragraph" w:styleId="Heading2">
    <w:name w:val="heading 2"/>
    <w:basedOn w:val="Normal"/>
    <w:link w:val="Heading2Char"/>
    <w:uiPriority w:val="9"/>
    <w:qFormat/>
    <w:rsid w:val="00B56B23"/>
    <w:pPr>
      <w:numPr>
        <w:ilvl w:val="1"/>
        <w:numId w:val="1"/>
      </w:numPr>
      <w:spacing w:line="480" w:lineRule="auto"/>
      <w:outlineLvl w:val="1"/>
    </w:pPr>
    <w:rPr>
      <w:rFonts w:eastAsia="Times New Roman" w:cs="Times New Roman"/>
      <w:b/>
      <w:bCs/>
      <w:szCs w:val="36"/>
    </w:rPr>
  </w:style>
  <w:style w:type="paragraph" w:styleId="Heading3">
    <w:name w:val="heading 3"/>
    <w:basedOn w:val="Normal"/>
    <w:next w:val="Normal"/>
    <w:link w:val="Heading3Char"/>
    <w:uiPriority w:val="9"/>
    <w:unhideWhenUsed/>
    <w:qFormat/>
    <w:rsid w:val="00B56B23"/>
    <w:pPr>
      <w:keepNext/>
      <w:keepLines/>
      <w:numPr>
        <w:ilvl w:val="2"/>
        <w:numId w:val="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56B23"/>
    <w:pPr>
      <w:keepNext/>
      <w:keepLines/>
      <w:numPr>
        <w:ilvl w:val="3"/>
        <w:numId w:val="1"/>
      </w:numPr>
      <w:spacing w:before="40" w:line="276" w:lineRule="auto"/>
      <w:outlineLvl w:val="3"/>
    </w:pPr>
    <w:rPr>
      <w:rFonts w:asciiTheme="majorHAnsi" w:eastAsiaTheme="majorEastAsia" w:hAnsiTheme="majorHAnsi" w:cstheme="majorBidi"/>
      <w:i/>
      <w:iCs/>
      <w:color w:val="2F5496" w:themeColor="accent1" w:themeShade="BF"/>
      <w:szCs w:val="22"/>
    </w:rPr>
  </w:style>
  <w:style w:type="paragraph" w:styleId="Heading5">
    <w:name w:val="heading 5"/>
    <w:basedOn w:val="Normal"/>
    <w:next w:val="Normal"/>
    <w:link w:val="Heading5Char"/>
    <w:uiPriority w:val="9"/>
    <w:semiHidden/>
    <w:unhideWhenUsed/>
    <w:qFormat/>
    <w:rsid w:val="00B56B23"/>
    <w:pPr>
      <w:keepNext/>
      <w:keepLines/>
      <w:numPr>
        <w:ilvl w:val="4"/>
        <w:numId w:val="1"/>
      </w:numPr>
      <w:spacing w:before="20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B56B23"/>
    <w:pPr>
      <w:keepNext/>
      <w:keepLines/>
      <w:numPr>
        <w:ilvl w:val="5"/>
        <w:numId w:val="1"/>
      </w:numPr>
      <w:spacing w:before="20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B56B23"/>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56B23"/>
    <w:pPr>
      <w:keepNext/>
      <w:keepLines/>
      <w:numPr>
        <w:ilvl w:val="7"/>
        <w:numId w:val="1"/>
      </w:numPr>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B56B23"/>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customStyle="1" w:styleId="Heading1Char">
    <w:name w:val="Heading 1 Char"/>
    <w:basedOn w:val="DefaultParagraphFont"/>
    <w:link w:val="Heading1"/>
    <w:uiPriority w:val="9"/>
    <w:rsid w:val="00B56B23"/>
    <w:rPr>
      <w:rFonts w:ascii="Garamond" w:eastAsia="Times New Roman" w:hAnsi="Garamond" w:cstheme="majorBidi"/>
      <w:b/>
      <w:caps/>
      <w:sz w:val="22"/>
      <w:szCs w:val="22"/>
      <w:bdr w:val="none" w:sz="0" w:space="0" w:color="auto" w:frame="1"/>
    </w:rPr>
  </w:style>
  <w:style w:type="character" w:customStyle="1" w:styleId="Heading2Char">
    <w:name w:val="Heading 2 Char"/>
    <w:basedOn w:val="DefaultParagraphFont"/>
    <w:link w:val="Heading2"/>
    <w:uiPriority w:val="9"/>
    <w:rsid w:val="00B56B23"/>
    <w:rPr>
      <w:rFonts w:ascii="Garamond" w:eastAsia="Times New Roman" w:hAnsi="Garamond" w:cs="Times New Roman"/>
      <w:b/>
      <w:bCs/>
      <w:sz w:val="22"/>
      <w:szCs w:val="36"/>
    </w:rPr>
  </w:style>
  <w:style w:type="character" w:customStyle="1" w:styleId="Heading3Char">
    <w:name w:val="Heading 3 Char"/>
    <w:basedOn w:val="DefaultParagraphFont"/>
    <w:link w:val="Heading3"/>
    <w:uiPriority w:val="9"/>
    <w:rsid w:val="00B56B23"/>
    <w:rPr>
      <w:rFonts w:asciiTheme="majorHAnsi" w:eastAsiaTheme="majorEastAsia" w:hAnsiTheme="majorHAnsi" w:cstheme="majorBidi"/>
      <w:color w:val="1F3763" w:themeColor="accent1" w:themeShade="7F"/>
      <w:sz w:val="22"/>
      <w:szCs w:val="20"/>
    </w:rPr>
  </w:style>
  <w:style w:type="character" w:customStyle="1" w:styleId="Heading4Char">
    <w:name w:val="Heading 4 Char"/>
    <w:basedOn w:val="DefaultParagraphFont"/>
    <w:link w:val="Heading4"/>
    <w:uiPriority w:val="9"/>
    <w:semiHidden/>
    <w:rsid w:val="00B56B23"/>
    <w:rPr>
      <w:rFonts w:asciiTheme="majorHAnsi" w:eastAsiaTheme="majorEastAsia" w:hAnsiTheme="majorHAnsi" w:cstheme="majorBidi"/>
      <w:i/>
      <w:iCs/>
      <w:color w:val="2F5496" w:themeColor="accent1" w:themeShade="BF"/>
      <w:sz w:val="22"/>
      <w:szCs w:val="22"/>
    </w:rPr>
  </w:style>
  <w:style w:type="character" w:customStyle="1" w:styleId="Heading5Char">
    <w:name w:val="Heading 5 Char"/>
    <w:basedOn w:val="DefaultParagraphFont"/>
    <w:link w:val="Heading5"/>
    <w:uiPriority w:val="9"/>
    <w:semiHidden/>
    <w:rsid w:val="00B56B23"/>
    <w:rPr>
      <w:rFonts w:asciiTheme="majorHAnsi" w:eastAsiaTheme="majorEastAsia" w:hAnsiTheme="majorHAnsi" w:cstheme="majorBidi"/>
      <w:color w:val="1F3763" w:themeColor="accent1" w:themeShade="7F"/>
      <w:sz w:val="22"/>
      <w:szCs w:val="20"/>
    </w:rPr>
  </w:style>
  <w:style w:type="character" w:customStyle="1" w:styleId="Heading6Char">
    <w:name w:val="Heading 6 Char"/>
    <w:basedOn w:val="DefaultParagraphFont"/>
    <w:link w:val="Heading6"/>
    <w:uiPriority w:val="9"/>
    <w:semiHidden/>
    <w:rsid w:val="00B56B23"/>
    <w:rPr>
      <w:rFonts w:asciiTheme="majorHAnsi" w:eastAsiaTheme="majorEastAsia" w:hAnsiTheme="majorHAnsi" w:cstheme="majorBidi"/>
      <w:i/>
      <w:iCs/>
      <w:color w:val="1F3763" w:themeColor="accent1" w:themeShade="7F"/>
      <w:sz w:val="22"/>
      <w:szCs w:val="20"/>
    </w:rPr>
  </w:style>
  <w:style w:type="character" w:customStyle="1" w:styleId="Heading7Char">
    <w:name w:val="Heading 7 Char"/>
    <w:basedOn w:val="DefaultParagraphFont"/>
    <w:link w:val="Heading7"/>
    <w:uiPriority w:val="9"/>
    <w:semiHidden/>
    <w:rsid w:val="00B56B23"/>
    <w:rPr>
      <w:rFonts w:asciiTheme="majorHAnsi" w:eastAsiaTheme="majorEastAsia" w:hAnsiTheme="majorHAnsi" w:cstheme="majorBidi"/>
      <w:i/>
      <w:iCs/>
      <w:color w:val="404040" w:themeColor="text1" w:themeTint="BF"/>
      <w:sz w:val="22"/>
      <w:szCs w:val="20"/>
    </w:rPr>
  </w:style>
  <w:style w:type="character" w:customStyle="1" w:styleId="Heading8Char">
    <w:name w:val="Heading 8 Char"/>
    <w:basedOn w:val="DefaultParagraphFont"/>
    <w:link w:val="Heading8"/>
    <w:uiPriority w:val="9"/>
    <w:semiHidden/>
    <w:rsid w:val="00B56B2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56B23"/>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B56B23"/>
    <w:pPr>
      <w:tabs>
        <w:tab w:val="center" w:pos="4680"/>
        <w:tab w:val="right" w:pos="9360"/>
      </w:tabs>
    </w:pPr>
  </w:style>
  <w:style w:type="character" w:customStyle="1" w:styleId="HeaderChar">
    <w:name w:val="Header Char"/>
    <w:basedOn w:val="DefaultParagraphFont"/>
    <w:link w:val="Header"/>
    <w:uiPriority w:val="99"/>
    <w:rsid w:val="00B56B23"/>
    <w:rPr>
      <w:rFonts w:ascii="Garamond" w:hAnsi="Garamond" w:cs="Courier New"/>
      <w:sz w:val="22"/>
      <w:szCs w:val="20"/>
    </w:rPr>
  </w:style>
  <w:style w:type="paragraph" w:styleId="Footer">
    <w:name w:val="footer"/>
    <w:basedOn w:val="Normal"/>
    <w:link w:val="FooterChar"/>
    <w:uiPriority w:val="99"/>
    <w:unhideWhenUsed/>
    <w:rsid w:val="00B56B23"/>
    <w:pPr>
      <w:tabs>
        <w:tab w:val="center" w:pos="4680"/>
        <w:tab w:val="right" w:pos="9360"/>
      </w:tabs>
    </w:pPr>
  </w:style>
  <w:style w:type="character" w:customStyle="1" w:styleId="FooterChar">
    <w:name w:val="Footer Char"/>
    <w:basedOn w:val="DefaultParagraphFont"/>
    <w:link w:val="Footer"/>
    <w:uiPriority w:val="99"/>
    <w:rsid w:val="00B56B23"/>
    <w:rPr>
      <w:rFonts w:ascii="Garamond" w:hAnsi="Garamond" w:cs="Courier New"/>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Ken89</b:Tag>
    <b:SourceType>Book</b:SourceType>
    <b:Guid>{270492CB-2209-774F-9555-D046706424D2}</b:Guid>
    <b:Author>
      <b:Author>
        <b:NameList>
          <b:Person>
            <b:Last>Bollen</b:Last>
            <b:First>KA.</b:First>
          </b:Person>
        </b:NameList>
      </b:Author>
    </b:Author>
    <b:Title>Structural equations with latent variables</b:Title>
    <b:Year>1989</b:Year>
    <b:City>New York</b:City>
    <b:Publisher>Wiley</b:Publisher>
    <b:RefOrder>75</b:RefOrder>
  </b:Source>
  <b:Source>
    <b:Tag>KFW97</b:Tag>
    <b:SourceType>BookSection</b:SourceType>
    <b:Guid>{9887F7C7-AA81-44C5-A20C-DBB31AA08CCF}</b:Guid>
    <b:Title>Exploring the measurement invariance of psychological instruments: Applications in the substance use domain</b:Title>
    <b:Year>1997</b:Year>
    <b:City>Washington</b:City>
    <b:Publisher>American Psychological Association</b:Publisher>
    <b:Author>
      <b:Author>
        <b:NameList>
          <b:Person>
            <b:Last>Widaman</b:Last>
            <b:First>K.</b:First>
            <b:Middle>F.</b:Middle>
          </b:Person>
          <b:Person>
            <b:Last>Reise</b:Last>
            <b:First>S.P.</b:First>
          </b:Person>
        </b:NameList>
      </b:Author>
      <b:BookAuthor>
        <b:NameList>
          <b:Person>
            <b:Last>Bryant</b:Last>
            <b:First>K.</b:First>
            <b:Middle>J.</b:Middle>
          </b:Person>
          <b:Person>
            <b:Last>Windle</b:Last>
            <b:First>M.</b:First>
          </b:Person>
        </b:NameList>
      </b:BookAuthor>
    </b:Author>
    <b:JournalName>American Psychological Association</b:JournalName>
    <b:Pages>281–324</b:Pages>
    <b:BookTitle>The science of prevention</b:BookTitle>
    <b:RefOrder>76</b:RefOrder>
  </b:Source>
  <b:Source>
    <b:Tag>Kar12</b:Tag>
    <b:SourceType>JournalArticle</b:SourceType>
    <b:Guid>{37136EC9-3E72-734B-9769-4D37E0F4BA49}</b:Guid>
    <b:Author>
      <b:Author>
        <b:NameList>
          <b:Person>
            <b:Last>Sousa</b:Last>
            <b:First>Karen</b:First>
            <b:Middle>H.</b:Middle>
          </b:Person>
          <b:Person>
            <b:Last>West</b:Last>
            <b:First>Stephen</b:First>
            <b:Middle>G.</b:Middle>
          </b:Person>
          <b:Person>
            <b:Last>Moser</b:Last>
            <b:First>Stephanie</b:First>
            <b:Middle>E.</b:Middle>
          </b:Person>
          <b:Person>
            <b:Last>Harris</b:Last>
            <b:First>Judy</b:First>
            <b:Middle>A.</b:Middle>
          </b:Person>
          <b:Person>
            <b:Last>Cook</b:Last>
            <b:First>Susanne</b:First>
            <b:Middle>W.</b:Middle>
          </b:Person>
        </b:NameList>
      </b:Author>
    </b:Author>
    <b:Title>Establishing Measurement Invariance: English and Spanish Paediatric Asthma Quality of Life Questionnaire</b:Title>
    <b:JournalName>Nurs Res.</b:JournalName>
    <b:Year>2012  </b:Year>
    <b:Month>May</b:Month>
    <b:Volume>61</b:Volume>
    <b:Issue>3</b:Issue>
    <b:Pages>171–180</b:Pages>
    <b:StandardNumber>doi:10.1097/NNR.0b013e3182544750.</b:StandardNumber>
    <b:RefOrder>37</b:RefOrder>
  </b:Source>
  <b:Source>
    <b:Tag>Sil13</b:Tag>
    <b:SourceType>ConferenceProceedings</b:SourceType>
    <b:Guid>{5A84493F-7DFB-BE47-914A-9FB1DFDACB48}</b:Guid>
    <b:Title>Do our Measures Measure up? The Critical Role of Measurement Invariance</b:Title>
    <b:Publisher>American Evaluation Association</b:Publisher>
    <b:City>Claremont</b:City>
    <b:Year>2013</b:Year>
    <b:Pages>1-37</b:Pages>
    <b:Author>
      <b:Author>
        <b:NameList>
          <b:Person>
            <b:Last>Bialosiewicz</b:Last>
            <b:First>Silvana</b:First>
          </b:Person>
          <b:Person>
            <b:Last>Murphy</b:Last>
            <b:First>Kelly</b:First>
          </b:Person>
          <b:Person>
            <b:Last>Berry</b:Last>
            <b:First>Tiffany</b:First>
          </b:Person>
        </b:NameList>
      </b:Author>
    </b:Author>
    <b:ConferenceName>An Introduction to Measurement Invariance Testing: Resource Packet for Participants </b:ConferenceName>
    <b:RefOrder>36</b:RefOrder>
  </b:Source>
</b:Sources>
</file>

<file path=customXml/itemProps1.xml><?xml version="1.0" encoding="utf-8"?>
<ds:datastoreItem xmlns:ds="http://schemas.openxmlformats.org/officeDocument/2006/customXml" ds:itemID="{5C46A591-8193-46E2-9847-DA55709AC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1329</Words>
  <Characters>7578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2019-08-05T23:05:00Z</dcterms:created>
  <dcterms:modified xsi:type="dcterms:W3CDTF">2019-08-05T23:06:00Z</dcterms:modified>
</cp:coreProperties>
</file>