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A41" w:rsidRDefault="00217339" w:rsidP="00392A41">
      <w:pPr>
        <w:ind w:firstLine="0"/>
        <w:rPr>
          <w:rFonts w:ascii="Times New Roman" w:eastAsia="Calibri" w:hAnsi="Times New Roman" w:cs="Times New Roman"/>
          <w:sz w:val="24"/>
          <w:lang w:val="en-US"/>
        </w:rPr>
      </w:pPr>
      <w:r>
        <w:rPr>
          <w:rFonts w:ascii="Times New Roman" w:eastAsia="Calibri" w:hAnsi="Times New Roman" w:cs="Times New Roman"/>
          <w:b/>
          <w:color w:val="3333CC"/>
          <w:sz w:val="28"/>
          <w:szCs w:val="28"/>
          <w:lang w:val="en-GB"/>
        </w:rPr>
        <w:t>Additional file 1</w:t>
      </w:r>
      <w:bookmarkStart w:id="0" w:name="_GoBack"/>
      <w:bookmarkEnd w:id="0"/>
    </w:p>
    <w:p w:rsidR="00392A41" w:rsidRPr="007F20DC" w:rsidRDefault="00392A41" w:rsidP="00392A41">
      <w:pPr>
        <w:ind w:firstLine="0"/>
        <w:rPr>
          <w:rFonts w:ascii="Times New Roman" w:eastAsia="Calibri" w:hAnsi="Times New Roman" w:cs="Times New Roman"/>
          <w:b/>
          <w:noProof/>
          <w:sz w:val="24"/>
          <w:lang w:val="en-GB"/>
        </w:rPr>
      </w:pPr>
      <w:r w:rsidRPr="007F20DC">
        <w:rPr>
          <w:rFonts w:ascii="Times New Roman" w:eastAsia="Calibri" w:hAnsi="Times New Roman" w:cs="Times New Roman"/>
          <w:b/>
          <w:noProof/>
          <w:sz w:val="24"/>
          <w:lang w:val="en-GB"/>
        </w:rPr>
        <w:t>Fig</w:t>
      </w:r>
      <w:r>
        <w:rPr>
          <w:rFonts w:ascii="Times New Roman" w:eastAsia="Calibri" w:hAnsi="Times New Roman" w:cs="Times New Roman"/>
          <w:b/>
          <w:noProof/>
          <w:sz w:val="24"/>
          <w:lang w:val="en-GB"/>
        </w:rPr>
        <w:t>ure</w:t>
      </w:r>
      <w:r w:rsidRPr="007F20DC">
        <w:rPr>
          <w:rFonts w:ascii="Times New Roman" w:eastAsia="Calibri" w:hAnsi="Times New Roman" w:cs="Times New Roman"/>
          <w:b/>
          <w:noProof/>
          <w:sz w:val="24"/>
          <w:lang w:val="en-GB"/>
        </w:rPr>
        <w:t xml:space="preserve"> S1. </w:t>
      </w:r>
      <w:r w:rsidRPr="007F20DC">
        <w:rPr>
          <w:rFonts w:ascii="Times New Roman" w:eastAsia="Calibri" w:hAnsi="Times New Roman" w:cs="Times New Roman"/>
          <w:noProof/>
          <w:sz w:val="24"/>
          <w:lang w:val="en-GB"/>
        </w:rPr>
        <w:t>Flow diagram of the study</w:t>
      </w:r>
    </w:p>
    <w:p w:rsidR="00392A41" w:rsidRPr="007F20DC" w:rsidRDefault="00392A41" w:rsidP="00392A41">
      <w:pPr>
        <w:ind w:firstLine="0"/>
        <w:rPr>
          <w:rFonts w:ascii="Times New Roman" w:eastAsia="Calibri" w:hAnsi="Times New Roman" w:cs="Times New Roman"/>
          <w:b/>
          <w:lang w:val="en-GB"/>
        </w:rPr>
      </w:pPr>
      <w:r w:rsidRPr="007F20DC"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4D86D20E" wp14:editId="48354577">
            <wp:extent cx="9447822" cy="4543425"/>
            <wp:effectExtent l="0" t="0" r="127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6019" cy="456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2A41" w:rsidRPr="007F20DC" w:rsidRDefault="00392A41" w:rsidP="00392A41">
      <w:pPr>
        <w:ind w:firstLine="0"/>
        <w:rPr>
          <w:rFonts w:ascii="Times New Roman" w:eastAsia="Calibri" w:hAnsi="Times New Roman" w:cs="Times New Roman"/>
          <w:sz w:val="24"/>
          <w:lang w:val="en-GB"/>
        </w:rPr>
      </w:pPr>
      <w:r w:rsidRPr="007F20DC">
        <w:rPr>
          <w:rFonts w:ascii="Times New Roman" w:eastAsia="Calibri" w:hAnsi="Times New Roman" w:cs="Times New Roman"/>
          <w:sz w:val="24"/>
          <w:lang w:val="en-GB"/>
        </w:rPr>
        <w:t xml:space="preserve">*During the staining process of the TBS-50, it is possible that the preparation can be removed from the slide. These slides were defined as “Partial preparation”. They were considered for the positivity of the slide (positive/negative) but not for the calculation of the </w:t>
      </w:r>
      <w:proofErr w:type="spellStart"/>
      <w:r w:rsidRPr="007F20DC">
        <w:rPr>
          <w:rFonts w:ascii="Times New Roman" w:eastAsia="Calibri" w:hAnsi="Times New Roman" w:cs="Times New Roman"/>
          <w:sz w:val="24"/>
          <w:lang w:val="en-GB"/>
        </w:rPr>
        <w:t>microfilaremia</w:t>
      </w:r>
      <w:proofErr w:type="spellEnd"/>
      <w:r w:rsidRPr="007F20DC">
        <w:rPr>
          <w:rFonts w:ascii="Times New Roman" w:eastAsia="Calibri" w:hAnsi="Times New Roman" w:cs="Times New Roman"/>
          <w:sz w:val="24"/>
          <w:lang w:val="en-GB"/>
        </w:rPr>
        <w:t xml:space="preserve">. </w:t>
      </w:r>
      <w:r w:rsidRPr="007F20DC">
        <w:rPr>
          <w:rFonts w:ascii="Times New Roman" w:eastAsia="Calibri" w:hAnsi="Times New Roman" w:cs="Times New Roman"/>
          <w:b/>
          <w:sz w:val="24"/>
          <w:lang w:val="en-GB"/>
        </w:rPr>
        <w:t>**</w:t>
      </w:r>
      <w:r w:rsidRPr="007F20DC">
        <w:rPr>
          <w:rFonts w:ascii="Times New Roman" w:eastAsia="Calibri" w:hAnsi="Times New Roman" w:cs="Times New Roman"/>
          <w:sz w:val="24"/>
          <w:lang w:val="en-GB"/>
        </w:rPr>
        <w:t xml:space="preserve"> </w:t>
      </w:r>
      <w:r w:rsidRPr="007F20DC">
        <w:rPr>
          <w:rFonts w:ascii="Times New Roman" w:eastAsia="Calibri" w:hAnsi="Times New Roman" w:cs="Times New Roman"/>
          <w:sz w:val="24"/>
          <w:lang w:val="en-GB"/>
        </w:rPr>
        <w:lastRenderedPageBreak/>
        <w:t xml:space="preserve">The majority of the slides kept their total integrity and were defined as “Entire preparation”. From these slides, positivity and </w:t>
      </w:r>
      <w:proofErr w:type="spellStart"/>
      <w:r w:rsidRPr="007F20DC">
        <w:rPr>
          <w:rFonts w:ascii="Times New Roman" w:eastAsia="Calibri" w:hAnsi="Times New Roman" w:cs="Times New Roman"/>
          <w:sz w:val="24"/>
          <w:lang w:val="en-GB"/>
        </w:rPr>
        <w:t>microfilaremia</w:t>
      </w:r>
      <w:proofErr w:type="spellEnd"/>
      <w:r w:rsidRPr="007F20DC">
        <w:rPr>
          <w:rFonts w:ascii="Times New Roman" w:eastAsia="Calibri" w:hAnsi="Times New Roman" w:cs="Times New Roman"/>
          <w:sz w:val="24"/>
          <w:lang w:val="en-GB"/>
        </w:rPr>
        <w:t xml:space="preserve"> could be determined.</w:t>
      </w:r>
    </w:p>
    <w:p w:rsidR="00392A41" w:rsidRPr="007F20DC" w:rsidRDefault="00392A41" w:rsidP="00392A41">
      <w:pPr>
        <w:ind w:firstLine="0"/>
        <w:rPr>
          <w:rFonts w:ascii="Times New Roman" w:eastAsia="Calibri" w:hAnsi="Times New Roman" w:cs="Times New Roman"/>
          <w:sz w:val="24"/>
          <w:lang w:val="en-GB"/>
        </w:rPr>
        <w:sectPr w:rsidR="00392A41" w:rsidRPr="007F20DC" w:rsidSect="007F20DC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:rsidR="00392A41" w:rsidRPr="007F20DC" w:rsidRDefault="00392A41" w:rsidP="00392A41">
      <w:pPr>
        <w:rPr>
          <w:rFonts w:ascii="Times New Roman" w:hAnsi="Times New Roman" w:cs="Times New Roman"/>
          <w:iCs/>
          <w:sz w:val="24"/>
          <w:lang w:val="en-US"/>
        </w:rPr>
      </w:pPr>
      <w:r w:rsidRPr="007F20DC">
        <w:rPr>
          <w:rFonts w:ascii="Times New Roman" w:hAnsi="Times New Roman" w:cs="Times New Roman"/>
          <w:b/>
          <w:iCs/>
          <w:sz w:val="24"/>
          <w:lang w:val="en-US"/>
        </w:rPr>
        <w:lastRenderedPageBreak/>
        <w:t xml:space="preserve">Table S1. </w:t>
      </w:r>
      <w:r w:rsidRPr="007F20DC">
        <w:rPr>
          <w:rFonts w:ascii="Times New Roman" w:hAnsi="Times New Roman" w:cs="Times New Roman"/>
          <w:iCs/>
          <w:sz w:val="24"/>
          <w:lang w:val="en-US"/>
        </w:rPr>
        <w:t>Diagnostic accuracy using the</w:t>
      </w:r>
      <w:r w:rsidRPr="007F20DC">
        <w:rPr>
          <w:rFonts w:ascii="Times New Roman" w:hAnsi="Times New Roman" w:cs="Times New Roman"/>
          <w:b/>
          <w:iCs/>
          <w:sz w:val="24"/>
          <w:lang w:val="en-US"/>
        </w:rPr>
        <w:t xml:space="preserve"> </w:t>
      </w:r>
      <w:r w:rsidRPr="007F20DC">
        <w:rPr>
          <w:rFonts w:ascii="Times New Roman" w:hAnsi="Times New Roman" w:cs="Times New Roman"/>
          <w:iCs/>
          <w:sz w:val="24"/>
          <w:lang w:val="en-US"/>
        </w:rPr>
        <w:t>Bayesian latent class analysis: Alternative model II</w:t>
      </w:r>
    </w:p>
    <w:tbl>
      <w:tblPr>
        <w:tblStyle w:val="Grilledutableau"/>
        <w:tblpPr w:leftFromText="141" w:rightFromText="141" w:horzAnchor="page" w:tblpXSpec="center" w:tblpY="525"/>
        <w:tblW w:w="15276" w:type="dxa"/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567"/>
        <w:gridCol w:w="993"/>
        <w:gridCol w:w="567"/>
        <w:gridCol w:w="1134"/>
        <w:gridCol w:w="160"/>
        <w:gridCol w:w="407"/>
        <w:gridCol w:w="1134"/>
        <w:gridCol w:w="567"/>
        <w:gridCol w:w="1701"/>
        <w:gridCol w:w="567"/>
        <w:gridCol w:w="1701"/>
      </w:tblGrid>
      <w:tr w:rsidR="00392A41" w:rsidRPr="008829FC" w:rsidTr="00A22657">
        <w:trPr>
          <w:trHeight w:val="167"/>
        </w:trPr>
        <w:tc>
          <w:tcPr>
            <w:tcW w:w="3652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Alternative model II</w:t>
            </w:r>
          </w:p>
        </w:tc>
        <w:tc>
          <w:tcPr>
            <w:tcW w:w="2126" w:type="dxa"/>
            <w:vMerge w:val="restart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Subgroups</w:t>
            </w:r>
          </w:p>
        </w:tc>
        <w:tc>
          <w:tcPr>
            <w:tcW w:w="9498" w:type="dxa"/>
            <w:gridSpan w:val="11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Median (95% Credible Interval) </w:t>
            </w: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(%)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Parasitological techniques </w:t>
            </w:r>
          </w:p>
        </w:tc>
        <w:tc>
          <w:tcPr>
            <w:tcW w:w="2126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560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Prevalence</w:t>
            </w:r>
          </w:p>
        </w:tc>
        <w:tc>
          <w:tcPr>
            <w:tcW w:w="1861" w:type="dxa"/>
            <w:gridSpan w:val="3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Sensitivity </w:t>
            </w:r>
          </w:p>
        </w:tc>
        <w:tc>
          <w:tcPr>
            <w:tcW w:w="1541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Specifi</w:t>
            </w:r>
            <w:proofErr w:type="spellEnd"/>
            <w:r w:rsidRPr="008829FC">
              <w:rPr>
                <w:rFonts w:ascii="Times New Roman" w:hAnsi="Times New Roman" w:cs="Times New Roman"/>
                <w:b/>
                <w:sz w:val="18"/>
                <w:szCs w:val="18"/>
              </w:rPr>
              <w:t>city</w:t>
            </w:r>
          </w:p>
        </w:tc>
        <w:tc>
          <w:tcPr>
            <w:tcW w:w="2268" w:type="dxa"/>
            <w:gridSpan w:val="2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Positive </w:t>
            </w:r>
            <w:proofErr w:type="spellStart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>Predictive</w:t>
            </w:r>
            <w:proofErr w:type="spellEnd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2268" w:type="dxa"/>
            <w:gridSpan w:val="2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>Negative</w:t>
            </w:r>
            <w:proofErr w:type="spellEnd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>Predictive</w:t>
            </w:r>
            <w:proofErr w:type="spellEnd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Value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 w:val="restart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Blood direct examination of 10 microliters/</w:t>
            </w:r>
          </w:p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Thick blood smear of 50 microliters</w:t>
            </w: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Global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11.2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6.7-16.4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84.2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64.0-100.0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99.6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98.2-100.0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50.3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4.4-99.3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50.4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3.9-98.9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Age groups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15-64 years old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5.5-16.4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79.8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55.6-99.9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99.5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97.8-100.0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50.9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5.2-99.9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1.5-96.2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Others age groups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16.4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5.6-29.8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87.2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55.4-100.0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97.5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89.5-100.0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49.6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3.2-98.2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4.6-99.3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Gender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Male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16.5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7.1-28.1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81.4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51.4-100.0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98.3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92.9-100.0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0.3-95.3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0.6-95.4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9.7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4.9-15.6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81.7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56.5-100.0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99.4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97.6-100.0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49.9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1.3-96.2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Symptomatology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8829FC" w:rsidTr="00A22657">
        <w:trPr>
          <w:trHeight w:val="270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Symptoms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9.9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4.3-16.6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83.5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55.5-100.0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99.2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96.6-100.0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2.7-97.6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4.0-98.7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Loiasis-related symptoms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4.7-20.6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74.6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43.7-100.0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99.0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95.7-100.0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2.4-97.4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5.1-100.0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 symptoms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12.3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6.0-19.5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89.7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67.4-100.0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99.1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96.2-100.0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49.6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5.0-100.0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49.8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0.4-95.2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Eosinophilia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Normal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0.2-10.8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58.0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16.7-100.0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99.2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96.5-100.0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3.5-98.5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0.4-95.4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Hypereosinophilia</w:t>
            </w:r>
            <w:proofErr w:type="spellEnd"/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17.7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10.1-26.7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84.9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63.1-100.0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99.1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96.0-100.0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49.3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0.6-95.6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0.0-95.1</w:t>
            </w:r>
          </w:p>
        </w:tc>
      </w:tr>
      <w:tr w:rsidR="00392A41" w:rsidRPr="008829FC" w:rsidTr="00A22657">
        <w:trPr>
          <w:trHeight w:val="182"/>
        </w:trPr>
        <w:tc>
          <w:tcPr>
            <w:tcW w:w="3652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8829FC" w:rsidTr="00A22657">
        <w:trPr>
          <w:trHeight w:val="132"/>
        </w:trPr>
        <w:tc>
          <w:tcPr>
            <w:tcW w:w="3652" w:type="dxa"/>
            <w:vMerge w:val="restart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Leukoconcentration</w:t>
            </w:r>
            <w:proofErr w:type="spellEnd"/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of 5 milliliters*</w:t>
            </w: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Global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11.2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6.7-16.4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96.2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84.8-100.0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97.8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94.5-100.0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50.1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1.0-95.7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50.2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1.0-95.9</w:t>
            </w:r>
          </w:p>
        </w:tc>
      </w:tr>
      <w:tr w:rsidR="00392A41" w:rsidRPr="008829FC" w:rsidTr="00A22657">
        <w:trPr>
          <w:trHeight w:val="13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Age groups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92A41" w:rsidRPr="008829FC" w:rsidTr="00A22657">
        <w:trPr>
          <w:trHeight w:val="13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15-64 years old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5.5-16.4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94.8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79.5-100.0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97.3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93.4-100.0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49.8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1.2-95.9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49.7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5.0-99.7</w:t>
            </w:r>
          </w:p>
        </w:tc>
      </w:tr>
      <w:tr w:rsidR="00392A41" w:rsidRPr="008829FC" w:rsidTr="00A22657">
        <w:trPr>
          <w:trHeight w:val="132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Others age groups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16.4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5.6-29.8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87.1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54.5-100.0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97.5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89.5-100.0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4.2-98.9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49.9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0.0-94.9</w:t>
            </w:r>
          </w:p>
        </w:tc>
      </w:tr>
      <w:tr w:rsidR="00392A41" w:rsidRPr="008829FC" w:rsidTr="00A22657">
        <w:trPr>
          <w:trHeight w:val="166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Gender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Male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16.5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7.1-28.1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90.7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65.3-100.0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96.1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88.2-100.0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0.1-94.9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49.6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0.4-95.2</w:t>
            </w: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9.7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4.9-15.6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93.9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76.3-100.0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97.8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94.2-100.0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1.9-96.8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49.4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0.6-95.1</w:t>
            </w: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Symptomatology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Symptoms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9.9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4.3-16.6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91.9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69.0-100.0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98.1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94.2-100.0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50.5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0.0-94.8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49.7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3.3-98.0</w:t>
            </w: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Loiasis-related symptoms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4.7-20.6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90.8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65.4-100.0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96.0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89.7-100.0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0.9-95.6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49.4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4.0-98.6</w:t>
            </w: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 symptoms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12.3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6.0-19.5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93.3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74.6-100.0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98.5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94.8-100.0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3.9-98.9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3.0-97.8</w:t>
            </w: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Eosinophilia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Normal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4.1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0.2-10.8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73.8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27.1-100.0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97.9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93.9-100.0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4.9-99.8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49.5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2.3-97.2</w:t>
            </w:r>
          </w:p>
        </w:tc>
      </w:tr>
      <w:tr w:rsidR="00392A41" w:rsidRPr="008829FC" w:rsidTr="00A22657">
        <w:trPr>
          <w:trHeight w:val="177"/>
        </w:trPr>
        <w:tc>
          <w:tcPr>
            <w:tcW w:w="3652" w:type="dxa"/>
            <w:vMerge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392A41" w:rsidRPr="008829FC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8829FC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Hypereosinophilia</w:t>
            </w:r>
            <w:proofErr w:type="spellEnd"/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17.7</w:t>
            </w:r>
          </w:p>
        </w:tc>
        <w:tc>
          <w:tcPr>
            <w:tcW w:w="993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10.1-26.7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95.2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80.7-100.0</w:t>
            </w:r>
          </w:p>
        </w:tc>
        <w:tc>
          <w:tcPr>
            <w:tcW w:w="567" w:type="dxa"/>
            <w:gridSpan w:val="2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96.4</w:t>
            </w:r>
          </w:p>
        </w:tc>
        <w:tc>
          <w:tcPr>
            <w:tcW w:w="1134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90.6-100.0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1.4-96.4</w:t>
            </w:r>
          </w:p>
        </w:tc>
        <w:tc>
          <w:tcPr>
            <w:tcW w:w="567" w:type="dxa"/>
          </w:tcPr>
          <w:p w:rsidR="00392A41" w:rsidRPr="008829FC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49.9</w:t>
            </w:r>
          </w:p>
        </w:tc>
        <w:tc>
          <w:tcPr>
            <w:tcW w:w="1701" w:type="dxa"/>
          </w:tcPr>
          <w:p w:rsidR="00392A41" w:rsidRPr="008829FC" w:rsidRDefault="00392A41" w:rsidP="00A22657">
            <w:pPr>
              <w:keepNext/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82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0.8-95.4</w:t>
            </w:r>
          </w:p>
        </w:tc>
      </w:tr>
    </w:tbl>
    <w:p w:rsidR="00392A41" w:rsidRPr="007F20DC" w:rsidRDefault="00392A41" w:rsidP="00392A41">
      <w:pPr>
        <w:tabs>
          <w:tab w:val="left" w:pos="2715"/>
        </w:tabs>
        <w:ind w:firstLine="0"/>
        <w:rPr>
          <w:rFonts w:ascii="Times New Roman" w:eastAsia="Calibri" w:hAnsi="Times New Roman" w:cs="Times New Roman"/>
          <w:b/>
          <w:lang w:val="en-US"/>
        </w:rPr>
      </w:pPr>
      <w:r w:rsidRPr="007F20DC">
        <w:rPr>
          <w:rFonts w:ascii="Times New Roman" w:eastAsia="Calibri" w:hAnsi="Times New Roman" w:cs="Times New Roman"/>
          <w:b/>
          <w:lang w:val="en-US"/>
        </w:rPr>
        <w:t>*</w:t>
      </w:r>
      <w:r w:rsidRPr="007F20DC">
        <w:rPr>
          <w:rFonts w:ascii="Times New Roman" w:eastAsia="Calibri" w:hAnsi="Times New Roman" w:cs="Times New Roman"/>
          <w:lang w:val="en-US"/>
        </w:rPr>
        <w:t xml:space="preserve">Imperfect reference test.  </w:t>
      </w:r>
    </w:p>
    <w:p w:rsidR="00392A41" w:rsidRPr="007F20DC" w:rsidRDefault="00392A41" w:rsidP="00392A41">
      <w:pPr>
        <w:rPr>
          <w:lang w:val="en-US"/>
        </w:rPr>
      </w:pPr>
    </w:p>
    <w:p w:rsidR="00392A41" w:rsidRPr="007F20DC" w:rsidRDefault="00392A41" w:rsidP="00392A41">
      <w:pPr>
        <w:ind w:firstLine="0"/>
        <w:rPr>
          <w:rFonts w:ascii="Times New Roman" w:hAnsi="Times New Roman" w:cs="Times New Roman"/>
          <w:iCs/>
          <w:sz w:val="24"/>
          <w:lang w:val="en-US"/>
        </w:rPr>
      </w:pPr>
      <w:r w:rsidRPr="007F20DC">
        <w:rPr>
          <w:rFonts w:ascii="Times New Roman" w:hAnsi="Times New Roman" w:cs="Times New Roman"/>
          <w:b/>
          <w:iCs/>
          <w:sz w:val="24"/>
          <w:lang w:val="en-US"/>
        </w:rPr>
        <w:t xml:space="preserve">Table S2. </w:t>
      </w:r>
      <w:r w:rsidRPr="007F20DC">
        <w:rPr>
          <w:rFonts w:ascii="Times New Roman" w:hAnsi="Times New Roman" w:cs="Times New Roman"/>
          <w:iCs/>
          <w:sz w:val="24"/>
          <w:lang w:val="en-US"/>
        </w:rPr>
        <w:t>Diagnostic accuracy using the Bayesian latent class analysis: Alternative model III</w:t>
      </w:r>
    </w:p>
    <w:tbl>
      <w:tblPr>
        <w:tblW w:w="15040" w:type="dxa"/>
        <w:jc w:val="center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90"/>
        <w:gridCol w:w="2175"/>
        <w:gridCol w:w="560"/>
        <w:gridCol w:w="851"/>
        <w:gridCol w:w="567"/>
        <w:gridCol w:w="1110"/>
        <w:gridCol w:w="591"/>
        <w:gridCol w:w="1110"/>
        <w:gridCol w:w="591"/>
        <w:gridCol w:w="1627"/>
        <w:gridCol w:w="641"/>
        <w:gridCol w:w="1627"/>
      </w:tblGrid>
      <w:tr w:rsidR="00392A41" w:rsidRPr="00D50FF4" w:rsidTr="00A22657">
        <w:trPr>
          <w:trHeight w:val="168"/>
          <w:jc w:val="center"/>
        </w:trPr>
        <w:tc>
          <w:tcPr>
            <w:tcW w:w="359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Alternative model III</w:t>
            </w:r>
          </w:p>
        </w:tc>
        <w:tc>
          <w:tcPr>
            <w:tcW w:w="2175" w:type="dxa"/>
            <w:vMerge w:val="restart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Subgroups</w:t>
            </w:r>
          </w:p>
        </w:tc>
        <w:tc>
          <w:tcPr>
            <w:tcW w:w="9275" w:type="dxa"/>
            <w:gridSpan w:val="10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Median (95% Credible Interval) </w:t>
            </w: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(%)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Parasitological techniques </w:t>
            </w:r>
          </w:p>
        </w:tc>
        <w:tc>
          <w:tcPr>
            <w:tcW w:w="2175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411" w:type="dxa"/>
            <w:gridSpan w:val="2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Prevalence</w:t>
            </w:r>
          </w:p>
        </w:tc>
        <w:tc>
          <w:tcPr>
            <w:tcW w:w="1677" w:type="dxa"/>
            <w:gridSpan w:val="2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Sensitivity 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Specif</w:t>
            </w:r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>icity</w:t>
            </w:r>
            <w:proofErr w:type="spellEnd"/>
          </w:p>
        </w:tc>
        <w:tc>
          <w:tcPr>
            <w:tcW w:w="2218" w:type="dxa"/>
            <w:gridSpan w:val="2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Positive </w:t>
            </w:r>
            <w:proofErr w:type="spellStart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>Predictive</w:t>
            </w:r>
            <w:proofErr w:type="spellEnd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2268" w:type="dxa"/>
            <w:gridSpan w:val="2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>Negative</w:t>
            </w:r>
            <w:proofErr w:type="spellEnd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>Predictive</w:t>
            </w:r>
            <w:proofErr w:type="spellEnd"/>
            <w:r w:rsidRPr="00D50F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Value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 w:val="restart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Blood direct examination of 10 microliters/</w:t>
            </w:r>
          </w:p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Thick blood smear of 50 microliters</w:t>
            </w: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Global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10.2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6.3-14.4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86.3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65.5-100.0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99.6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98.2-100.0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50.0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3.7-98.5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50.0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2.9-97.5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Age groups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15-64 years old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9.4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5.3-10.6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82.3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57.5-100.0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99.5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97.8-100.0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1.0-95.8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49.6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3.9-98.7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Others age groups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5.0-18.0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87.7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58.2-100.0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97.4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89.1-100.0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49.4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4.7-99.7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49.8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1.4-96.5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Gender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Male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5.9-18.5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85.1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56.3-100.0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98.2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92.7-100.0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2.5-97.1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0.9-95.8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8.9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4.8-13.4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83.2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58.3-100.0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99.4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97.5-100.0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2.8-97.6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49.6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0.3-95.1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Symptomatology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D50FF4" w:rsidTr="00A22657">
        <w:trPr>
          <w:trHeight w:val="27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Symptoms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8.8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4.5-13.9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84.5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57.4-100.0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99.2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96.6-100.0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0.9-95.8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50.5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5.1-99.7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Loiasis-related symptoms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9.6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4.6-15.5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78.8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47.0-100.0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99.0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95.6-100.0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0.1-94.7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49.5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0.1-94.8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 symptoms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10.4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5.8-15.8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90.2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68.3-100.0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99.1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96.2-100.0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49.7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2.3-96.9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5.1-99.9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Eosinophilia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Normal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5.5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1.9-10.5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53.9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17.2-100.0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99.2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96.6-100.0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49.4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2.3-97.1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50.4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5.2-99.9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Hypereosinophilia</w:t>
            </w:r>
            <w:proofErr w:type="spellEnd"/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13.5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8.0-19.7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88.6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66.7-100.0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99.0</w:t>
            </w:r>
          </w:p>
        </w:tc>
        <w:tc>
          <w:tcPr>
            <w:tcW w:w="1110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95.9-100.0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4.7-99.5</w:t>
            </w:r>
          </w:p>
        </w:tc>
        <w:tc>
          <w:tcPr>
            <w:tcW w:w="64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5.1-99.9</w:t>
            </w:r>
          </w:p>
        </w:tc>
      </w:tr>
      <w:tr w:rsidR="00392A41" w:rsidRPr="00D50FF4" w:rsidTr="00A22657">
        <w:trPr>
          <w:trHeight w:val="184"/>
          <w:jc w:val="center"/>
        </w:trPr>
        <w:tc>
          <w:tcPr>
            <w:tcW w:w="359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A41" w:rsidRPr="00D50FF4" w:rsidTr="00A22657">
        <w:trPr>
          <w:trHeight w:val="133"/>
          <w:jc w:val="center"/>
        </w:trPr>
        <w:tc>
          <w:tcPr>
            <w:tcW w:w="3590" w:type="dxa"/>
            <w:vMerge w:val="restart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Leukoconcentration</w:t>
            </w:r>
            <w:proofErr w:type="spellEnd"/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of 5 milliliters*</w:t>
            </w: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Global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10.2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6.3-14.4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96.3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85.2-100.0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97.5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94.3-100.0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49.4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3.9-98.6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49.2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2.0-96.8</w:t>
            </w:r>
          </w:p>
        </w:tc>
      </w:tr>
      <w:tr w:rsidR="00392A41" w:rsidRPr="00D50FF4" w:rsidTr="00A22657">
        <w:trPr>
          <w:trHeight w:val="133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Age groups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92A41" w:rsidRPr="00D50FF4" w:rsidTr="00A22657">
        <w:trPr>
          <w:trHeight w:val="133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15-64 years old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9.4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5.3-10.6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95.0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80.0-100.0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96.9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93.1-100.0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50.4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3.4-98.3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50.5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2.1-96.8</w:t>
            </w:r>
          </w:p>
        </w:tc>
      </w:tr>
      <w:tr w:rsidR="00392A41" w:rsidRPr="00D50FF4" w:rsidTr="00A22657">
        <w:trPr>
          <w:trHeight w:val="133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Others age groups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10.9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5.0-18.0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87.6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57.5-100.0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97.4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89.1-100.0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49.9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0.0-94.8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1.1-95.7</w:t>
            </w:r>
          </w:p>
        </w:tc>
      </w:tr>
      <w:tr w:rsidR="00392A41" w:rsidRPr="00D50FF4" w:rsidTr="00A22657">
        <w:trPr>
          <w:trHeight w:val="167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Gender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Male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5.9-18.5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91.3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67.6-100.0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95.3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87.4-100.0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5.2-100.0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49.6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5.0-100.0</w:t>
            </w: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8.9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4.8-13.4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94.1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77.0-100.0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97.6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94.1-100.0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50.8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4.9-99.8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49.7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2.7-97.2</w:t>
            </w: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Symptomatology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Symptoms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8.8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4.5-13.9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92.0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70.4-100.0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98.0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93.9-100.0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627" w:type="dxa"/>
            <w:shd w:val="clear" w:color="auto" w:fill="FFFFFF" w:themeFill="background1"/>
            <w:vAlign w:val="center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1.0-95.7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49.7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0.0-94.6</w:t>
            </w: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Loiasis-related symptoms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9.6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4.6-15.5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91.3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67.1-100.0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95.4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89.4-100.0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49.7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4.9-99.8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3.1-98.0</w:t>
            </w: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 symptoms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10.4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5.8-15.8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93.5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74.4-100.0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98.4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94.7-100.0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50.0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1.5-96.4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49.7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0.0-94.7</w:t>
            </w: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b/>
                <w:sz w:val="18"/>
                <w:szCs w:val="18"/>
                <w:lang w:val="en-GB"/>
              </w:rPr>
              <w:t>Eosinophilia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Normal</w:t>
            </w:r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5.5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1.9-10.5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73.2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28.2-100.0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98.1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94.3-100.0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0.6-95.5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50.3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0.7-95.6</w:t>
            </w:r>
          </w:p>
        </w:tc>
      </w:tr>
      <w:tr w:rsidR="00392A41" w:rsidRPr="00D50FF4" w:rsidTr="00A22657">
        <w:trPr>
          <w:trHeight w:val="178"/>
          <w:jc w:val="center"/>
        </w:trPr>
        <w:tc>
          <w:tcPr>
            <w:tcW w:w="3590" w:type="dxa"/>
            <w:vMerge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2175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D50FF4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Hypereosinophilia</w:t>
            </w:r>
            <w:proofErr w:type="spellEnd"/>
          </w:p>
        </w:tc>
        <w:tc>
          <w:tcPr>
            <w:tcW w:w="56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13.5</w:t>
            </w:r>
          </w:p>
        </w:tc>
        <w:tc>
          <w:tcPr>
            <w:tcW w:w="85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8.0-19.7</w:t>
            </w:r>
          </w:p>
        </w:tc>
        <w:tc>
          <w:tcPr>
            <w:tcW w:w="56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95.3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81.5-100.0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95.6</w:t>
            </w:r>
          </w:p>
        </w:tc>
        <w:tc>
          <w:tcPr>
            <w:tcW w:w="1110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89.9-100.0</w:t>
            </w:r>
          </w:p>
        </w:tc>
        <w:tc>
          <w:tcPr>
            <w:tcW w:w="59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50.1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0.0-94.8</w:t>
            </w:r>
          </w:p>
        </w:tc>
        <w:tc>
          <w:tcPr>
            <w:tcW w:w="641" w:type="dxa"/>
            <w:shd w:val="clear" w:color="auto" w:fill="FFFFFF" w:themeFill="background1"/>
          </w:tcPr>
          <w:p w:rsidR="00392A41" w:rsidRPr="00D50FF4" w:rsidRDefault="00392A41" w:rsidP="00A22657">
            <w:pPr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49.9</w:t>
            </w:r>
          </w:p>
        </w:tc>
        <w:tc>
          <w:tcPr>
            <w:tcW w:w="1627" w:type="dxa"/>
            <w:shd w:val="clear" w:color="auto" w:fill="FFFFFF" w:themeFill="background1"/>
          </w:tcPr>
          <w:p w:rsidR="00392A41" w:rsidRPr="00D50FF4" w:rsidRDefault="00392A41" w:rsidP="00A22657">
            <w:pPr>
              <w:keepNext/>
              <w:ind w:firstLine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50F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0.3-95.0</w:t>
            </w:r>
          </w:p>
        </w:tc>
      </w:tr>
    </w:tbl>
    <w:p w:rsidR="00392A41" w:rsidRPr="007F20DC" w:rsidRDefault="00392A41" w:rsidP="00392A41">
      <w:pPr>
        <w:tabs>
          <w:tab w:val="left" w:pos="2715"/>
        </w:tabs>
        <w:ind w:firstLine="0"/>
        <w:rPr>
          <w:rFonts w:ascii="Times New Roman" w:eastAsia="Calibri" w:hAnsi="Times New Roman" w:cs="Times New Roman"/>
          <w:sz w:val="24"/>
          <w:lang w:val="en-US"/>
        </w:rPr>
      </w:pPr>
      <w:r w:rsidRPr="007F20DC">
        <w:rPr>
          <w:rFonts w:ascii="Times New Roman" w:eastAsia="Calibri" w:hAnsi="Times New Roman" w:cs="Times New Roman"/>
          <w:sz w:val="24"/>
          <w:lang w:val="en-US"/>
        </w:rPr>
        <w:t>*Imperfect reference test</w:t>
      </w:r>
    </w:p>
    <w:p w:rsidR="00392A41" w:rsidRPr="00CF185D" w:rsidRDefault="00392A41" w:rsidP="00392A41">
      <w:pPr>
        <w:ind w:firstLine="0"/>
        <w:rPr>
          <w:rFonts w:ascii="Times New Roman" w:eastAsia="Calibri" w:hAnsi="Times New Roman" w:cs="Times New Roman"/>
          <w:b/>
          <w:sz w:val="24"/>
          <w:lang w:val="en-US"/>
        </w:rPr>
      </w:pPr>
    </w:p>
    <w:p w:rsidR="00985D40" w:rsidRDefault="00985D40" w:rsidP="00392A41">
      <w:pPr>
        <w:ind w:firstLine="0"/>
      </w:pPr>
    </w:p>
    <w:sectPr w:rsidR="00985D40" w:rsidSect="00392A4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FEC"/>
    <w:rsid w:val="00217339"/>
    <w:rsid w:val="00392A41"/>
    <w:rsid w:val="00864FEC"/>
    <w:rsid w:val="00934BE0"/>
    <w:rsid w:val="00985D40"/>
    <w:rsid w:val="009D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A41"/>
    <w:pPr>
      <w:spacing w:after="0" w:line="360" w:lineRule="auto"/>
      <w:ind w:firstLine="720"/>
      <w:jc w:val="both"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92A41"/>
    <w:pPr>
      <w:spacing w:after="0" w:line="240" w:lineRule="auto"/>
      <w:ind w:firstLine="720"/>
      <w:jc w:val="both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92A4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2A41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A41"/>
    <w:pPr>
      <w:spacing w:after="0" w:line="360" w:lineRule="auto"/>
      <w:ind w:firstLine="720"/>
      <w:jc w:val="both"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92A41"/>
    <w:pPr>
      <w:spacing w:after="0" w:line="240" w:lineRule="auto"/>
      <w:ind w:firstLine="720"/>
      <w:jc w:val="both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92A4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2A41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789</Words>
  <Characters>4499</Characters>
  <Application>Microsoft Office Word</Application>
  <DocSecurity>0</DocSecurity>
  <Lines>37</Lines>
  <Paragraphs>10</Paragraphs>
  <ScaleCrop>false</ScaleCrop>
  <Company>HP</Company>
  <LinksUpToDate>false</LinksUpToDate>
  <CharactersWithSpaces>5278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Noé Patrick</dc:creator>
  <cp:keywords/>
  <dc:description/>
  <cp:lastModifiedBy>Noé Patrick</cp:lastModifiedBy>
  <cp:revision>3</cp:revision>
  <dcterms:created xsi:type="dcterms:W3CDTF">2023-07-19T04:27:00Z</dcterms:created>
  <dcterms:modified xsi:type="dcterms:W3CDTF">2023-07-19T04:30:00Z</dcterms:modified>
</cp:coreProperties>
</file>