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2416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567"/>
        <w:gridCol w:w="283"/>
        <w:gridCol w:w="316"/>
        <w:gridCol w:w="425"/>
        <w:gridCol w:w="425"/>
        <w:gridCol w:w="393"/>
        <w:gridCol w:w="993"/>
        <w:gridCol w:w="1275"/>
      </w:tblGrid>
      <w:tr w:rsidR="00A322A9" w:rsidRPr="00713F13" w14:paraId="086DCDA4" w14:textId="77777777" w:rsidTr="00A322A9">
        <w:trPr>
          <w:trHeight w:val="1350"/>
        </w:trPr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7A96EF17" w14:textId="77777777" w:rsidR="00A322A9" w:rsidRPr="00713F13" w:rsidRDefault="00A322A9" w:rsidP="00A322A9">
            <w:r w:rsidRPr="00713F13">
              <w:rPr>
                <w:b/>
                <w:bCs/>
              </w:rPr>
              <w:t>Table</w:t>
            </w:r>
            <w:r w:rsidRPr="00713F13">
              <w:t xml:space="preserve"> </w:t>
            </w:r>
            <w:r w:rsidRPr="00713F13">
              <w:rPr>
                <w:b/>
                <w:bCs/>
              </w:rPr>
              <w:t xml:space="preserve">1. </w:t>
            </w:r>
            <w:r w:rsidRPr="00713F13">
              <w:t xml:space="preserve">The basic input parameters for the simulation of </w:t>
            </w:r>
            <w:r w:rsidRPr="00713F13">
              <w:rPr>
                <w:rFonts w:asciiTheme="majorBidi" w:hAnsiTheme="majorBidi" w:cstheme="majorBidi"/>
              </w:rPr>
              <w:t>CsSnI</w:t>
            </w:r>
            <w:r w:rsidRPr="00713F13">
              <w:rPr>
                <w:rFonts w:asciiTheme="majorBidi" w:hAnsiTheme="majorBidi" w:cstheme="majorBidi"/>
                <w:vertAlign w:val="subscript"/>
              </w:rPr>
              <w:t>3</w:t>
            </w:r>
            <w:r w:rsidRPr="00713F13">
              <w:rPr>
                <w:rFonts w:asciiTheme="majorBidi" w:hAnsiTheme="majorBidi" w:cstheme="majorBidi"/>
              </w:rPr>
              <w:t>-based devices with Spiro-OMeTAD, and N-TiO</w:t>
            </w:r>
            <w:r w:rsidRPr="00713F13">
              <w:rPr>
                <w:rFonts w:asciiTheme="majorBidi" w:hAnsiTheme="majorBidi" w:cstheme="majorBidi"/>
                <w:vertAlign w:val="subscript"/>
              </w:rPr>
              <w:t>2</w:t>
            </w:r>
            <w:r w:rsidRPr="00713F13">
              <w:rPr>
                <w:rFonts w:asciiTheme="majorBidi" w:hAnsiTheme="majorBidi" w:cstheme="majorBidi"/>
              </w:rPr>
              <w:t xml:space="preserve"> HTLs </w:t>
            </w:r>
            <w:r w:rsidRPr="00713F13">
              <w:t>proposed devices in SCAPS-1D software.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B5F3D3F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Thickness (µm)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5FBD3EFA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A25D349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82788E4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FBB3F90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D823BA7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58371BF5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553858E0" w14:textId="77777777" w:rsidR="00A322A9" w:rsidRPr="00713F13" w:rsidRDefault="00A322A9" w:rsidP="00A322A9">
            <w:pPr>
              <w:pStyle w:val="Text"/>
              <w:spacing w:before="60" w:after="240"/>
              <w:ind w:firstLine="0"/>
            </w:pPr>
            <w:r w:rsidRPr="00713F13">
              <w:t>Here, N</w:t>
            </w:r>
            <w:r w:rsidRPr="00713F13">
              <w:rPr>
                <w:vertAlign w:val="subscript"/>
              </w:rPr>
              <w:t>A</w:t>
            </w:r>
            <w:r w:rsidRPr="00713F13">
              <w:t xml:space="preserve"> (N</w:t>
            </w:r>
            <w:r w:rsidRPr="00713F13">
              <w:rPr>
                <w:vertAlign w:val="subscript"/>
              </w:rPr>
              <w:t>D</w:t>
            </w:r>
            <w:r w:rsidRPr="00713F13">
              <w:t>), and N</w:t>
            </w:r>
            <w:r w:rsidRPr="00713F13">
              <w:rPr>
                <w:vertAlign w:val="subscript"/>
              </w:rPr>
              <w:t>t</w:t>
            </w:r>
            <w:r w:rsidRPr="00713F13">
              <w:t xml:space="preserve"> denote to densities of acceptor (donor), and defect density, ε</w:t>
            </w:r>
            <w:r w:rsidRPr="00713F13">
              <w:rPr>
                <w:vertAlign w:val="subscript"/>
              </w:rPr>
              <w:t>r</w:t>
            </w:r>
            <w:r w:rsidRPr="00713F13">
              <w:t xml:space="preserve"> is relative permittivity, χ is electron affinity, E</w:t>
            </w:r>
            <w:r w:rsidRPr="00713F13">
              <w:rPr>
                <w:vertAlign w:val="subscript"/>
              </w:rPr>
              <w:t>g</w:t>
            </w:r>
            <w:r w:rsidRPr="00713F13">
              <w:t xml:space="preserve"> is energy bandgap, µ</w:t>
            </w:r>
            <w:r w:rsidRPr="00713F13">
              <w:rPr>
                <w:vertAlign w:val="subscript"/>
              </w:rPr>
              <w:t>p</w:t>
            </w:r>
            <w:r w:rsidRPr="00713F13">
              <w:t xml:space="preserve"> and µ</w:t>
            </w:r>
            <w:r w:rsidRPr="00713F13">
              <w:rPr>
                <w:vertAlign w:val="subscript"/>
              </w:rPr>
              <w:t>n</w:t>
            </w:r>
            <w:r w:rsidRPr="00713F13">
              <w:t xml:space="preserve"> are mobility of holes and electrons. Defect energy level considered at the above E</w:t>
            </w:r>
            <w:r w:rsidRPr="00713F13">
              <w:rPr>
                <w:vertAlign w:val="subscript"/>
              </w:rPr>
              <w:t>v</w:t>
            </w:r>
            <w:r w:rsidRPr="00713F13">
              <w:t>, and defect type is neutral. Energy distribution is single. Capture cross section of electron (hole) considered 1× 10</w:t>
            </w:r>
            <w:r w:rsidRPr="00713F13">
              <w:rPr>
                <w:vertAlign w:val="superscript"/>
              </w:rPr>
              <w:t>-15</w:t>
            </w:r>
            <w:r w:rsidRPr="00713F13">
              <w:t xml:space="preserve"> cm</w:t>
            </w:r>
            <w:r w:rsidRPr="00713F13">
              <w:rPr>
                <w:vertAlign w:val="superscript"/>
              </w:rPr>
              <w:t>2</w:t>
            </w:r>
            <w:r w:rsidRPr="00713F13">
              <w:t>.</w:t>
            </w:r>
          </w:p>
          <w:p w14:paraId="6DB65F2A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5C3D712F" w14:textId="77777777" w:rsidTr="00A322A9">
        <w:trPr>
          <w:trHeight w:val="775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7776B7F5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07C38BA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χ (eV)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589901D3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0E7D5B8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  <w:lang w:bidi="fa-IR"/>
              </w:rPr>
              <w:t>3.9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8FEB40E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E4E707A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23DD32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78D99EE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4FB134A5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14473527" w14:textId="77777777" w:rsidTr="00A322A9">
        <w:trPr>
          <w:trHeight w:val="902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3C2C10B6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189DA88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N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C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(cm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-3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209140AA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22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F6A8881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</w:t>
            </w:r>
            <w:r w:rsidRPr="00713F13">
              <w:rPr>
                <w:rFonts w:eastAsia="Calibri"/>
                <w:color w:val="000000"/>
                <w:sz w:val="18"/>
                <w:szCs w:val="18"/>
                <w:rtl/>
              </w:rPr>
              <w:t>.</w:t>
            </w:r>
            <w:r w:rsidRPr="00713F13"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 xml:space="preserve">+18 </w:t>
            </w:r>
            <w:r w:rsidRPr="00713F13">
              <w:rPr>
                <w:rFonts w:eastAsia="Calibri"/>
                <w:color w:val="000000"/>
                <w:sz w:val="18"/>
                <w:szCs w:val="18"/>
              </w:rPr>
              <w:fldChar w:fldCharType="begin"/>
            </w:r>
            <w:r w:rsidRPr="00713F13">
              <w:rPr>
                <w:rFonts w:eastAsia="Calibri"/>
                <w:color w:val="000000"/>
                <w:sz w:val="18"/>
                <w:szCs w:val="18"/>
              </w:rPr>
              <w:instrText xml:space="preserve"> ADDIN EN.CITE &lt;EndNote&gt;&lt;Cite&gt;&lt;Author&gt;Zhao&lt;/Author&gt;&lt;Year&gt;2016&lt;/Year&gt;&lt;RecNum&gt;32&lt;/RecNum&gt;&lt;DisplayText&gt;[43]&lt;/DisplayText&gt;&lt;record&gt;&lt;rec-number&gt;32&lt;/rec-number&gt;&lt;foreign-keys&gt;&lt;key app="EN" db-id="s5vswatdsz500aerfaq5900d9drzfzw5f9ze" timestamp="0"&gt;32&lt;/key&gt;&lt;/foreign-keys&gt;&lt;ref-type name="Journal Article"&gt;17&lt;/ref-type&gt;&lt;contributors&gt;&lt;authors&gt;&lt;author&gt;Zhao, Tianqi&lt;/author&gt;&lt;author&gt;Shi, Wen&lt;/author&gt;&lt;author&gt;Xi, Jinyang&lt;/author&gt;&lt;author&gt;Wang, Dong&lt;/author&gt;&lt;author&gt;Shuai, Zhigang&lt;/author&gt;&lt;/authors&gt;&lt;/contributors&gt;&lt;titles&gt;&lt;title&gt;Intrinsic and extrinsic charge transport in CH3NH3PbI3 perovskites predicted from first-principles&lt;/title&gt;&lt;secondary-title&gt;Scientific reports&lt;/secondary-title&gt;&lt;/titles&gt;&lt;pages&gt;1-9&lt;/pages&gt;&lt;volume&gt;6&lt;/volume&gt;&lt;number&gt;1&lt;/number&gt;&lt;dates&gt;&lt;year&gt;2016&lt;/year&gt;&lt;/dates&gt;&lt;isbn&gt;2045-2322&lt;/isbn&gt;&lt;urls&gt;&lt;/urls&gt;&lt;/record&gt;&lt;/Cite&gt;&lt;/EndNote&gt;</w:instrText>
            </w:r>
            <w:r w:rsidRPr="00713F13">
              <w:rPr>
                <w:rFonts w:eastAsia="Calibr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503C4E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CA5695E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+18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0C835BC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1.3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3BC22711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+18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226192BE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60FAC319" w14:textId="77777777" w:rsidTr="00A322A9">
        <w:trPr>
          <w:trHeight w:val="1127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0ACEE081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D876558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N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v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(cm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-3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E47A874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1.8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E16288E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1.8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31EB530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C19D7F8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67EFD49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1.3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00C7E291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1.8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0F4B90B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74403A07" w14:textId="77777777" w:rsidTr="00A322A9">
        <w:trPr>
          <w:trHeight w:val="1118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0F1B7189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ADF4FAA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µ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n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(cm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v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-1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s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-1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53FFFDC1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EB6BC84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36AE0E7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5.85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642ECAA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5.85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+2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07DFB1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</w:t>
            </w:r>
            <w:r w:rsidRPr="00713F13">
              <w:rPr>
                <w:rFonts w:eastAsia="Calibri"/>
                <w:sz w:val="18"/>
                <w:szCs w:val="18"/>
              </w:rPr>
              <w:t>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1C1595B1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2.1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031C6AF7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3885F7E3" w14:textId="77777777" w:rsidTr="00A322A9">
        <w:trPr>
          <w:trHeight w:val="1134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5EFF1681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B0F3C49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µ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p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(cm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v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-1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s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-1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1288AC2A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041939D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EC8A509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1.5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2700A2F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1.5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+3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F438497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sz w:val="18"/>
                <w:szCs w:val="18"/>
              </w:rPr>
              <w:t>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3C4274B0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2.16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5C8369FD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4692001E" w14:textId="77777777" w:rsidTr="00A322A9">
        <w:trPr>
          <w:trHeight w:val="838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0683854D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E9D9989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ɛ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F18104E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936842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B77F9AD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4B215D9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EFD01EC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6B3F774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7CCFAFA3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2881702D" w14:textId="77777777" w:rsidTr="00A322A9">
        <w:trPr>
          <w:trHeight w:val="909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6A1B5B22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684183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N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A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(cm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-3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4A0FEC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F5AA5C8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396B7CE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6.0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81644FD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6.0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+16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96147A5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1.3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04066574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8.0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046EC4D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372E2C9D" w14:textId="77777777" w:rsidTr="00A322A9">
        <w:trPr>
          <w:trHeight w:val="852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08B9378E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49507D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N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 xml:space="preserve">D 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(cm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-3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2459D6D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5939787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A28C9F8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9D9043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58372A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6ED1F47D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079D435E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77C2869A" w14:textId="77777777" w:rsidTr="00A322A9">
        <w:trPr>
          <w:trHeight w:val="1034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0172571C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A84790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N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t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(1/cm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6722FF2B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4A3F7DD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168B658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9283EBD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+15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7FB9A4C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3A5B33F2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+15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57E498B0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37BF3F72" w14:textId="77777777" w:rsidTr="00A322A9">
        <w:trPr>
          <w:trHeight w:val="1151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7CB2CD02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26FCAB9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E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g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(eV)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5C104EE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8E703B1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1855FFC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4C039B7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D72DBFF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1.0</w:t>
            </w:r>
            <w:r w:rsidRPr="00713F13">
              <w:rPr>
                <w:rFonts w:eastAsia="Calibri"/>
                <w:sz w:val="18"/>
                <w:szCs w:val="18"/>
              </w:rPr>
              <w:t>×10</w:t>
            </w:r>
            <w:r w:rsidRPr="00713F13">
              <w:rPr>
                <w:rFonts w:eastAsia="Calibri"/>
                <w:sz w:val="18"/>
                <w:szCs w:val="18"/>
                <w:vertAlign w:val="superscript"/>
              </w:rPr>
              <w:t>+19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3A6EC085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45DC83F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A322A9" w:rsidRPr="00713F13" w14:paraId="794B2F5D" w14:textId="77777777" w:rsidTr="00A322A9">
        <w:trPr>
          <w:trHeight w:val="1453"/>
        </w:trPr>
        <w:tc>
          <w:tcPr>
            <w:tcW w:w="74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</w:tcPr>
          <w:p w14:paraId="3EF1D267" w14:textId="77777777" w:rsidR="00A322A9" w:rsidRPr="00713F13" w:rsidRDefault="00A322A9" w:rsidP="00A322A9">
            <w:pPr>
              <w:pStyle w:val="BodyText"/>
              <w:widowControl w:val="0"/>
              <w:spacing w:line="256" w:lineRule="auto"/>
              <w:ind w:left="113" w:right="805"/>
              <w:jc w:val="both"/>
              <w:rPr>
                <w:rFonts w:eastAsia="Calibri" w:cs="Arial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E21990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right="113"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 Materials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9F872B1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ind w:left="113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TCO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B54BF4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ind w:left="113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TiO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D3ACB80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ind w:left="113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IDL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39DDCFF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ind w:left="113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CsSnI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A33E0E7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ind w:left="113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N-TiO</w:t>
            </w: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  <w:vAlign w:val="center"/>
          </w:tcPr>
          <w:p w14:paraId="4347D59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480" w:lineRule="auto"/>
              <w:ind w:left="113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713F13">
              <w:rPr>
                <w:rFonts w:eastAsia="Calibri"/>
                <w:b/>
                <w:bCs/>
                <w:color w:val="000000"/>
                <w:sz w:val="18"/>
                <w:szCs w:val="18"/>
              </w:rPr>
              <w:t>Spiro- OMeTad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nil"/>
              <w:right w:val="nil"/>
            </w:tcBorders>
            <w:textDirection w:val="btLr"/>
          </w:tcPr>
          <w:p w14:paraId="35D9A2E6" w14:textId="77777777" w:rsidR="00A322A9" w:rsidRPr="00713F13" w:rsidRDefault="00A322A9" w:rsidP="00A322A9">
            <w:pPr>
              <w:widowControl w:val="0"/>
              <w:tabs>
                <w:tab w:val="right" w:pos="450"/>
              </w:tabs>
              <w:spacing w:line="360" w:lineRule="auto"/>
              <w:ind w:left="113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94755FC" w14:textId="77777777" w:rsidR="00A322A9" w:rsidRPr="00713F13" w:rsidRDefault="00A322A9" w:rsidP="00A322A9">
      <w:pPr>
        <w:pStyle w:val="Text"/>
        <w:spacing w:after="240"/>
        <w:ind w:firstLine="0"/>
        <w:jc w:val="center"/>
        <w:rPr>
          <w:rFonts w:asciiTheme="majorBidi" w:hAnsiTheme="majorBidi" w:cstheme="majorBidi"/>
          <w:sz w:val="18"/>
          <w:szCs w:val="18"/>
        </w:rPr>
      </w:pPr>
    </w:p>
    <w:p w14:paraId="30BA807C" w14:textId="77777777" w:rsidR="00A322A9" w:rsidRPr="00713F13" w:rsidRDefault="00A322A9" w:rsidP="00A322A9">
      <w:pPr>
        <w:rPr>
          <w:sz w:val="18"/>
          <w:szCs w:val="18"/>
          <w:lang w:eastAsia="zh-CN"/>
        </w:rPr>
      </w:pPr>
    </w:p>
    <w:p w14:paraId="3E3E4133" w14:textId="77777777" w:rsidR="00A322A9" w:rsidRPr="00713F13" w:rsidRDefault="00A322A9" w:rsidP="00A322A9"/>
    <w:p w14:paraId="75581BF6" w14:textId="77777777" w:rsidR="00A322A9" w:rsidRPr="00713F13" w:rsidRDefault="00A322A9" w:rsidP="00A322A9">
      <w:pPr>
        <w:pStyle w:val="Text"/>
        <w:spacing w:before="120" w:after="120"/>
        <w:rPr>
          <w:rFonts w:asciiTheme="majorBidi" w:hAnsiTheme="majorBidi" w:cstheme="majorBidi"/>
          <w:sz w:val="24"/>
          <w:szCs w:val="24"/>
        </w:rPr>
      </w:pPr>
    </w:p>
    <w:p w14:paraId="5035B5C9" w14:textId="77777777" w:rsidR="00A322A9" w:rsidRPr="00713F13" w:rsidRDefault="00A322A9" w:rsidP="00A322A9">
      <w:pPr>
        <w:pStyle w:val="Text"/>
        <w:spacing w:before="120" w:after="120"/>
        <w:rPr>
          <w:rFonts w:asciiTheme="majorBidi" w:hAnsiTheme="majorBidi" w:cstheme="majorBidi"/>
          <w:sz w:val="24"/>
          <w:szCs w:val="24"/>
        </w:rPr>
      </w:pPr>
    </w:p>
    <w:p w14:paraId="6545CB69" w14:textId="77777777" w:rsidR="00CA67E5" w:rsidRDefault="00A322A9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A9"/>
    <w:rsid w:val="00703469"/>
    <w:rsid w:val="00753CA0"/>
    <w:rsid w:val="00A322A9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E781"/>
  <w15:chartTrackingRefBased/>
  <w15:docId w15:val="{419CDDB2-2CE3-4EB4-A74F-6DDE4007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2A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A322A9"/>
    <w:pPr>
      <w:widowControl w:val="0"/>
      <w:spacing w:line="252" w:lineRule="auto"/>
      <w:ind w:firstLine="202"/>
      <w:jc w:val="both"/>
    </w:pPr>
  </w:style>
  <w:style w:type="paragraph" w:styleId="BodyText">
    <w:name w:val="Body Text"/>
    <w:basedOn w:val="Normal"/>
    <w:link w:val="BodyTextChar"/>
    <w:semiHidden/>
    <w:unhideWhenUsed/>
    <w:rsid w:val="00A322A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322A9"/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1710</Characters>
  <Application>Microsoft Office Word</Application>
  <DocSecurity>0</DocSecurity>
  <Lines>14</Lines>
  <Paragraphs>4</Paragraphs>
  <ScaleCrop>false</ScaleCrop>
  <Company>Springer Nature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2023-08-09T15:40:00Z</dcterms:created>
  <dcterms:modified xsi:type="dcterms:W3CDTF">2023-08-09T15:42:00Z</dcterms:modified>
</cp:coreProperties>
</file>