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77EA" w14:textId="77777777" w:rsidR="0007228F" w:rsidRPr="00A11206" w:rsidRDefault="0007228F" w:rsidP="0007228F">
      <w:r w:rsidRPr="000E7209">
        <w:rPr>
          <w:noProof/>
          <w:lang w:eastAsia="sv-SE"/>
        </w:rPr>
        <w:drawing>
          <wp:inline distT="0" distB="0" distL="0" distR="0" wp14:anchorId="6CF13D5F" wp14:editId="7DCC5EE4">
            <wp:extent cx="5760720" cy="3141980"/>
            <wp:effectExtent l="0" t="0" r="0" b="0"/>
            <wp:docPr id="5" name="Bildobjekt 5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Chart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5C6C">
        <w:rPr>
          <w:b/>
        </w:rPr>
        <w:t>Appendix Figure 2.</w:t>
      </w:r>
      <w:r w:rsidRPr="00295C6C">
        <w:t xml:space="preserve"> Second ACL injury during the first 2 years stratified by age.</w:t>
      </w:r>
    </w:p>
    <w:p w14:paraId="0E207FEE" w14:textId="77777777" w:rsidR="00550DF3" w:rsidRDefault="00550DF3"/>
    <w:sectPr w:rsidR="00550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8F"/>
    <w:rsid w:val="0007228F"/>
    <w:rsid w:val="000876A1"/>
    <w:rsid w:val="00550DF3"/>
    <w:rsid w:val="00D3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1715"/>
  <w15:chartTrackingRefBased/>
  <w15:docId w15:val="{E39C2EA9-BFCE-4D73-BDB7-E9A93420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28F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70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simonson</dc:creator>
  <cp:keywords/>
  <dc:description/>
  <cp:lastModifiedBy>rebecca simonson</cp:lastModifiedBy>
  <cp:revision>1</cp:revision>
  <dcterms:created xsi:type="dcterms:W3CDTF">2023-02-09T13:42:00Z</dcterms:created>
  <dcterms:modified xsi:type="dcterms:W3CDTF">2023-02-09T13:42:00Z</dcterms:modified>
</cp:coreProperties>
</file>