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Default Extension="tiff" ContentType="image/tiff"/>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customXml/itemProps4.xml" ContentType="application/vnd.openxmlformats-officedocument.customXmlProperties+xml"/>
  <Override PartName="/customXml/itemProps5.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4ECD" w:rsidRDefault="00454ECD" w:rsidP="007449E2">
      <w:pPr>
        <w:spacing w:after="0" w:line="360" w:lineRule="auto"/>
        <w:contextualSpacing/>
        <w:jc w:val="both"/>
        <w:rPr>
          <w:rFonts w:cstheme="minorHAnsi"/>
          <w:b/>
          <w:sz w:val="24"/>
          <w:szCs w:val="24"/>
          <w:lang w:val="en-GB"/>
        </w:rPr>
      </w:pPr>
      <w:r w:rsidRPr="006F0F59">
        <w:rPr>
          <w:rFonts w:cstheme="minorHAnsi"/>
          <w:b/>
          <w:sz w:val="24"/>
          <w:szCs w:val="24"/>
          <w:lang w:val="en-GB"/>
        </w:rPr>
        <w:t xml:space="preserve">Supplementary appendix </w:t>
      </w:r>
    </w:p>
    <w:p w:rsidR="00B60A2F" w:rsidRDefault="00B60A2F" w:rsidP="007449E2">
      <w:pPr>
        <w:spacing w:after="0" w:line="360" w:lineRule="auto"/>
        <w:contextualSpacing/>
        <w:rPr>
          <w:rFonts w:cstheme="minorHAnsi"/>
          <w:b/>
          <w:color w:val="000000"/>
          <w:sz w:val="24"/>
          <w:szCs w:val="24"/>
          <w:lang w:val="en-GB"/>
        </w:rPr>
      </w:pPr>
    </w:p>
    <w:p w:rsidR="00F573F5" w:rsidRPr="00D114A9" w:rsidRDefault="004404F9" w:rsidP="007449E2">
      <w:pPr>
        <w:spacing w:after="0" w:line="360" w:lineRule="auto"/>
        <w:contextualSpacing/>
        <w:rPr>
          <w:rFonts w:cstheme="minorHAnsi"/>
          <w:b/>
          <w:color w:val="000000"/>
          <w:sz w:val="24"/>
          <w:szCs w:val="24"/>
          <w:lang w:val="en-GB"/>
        </w:rPr>
      </w:pPr>
      <w:r w:rsidRPr="00B10F3B">
        <w:rPr>
          <w:rFonts w:ascii="Times New Roman" w:hAnsi="Times New Roman" w:cs="Times New Roman"/>
          <w:b/>
          <w:color w:val="000000"/>
          <w:sz w:val="24"/>
          <w:szCs w:val="24"/>
          <w:lang w:val="en-GB"/>
        </w:rPr>
        <w:t>Humic-acid-driven escape from eye parasitesrevealed by RNA</w:t>
      </w:r>
      <w:r>
        <w:rPr>
          <w:rFonts w:ascii="Times New Roman" w:hAnsi="Times New Roman" w:cs="Times New Roman"/>
          <w:b/>
          <w:color w:val="000000"/>
          <w:sz w:val="24"/>
          <w:szCs w:val="24"/>
          <w:lang w:val="en-GB"/>
        </w:rPr>
        <w:t>-</w:t>
      </w:r>
      <w:r w:rsidRPr="00B10F3B">
        <w:rPr>
          <w:rFonts w:ascii="Times New Roman" w:hAnsi="Times New Roman" w:cs="Times New Roman"/>
          <w:b/>
          <w:color w:val="000000"/>
          <w:sz w:val="24"/>
          <w:szCs w:val="24"/>
          <w:lang w:val="en-GB"/>
        </w:rPr>
        <w:t>seq and target-specific metabarcoding</w:t>
      </w:r>
    </w:p>
    <w:p w:rsidR="00393B17" w:rsidRPr="006F0F59" w:rsidRDefault="00393B17" w:rsidP="007449E2">
      <w:pPr>
        <w:spacing w:after="0" w:line="360" w:lineRule="auto"/>
        <w:contextualSpacing/>
        <w:jc w:val="both"/>
        <w:rPr>
          <w:rFonts w:cstheme="minorHAnsi"/>
          <w:b/>
          <w:sz w:val="24"/>
          <w:szCs w:val="24"/>
          <w:lang w:val="en-GB"/>
        </w:rPr>
      </w:pPr>
    </w:p>
    <w:p w:rsidR="00AB5E48" w:rsidRPr="006F0F59" w:rsidRDefault="00AB5E48" w:rsidP="007449E2">
      <w:pPr>
        <w:spacing w:after="0" w:line="360" w:lineRule="auto"/>
        <w:contextualSpacing/>
        <w:jc w:val="both"/>
        <w:rPr>
          <w:rFonts w:cstheme="minorHAnsi"/>
          <w:sz w:val="24"/>
          <w:szCs w:val="24"/>
          <w:lang w:val="en-GB"/>
        </w:rPr>
      </w:pPr>
      <w:r w:rsidRPr="006F0F59">
        <w:rPr>
          <w:rFonts w:cstheme="minorHAnsi"/>
          <w:b/>
          <w:sz w:val="24"/>
          <w:szCs w:val="24"/>
          <w:lang w:val="en-GB"/>
        </w:rPr>
        <w:t>Methods</w:t>
      </w:r>
    </w:p>
    <w:p w:rsidR="00AB5E48" w:rsidRPr="006F0F59" w:rsidRDefault="00AB5E48" w:rsidP="007449E2">
      <w:pPr>
        <w:spacing w:line="360" w:lineRule="auto"/>
        <w:contextualSpacing/>
        <w:jc w:val="both"/>
        <w:rPr>
          <w:rFonts w:cstheme="minorHAnsi"/>
          <w:i/>
          <w:sz w:val="24"/>
          <w:szCs w:val="24"/>
          <w:lang w:val="en-GB"/>
        </w:rPr>
      </w:pPr>
      <w:r w:rsidRPr="006F0F59">
        <w:rPr>
          <w:rFonts w:cstheme="minorHAnsi"/>
          <w:i/>
          <w:sz w:val="24"/>
          <w:szCs w:val="24"/>
          <w:lang w:val="en-GB"/>
        </w:rPr>
        <w:t>Sampling</w:t>
      </w:r>
      <w:r w:rsidR="007710AE" w:rsidRPr="006F0F59">
        <w:rPr>
          <w:rFonts w:cstheme="minorHAnsi"/>
          <w:i/>
          <w:sz w:val="24"/>
          <w:szCs w:val="24"/>
          <w:lang w:val="en-GB"/>
        </w:rPr>
        <w:t xml:space="preserve"> of perch</w:t>
      </w:r>
    </w:p>
    <w:p w:rsidR="00B50CD1" w:rsidRDefault="00AB5E48" w:rsidP="007449E2">
      <w:pPr>
        <w:spacing w:line="360" w:lineRule="auto"/>
        <w:contextualSpacing/>
        <w:jc w:val="both"/>
        <w:rPr>
          <w:rFonts w:cstheme="minorHAnsi"/>
          <w:sz w:val="24"/>
          <w:szCs w:val="24"/>
          <w:lang w:val="en-GB"/>
        </w:rPr>
      </w:pPr>
      <w:r w:rsidRPr="006F0F59">
        <w:rPr>
          <w:rFonts w:cstheme="minorHAnsi"/>
          <w:sz w:val="24"/>
          <w:szCs w:val="24"/>
          <w:lang w:val="en-GB"/>
        </w:rPr>
        <w:t xml:space="preserve">The </w:t>
      </w:r>
      <w:r w:rsidR="00046C37">
        <w:rPr>
          <w:rFonts w:cstheme="minorHAnsi"/>
          <w:sz w:val="24"/>
          <w:szCs w:val="24"/>
          <w:lang w:val="en-GB"/>
        </w:rPr>
        <w:t xml:space="preserve">Eurasian </w:t>
      </w:r>
      <w:r w:rsidRPr="006F0F59">
        <w:rPr>
          <w:rFonts w:cstheme="minorHAnsi"/>
          <w:sz w:val="24"/>
          <w:szCs w:val="24"/>
          <w:lang w:val="en-GB"/>
        </w:rPr>
        <w:t xml:space="preserve">perch </w:t>
      </w:r>
      <w:r w:rsidR="00046C37">
        <w:rPr>
          <w:rFonts w:cstheme="minorHAnsi"/>
          <w:sz w:val="24"/>
          <w:szCs w:val="24"/>
          <w:lang w:val="en-GB"/>
        </w:rPr>
        <w:t>(</w:t>
      </w:r>
      <w:r w:rsidR="00046C37" w:rsidRPr="00B601CC">
        <w:rPr>
          <w:rFonts w:cstheme="minorHAnsi"/>
          <w:i/>
          <w:sz w:val="24"/>
          <w:szCs w:val="24"/>
          <w:lang w:val="en-GB"/>
        </w:rPr>
        <w:t>Perca</w:t>
      </w:r>
      <w:r w:rsidR="003832EF">
        <w:rPr>
          <w:rFonts w:cstheme="minorHAnsi"/>
          <w:i/>
          <w:sz w:val="24"/>
          <w:szCs w:val="24"/>
          <w:lang w:val="en-GB"/>
        </w:rPr>
        <w:t xml:space="preserve"> </w:t>
      </w:r>
      <w:r w:rsidR="00046C37" w:rsidRPr="00B601CC">
        <w:rPr>
          <w:rFonts w:cstheme="minorHAnsi"/>
          <w:i/>
          <w:sz w:val="24"/>
          <w:szCs w:val="24"/>
          <w:lang w:val="en-GB"/>
        </w:rPr>
        <w:t>fluviatilis</w:t>
      </w:r>
      <w:r w:rsidR="00046C37">
        <w:rPr>
          <w:rFonts w:cstheme="minorHAnsi"/>
          <w:sz w:val="24"/>
          <w:szCs w:val="24"/>
          <w:lang w:val="en-GB"/>
        </w:rPr>
        <w:t>)</w:t>
      </w:r>
      <w:r w:rsidR="00CC3DED">
        <w:rPr>
          <w:rFonts w:cstheme="minorHAnsi"/>
          <w:sz w:val="24"/>
          <w:szCs w:val="24"/>
          <w:lang w:val="en-GB"/>
        </w:rPr>
        <w:t xml:space="preserve"> </w:t>
      </w:r>
      <w:r w:rsidRPr="006F0F59">
        <w:rPr>
          <w:rFonts w:cstheme="minorHAnsi"/>
          <w:sz w:val="24"/>
          <w:szCs w:val="24"/>
          <w:lang w:val="en-GB"/>
        </w:rPr>
        <w:t>from eight humic and six clea</w:t>
      </w:r>
      <w:r w:rsidR="007710AE" w:rsidRPr="006F0F59">
        <w:rPr>
          <w:rFonts w:cstheme="minorHAnsi"/>
          <w:sz w:val="24"/>
          <w:szCs w:val="24"/>
          <w:lang w:val="en-GB"/>
        </w:rPr>
        <w:t>r-water</w:t>
      </w:r>
      <w:r w:rsidRPr="006F0F59">
        <w:rPr>
          <w:rFonts w:cstheme="minorHAnsi"/>
          <w:sz w:val="24"/>
          <w:szCs w:val="24"/>
          <w:lang w:val="en-GB"/>
        </w:rPr>
        <w:t xml:space="preserve"> lakes in Estonia (Table S1</w:t>
      </w:r>
      <w:r w:rsidR="007710AE" w:rsidRPr="006F0F59">
        <w:rPr>
          <w:rFonts w:cstheme="minorHAnsi"/>
          <w:sz w:val="24"/>
          <w:szCs w:val="24"/>
          <w:lang w:val="en-GB"/>
        </w:rPr>
        <w:t>, Fig. S1</w:t>
      </w:r>
      <w:r w:rsidRPr="006F0F59">
        <w:rPr>
          <w:rFonts w:cstheme="minorHAnsi"/>
          <w:sz w:val="24"/>
          <w:szCs w:val="24"/>
          <w:lang w:val="en-GB"/>
        </w:rPr>
        <w:t>) were caught using gill-</w:t>
      </w:r>
      <w:r w:rsidR="0087611B">
        <w:rPr>
          <w:rFonts w:cstheme="minorHAnsi"/>
          <w:sz w:val="24"/>
          <w:szCs w:val="24"/>
          <w:lang w:val="en-GB"/>
        </w:rPr>
        <w:t xml:space="preserve"> and s</w:t>
      </w:r>
      <w:r w:rsidR="006744C3">
        <w:rPr>
          <w:rFonts w:cstheme="minorHAnsi"/>
          <w:sz w:val="24"/>
          <w:szCs w:val="24"/>
          <w:lang w:val="en-GB"/>
        </w:rPr>
        <w:t>e</w:t>
      </w:r>
      <w:r w:rsidR="0087611B">
        <w:rPr>
          <w:rFonts w:cstheme="minorHAnsi"/>
          <w:sz w:val="24"/>
          <w:szCs w:val="24"/>
          <w:lang w:val="en-GB"/>
        </w:rPr>
        <w:t xml:space="preserve">ine </w:t>
      </w:r>
      <w:r w:rsidRPr="006F0F59">
        <w:rPr>
          <w:rFonts w:cstheme="minorHAnsi"/>
          <w:sz w:val="24"/>
          <w:szCs w:val="24"/>
          <w:lang w:val="en-GB"/>
        </w:rPr>
        <w:t>nets in September of 2016</w:t>
      </w:r>
      <w:r w:rsidR="00425FDB">
        <w:rPr>
          <w:rFonts w:cstheme="minorHAnsi"/>
          <w:sz w:val="24"/>
          <w:szCs w:val="24"/>
          <w:lang w:val="en-GB"/>
        </w:rPr>
        <w:t xml:space="preserve">. </w:t>
      </w:r>
    </w:p>
    <w:p w:rsidR="00B50CD1" w:rsidRDefault="00B50CD1" w:rsidP="00B50CD1">
      <w:r>
        <w:rPr>
          <w:noProof/>
          <w:lang w:eastAsia="et-EE"/>
        </w:rPr>
        <w:drawing>
          <wp:inline distT="0" distB="0" distL="0" distR="0">
            <wp:extent cx="3597901" cy="4508390"/>
            <wp:effectExtent l="0" t="0" r="3175"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ampling_map_FigS1.tif"/>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628291" cy="4546471"/>
                    </a:xfrm>
                    <a:prstGeom prst="rect">
                      <a:avLst/>
                    </a:prstGeom>
                  </pic:spPr>
                </pic:pic>
              </a:graphicData>
            </a:graphic>
          </wp:inline>
        </w:drawing>
      </w:r>
    </w:p>
    <w:p w:rsidR="00B50CD1" w:rsidRDefault="00B50CD1" w:rsidP="00B50CD1">
      <w:pPr>
        <w:spacing w:line="360" w:lineRule="auto"/>
        <w:contextualSpacing/>
        <w:jc w:val="both"/>
        <w:rPr>
          <w:rFonts w:cstheme="minorHAnsi"/>
          <w:sz w:val="24"/>
          <w:szCs w:val="24"/>
          <w:lang w:val="en-GB"/>
        </w:rPr>
      </w:pPr>
      <w:r w:rsidRPr="007B69EA">
        <w:rPr>
          <w:b/>
          <w:sz w:val="24"/>
          <w:szCs w:val="24"/>
          <w:lang w:val="en-US"/>
        </w:rPr>
        <w:t>Fig. S1.</w:t>
      </w:r>
      <w:r w:rsidRPr="007B69EA">
        <w:rPr>
          <w:sz w:val="24"/>
          <w:szCs w:val="24"/>
          <w:lang w:val="en-US"/>
        </w:rPr>
        <w:t xml:space="preserve"> A map illustrating the geographical location of sampled lakes. The numbers correspond to those in the Table S1: 1) Holvandi</w:t>
      </w:r>
      <w:r w:rsidR="003832EF">
        <w:rPr>
          <w:sz w:val="24"/>
          <w:szCs w:val="24"/>
          <w:lang w:val="en-US"/>
        </w:rPr>
        <w:t xml:space="preserve"> </w:t>
      </w:r>
      <w:r w:rsidRPr="007B69EA">
        <w:rPr>
          <w:sz w:val="24"/>
          <w:szCs w:val="24"/>
          <w:lang w:val="en-US"/>
        </w:rPr>
        <w:t>Kivijärv; 2) Virosi; 3) Partsi</w:t>
      </w:r>
      <w:r w:rsidR="003832EF">
        <w:rPr>
          <w:sz w:val="24"/>
          <w:szCs w:val="24"/>
          <w:lang w:val="en-US"/>
        </w:rPr>
        <w:t xml:space="preserve"> </w:t>
      </w:r>
      <w:r w:rsidRPr="007B69EA">
        <w:rPr>
          <w:sz w:val="24"/>
          <w:szCs w:val="24"/>
          <w:lang w:val="en-US"/>
        </w:rPr>
        <w:t>Saarjärv; 4) Heisri</w:t>
      </w:r>
      <w:r w:rsidR="003832EF">
        <w:rPr>
          <w:sz w:val="24"/>
          <w:szCs w:val="24"/>
          <w:lang w:val="en-US"/>
        </w:rPr>
        <w:t xml:space="preserve"> </w:t>
      </w:r>
      <w:r w:rsidRPr="007B69EA">
        <w:rPr>
          <w:sz w:val="24"/>
          <w:szCs w:val="24"/>
          <w:lang w:val="en-US"/>
        </w:rPr>
        <w:t>Mustjärv; 5) Kuulma; 6) Loosalu; 7) Matsimäe</w:t>
      </w:r>
      <w:r w:rsidR="003832EF">
        <w:rPr>
          <w:sz w:val="24"/>
          <w:szCs w:val="24"/>
          <w:lang w:val="en-US"/>
        </w:rPr>
        <w:t xml:space="preserve"> </w:t>
      </w:r>
      <w:r w:rsidRPr="007B69EA">
        <w:rPr>
          <w:sz w:val="24"/>
          <w:szCs w:val="24"/>
          <w:lang w:val="en-US"/>
        </w:rPr>
        <w:t xml:space="preserve">Pühajärv; 8) Meelva; 9) Paidra; 10) Hino; 11) Verijärv; 12) Saadjärv; 13) Uiakatsi; 14) Piigandi. Humic and clear-water lakes are shown as </w:t>
      </w:r>
      <w:r>
        <w:rPr>
          <w:sz w:val="24"/>
          <w:szCs w:val="24"/>
          <w:lang w:val="en-US"/>
        </w:rPr>
        <w:t xml:space="preserve">filled </w:t>
      </w:r>
      <w:r w:rsidRPr="007B69EA">
        <w:rPr>
          <w:sz w:val="24"/>
          <w:szCs w:val="24"/>
          <w:lang w:val="en-US"/>
        </w:rPr>
        <w:t>black and white circles, respectively.</w:t>
      </w:r>
    </w:p>
    <w:p w:rsidR="00D05A9C" w:rsidRDefault="0087611B" w:rsidP="007449E2">
      <w:pPr>
        <w:spacing w:line="360" w:lineRule="auto"/>
        <w:contextualSpacing/>
        <w:jc w:val="both"/>
        <w:rPr>
          <w:rFonts w:cstheme="minorHAnsi"/>
          <w:sz w:val="24"/>
          <w:szCs w:val="24"/>
          <w:lang w:val="en-GB"/>
        </w:rPr>
      </w:pPr>
      <w:r>
        <w:rPr>
          <w:rFonts w:cstheme="minorHAnsi"/>
          <w:sz w:val="24"/>
          <w:szCs w:val="24"/>
          <w:lang w:val="en-GB"/>
        </w:rPr>
        <w:lastRenderedPageBreak/>
        <w:t>N</w:t>
      </w:r>
      <w:r w:rsidR="00425FDB">
        <w:rPr>
          <w:rFonts w:cstheme="minorHAnsi"/>
          <w:sz w:val="24"/>
          <w:szCs w:val="24"/>
          <w:lang w:val="en-GB"/>
        </w:rPr>
        <w:t>ets were constantly monitored</w:t>
      </w:r>
      <w:r w:rsidR="00AB5E48" w:rsidRPr="006F0F59">
        <w:rPr>
          <w:rFonts w:cstheme="minorHAnsi"/>
          <w:sz w:val="24"/>
          <w:szCs w:val="24"/>
          <w:lang w:val="en-GB"/>
        </w:rPr>
        <w:t xml:space="preserve"> and</w:t>
      </w:r>
      <w:r w:rsidR="002531B3">
        <w:rPr>
          <w:rFonts w:cstheme="minorHAnsi"/>
          <w:sz w:val="24"/>
          <w:szCs w:val="24"/>
          <w:lang w:val="en-GB"/>
        </w:rPr>
        <w:t xml:space="preserve"> live fish</w:t>
      </w:r>
      <w:r w:rsidR="007710AE" w:rsidRPr="006F0F59">
        <w:rPr>
          <w:rFonts w:cstheme="minorHAnsi"/>
          <w:sz w:val="24"/>
          <w:szCs w:val="24"/>
          <w:lang w:val="en-GB"/>
        </w:rPr>
        <w:t xml:space="preserve">were </w:t>
      </w:r>
      <w:r w:rsidR="00AB5E48" w:rsidRPr="006F0F59">
        <w:rPr>
          <w:rFonts w:cstheme="minorHAnsi"/>
          <w:sz w:val="24"/>
          <w:szCs w:val="24"/>
          <w:lang w:val="en-GB"/>
        </w:rPr>
        <w:t xml:space="preserve">immediately </w:t>
      </w:r>
      <w:r w:rsidR="007710AE" w:rsidRPr="006F0F59">
        <w:rPr>
          <w:rFonts w:cstheme="minorHAnsi"/>
          <w:sz w:val="24"/>
          <w:szCs w:val="24"/>
          <w:lang w:val="en-GB"/>
        </w:rPr>
        <w:t>euthanized</w:t>
      </w:r>
      <w:r w:rsidR="00AB5E48" w:rsidRPr="006F0F59">
        <w:rPr>
          <w:rFonts w:cstheme="minorHAnsi"/>
          <w:sz w:val="24"/>
          <w:szCs w:val="24"/>
          <w:lang w:val="en-GB"/>
        </w:rPr>
        <w:t xml:space="preserve"> by an overdose of tricainemethanesulfonate (MS-222) before sampling. A whole left </w:t>
      </w:r>
      <w:r w:rsidR="004578D0">
        <w:rPr>
          <w:rFonts w:cstheme="minorHAnsi"/>
          <w:sz w:val="24"/>
          <w:szCs w:val="24"/>
          <w:lang w:val="en-GB"/>
        </w:rPr>
        <w:t xml:space="preserve">eye </w:t>
      </w:r>
      <w:r w:rsidR="00AB5E48" w:rsidRPr="006F0F59">
        <w:rPr>
          <w:rFonts w:cstheme="minorHAnsi"/>
          <w:sz w:val="24"/>
          <w:szCs w:val="24"/>
          <w:lang w:val="en-GB"/>
        </w:rPr>
        <w:t xml:space="preserve">was dissected from the individual perch using a sterile scalpel and </w:t>
      </w:r>
      <w:r w:rsidR="00046C37">
        <w:rPr>
          <w:rFonts w:cstheme="minorHAnsi"/>
          <w:sz w:val="24"/>
          <w:szCs w:val="24"/>
          <w:lang w:val="en-GB"/>
        </w:rPr>
        <w:t>instantly</w:t>
      </w:r>
      <w:r w:rsidR="00AB5E48" w:rsidRPr="006F0F59">
        <w:rPr>
          <w:rFonts w:cstheme="minorHAnsi"/>
          <w:sz w:val="24"/>
          <w:szCs w:val="24"/>
          <w:lang w:val="en-GB"/>
        </w:rPr>
        <w:t>stored in liquid nitrogen. The additional sampling of perch</w:t>
      </w:r>
      <w:r w:rsidR="007710AE" w:rsidRPr="006F0F59">
        <w:rPr>
          <w:rFonts w:cstheme="minorHAnsi"/>
          <w:sz w:val="24"/>
          <w:szCs w:val="24"/>
          <w:lang w:val="en-GB"/>
        </w:rPr>
        <w:t xml:space="preserve"> from the same lakes</w:t>
      </w:r>
      <w:r w:rsidR="00AB5E48" w:rsidRPr="006F0F59">
        <w:rPr>
          <w:rFonts w:cstheme="minorHAnsi"/>
          <w:sz w:val="24"/>
          <w:szCs w:val="24"/>
          <w:lang w:val="en-GB"/>
        </w:rPr>
        <w:t xml:space="preserve"> for PCR validation and NGS was performed in 2017 using the same </w:t>
      </w:r>
      <w:r w:rsidR="002531B3">
        <w:rPr>
          <w:rFonts w:cstheme="minorHAnsi"/>
          <w:sz w:val="24"/>
          <w:szCs w:val="24"/>
          <w:lang w:val="en-GB"/>
        </w:rPr>
        <w:t>approach</w:t>
      </w:r>
      <w:r w:rsidR="00284FA5">
        <w:rPr>
          <w:rFonts w:cstheme="minorHAnsi"/>
          <w:sz w:val="24"/>
          <w:szCs w:val="24"/>
          <w:lang w:val="en-GB"/>
        </w:rPr>
        <w:t xml:space="preserve"> </w:t>
      </w:r>
      <w:r w:rsidR="00AB5E48" w:rsidRPr="006F0F59">
        <w:rPr>
          <w:rFonts w:cstheme="minorHAnsi"/>
          <w:sz w:val="24"/>
          <w:szCs w:val="24"/>
          <w:lang w:val="en-GB"/>
        </w:rPr>
        <w:t xml:space="preserve">(Table S1). </w:t>
      </w:r>
      <w:r w:rsidR="002531B3">
        <w:rPr>
          <w:rFonts w:cstheme="minorHAnsi"/>
          <w:sz w:val="24"/>
          <w:szCs w:val="24"/>
          <w:lang w:val="en-GB"/>
        </w:rPr>
        <w:t xml:space="preserve">Information about </w:t>
      </w:r>
      <w:r w:rsidR="00540ECF">
        <w:rPr>
          <w:rFonts w:cstheme="minorHAnsi"/>
          <w:sz w:val="24"/>
          <w:szCs w:val="24"/>
          <w:lang w:val="en-GB"/>
        </w:rPr>
        <w:t>gastropods</w:t>
      </w:r>
      <w:r w:rsidR="00F7080D">
        <w:rPr>
          <w:rFonts w:cstheme="minorHAnsi"/>
          <w:sz w:val="24"/>
          <w:szCs w:val="24"/>
          <w:lang w:val="en-GB"/>
        </w:rPr>
        <w:t xml:space="preserve"> diversity </w:t>
      </w:r>
      <w:r w:rsidR="00F235ED">
        <w:rPr>
          <w:rFonts w:cstheme="minorHAnsi"/>
          <w:sz w:val="24"/>
          <w:szCs w:val="24"/>
          <w:lang w:val="en-GB"/>
        </w:rPr>
        <w:t xml:space="preserve">(presence/absence) </w:t>
      </w:r>
      <w:r w:rsidR="00F7080D">
        <w:rPr>
          <w:rFonts w:cstheme="minorHAnsi"/>
          <w:sz w:val="24"/>
          <w:szCs w:val="24"/>
          <w:lang w:val="en-GB"/>
        </w:rPr>
        <w:t xml:space="preserve">was </w:t>
      </w:r>
      <w:r w:rsidR="002531B3">
        <w:rPr>
          <w:rFonts w:cstheme="minorHAnsi"/>
          <w:sz w:val="24"/>
          <w:szCs w:val="24"/>
          <w:lang w:val="en-GB"/>
        </w:rPr>
        <w:t xml:space="preserve">obtained from </w:t>
      </w:r>
      <w:r w:rsidR="002531B3" w:rsidRPr="002531B3">
        <w:rPr>
          <w:rFonts w:cstheme="minorHAnsi"/>
          <w:sz w:val="24"/>
          <w:szCs w:val="24"/>
          <w:lang w:val="en-GB"/>
        </w:rPr>
        <w:t xml:space="preserve">Estonian Environmental Monitoring database (Table S6; https://www.keskkonnaagentuur.ee). </w:t>
      </w:r>
      <w:r w:rsidR="00540ECF">
        <w:rPr>
          <w:rFonts w:cstheme="minorHAnsi"/>
          <w:sz w:val="24"/>
          <w:szCs w:val="24"/>
          <w:lang w:val="en-GB"/>
        </w:rPr>
        <w:t>Gastropods</w:t>
      </w:r>
      <w:r w:rsidR="00F7080D">
        <w:rPr>
          <w:rFonts w:cstheme="minorHAnsi"/>
          <w:sz w:val="24"/>
          <w:szCs w:val="24"/>
          <w:lang w:val="en-GB"/>
        </w:rPr>
        <w:t xml:space="preserve"> taxa were identified to </w:t>
      </w:r>
      <w:r w:rsidR="00F235ED">
        <w:rPr>
          <w:rFonts w:cstheme="minorHAnsi"/>
          <w:sz w:val="24"/>
          <w:szCs w:val="24"/>
          <w:lang w:val="en-GB"/>
        </w:rPr>
        <w:t xml:space="preserve">the </w:t>
      </w:r>
      <w:r w:rsidR="00F7080D">
        <w:rPr>
          <w:rFonts w:cstheme="minorHAnsi"/>
          <w:sz w:val="24"/>
          <w:szCs w:val="24"/>
          <w:lang w:val="en-GB"/>
        </w:rPr>
        <w:t>species level using morphological criteria by a specialist (Table</w:t>
      </w:r>
      <w:r w:rsidR="004404F9">
        <w:rPr>
          <w:rFonts w:cstheme="minorHAnsi"/>
          <w:sz w:val="24"/>
          <w:szCs w:val="24"/>
          <w:lang w:val="en-GB"/>
        </w:rPr>
        <w:t xml:space="preserve"> 1</w:t>
      </w:r>
      <w:r w:rsidR="00504518">
        <w:rPr>
          <w:rFonts w:cstheme="minorHAnsi"/>
          <w:sz w:val="24"/>
          <w:szCs w:val="24"/>
          <w:lang w:val="en-GB"/>
        </w:rPr>
        <w:t xml:space="preserve">). </w:t>
      </w:r>
    </w:p>
    <w:p w:rsidR="00504518" w:rsidRPr="006F0F59" w:rsidRDefault="00504518" w:rsidP="007449E2">
      <w:pPr>
        <w:spacing w:line="360" w:lineRule="auto"/>
        <w:contextualSpacing/>
        <w:jc w:val="both"/>
        <w:rPr>
          <w:rFonts w:cstheme="minorHAnsi"/>
          <w:sz w:val="24"/>
          <w:szCs w:val="24"/>
          <w:lang w:val="en-GB"/>
        </w:rPr>
      </w:pPr>
      <w:r w:rsidRPr="001A407A">
        <w:rPr>
          <w:rFonts w:cstheme="minorHAnsi"/>
          <w:sz w:val="24"/>
          <w:szCs w:val="24"/>
        </w:rPr>
        <w:t>The handling of fish during sampling adhered to the regulations of the Estonian Animal Protection Act. Fishing permits were issued by the Estonian Ministry of the Environment (permits no. 54/2016 and 37/2017).</w:t>
      </w:r>
    </w:p>
    <w:p w:rsidR="004D24AF" w:rsidRPr="006F0F59" w:rsidRDefault="004D24AF" w:rsidP="007449E2">
      <w:pPr>
        <w:spacing w:line="360" w:lineRule="auto"/>
        <w:contextualSpacing/>
        <w:jc w:val="both"/>
        <w:rPr>
          <w:rFonts w:cstheme="minorHAnsi"/>
          <w:i/>
          <w:sz w:val="24"/>
          <w:szCs w:val="24"/>
          <w:lang w:val="en-GB"/>
        </w:rPr>
      </w:pPr>
    </w:p>
    <w:p w:rsidR="00AB5E48" w:rsidRPr="00954B89" w:rsidRDefault="00AB5E48" w:rsidP="007449E2">
      <w:pPr>
        <w:spacing w:line="360" w:lineRule="auto"/>
        <w:contextualSpacing/>
        <w:jc w:val="both"/>
        <w:rPr>
          <w:rFonts w:cstheme="minorHAnsi"/>
          <w:i/>
          <w:sz w:val="24"/>
          <w:szCs w:val="24"/>
          <w:lang w:val="en-GB"/>
        </w:rPr>
      </w:pPr>
      <w:r w:rsidRPr="00954B89">
        <w:rPr>
          <w:rFonts w:cstheme="minorHAnsi"/>
          <w:i/>
          <w:sz w:val="24"/>
          <w:szCs w:val="24"/>
          <w:lang w:val="en-GB"/>
        </w:rPr>
        <w:t>Water samples</w:t>
      </w:r>
    </w:p>
    <w:p w:rsidR="00AB5E48" w:rsidRPr="00954B89" w:rsidRDefault="00AB5E48" w:rsidP="00D41579">
      <w:pPr>
        <w:spacing w:line="360" w:lineRule="auto"/>
        <w:contextualSpacing/>
        <w:jc w:val="both"/>
        <w:rPr>
          <w:rFonts w:cstheme="minorHAnsi"/>
          <w:sz w:val="24"/>
          <w:szCs w:val="24"/>
          <w:lang w:val="en-GB"/>
        </w:rPr>
      </w:pPr>
      <w:r w:rsidRPr="00954B89">
        <w:rPr>
          <w:rFonts w:cstheme="minorHAnsi"/>
          <w:sz w:val="24"/>
          <w:szCs w:val="24"/>
          <w:lang w:val="en-GB"/>
        </w:rPr>
        <w:t>Surface water samples were collected simultaneously with fish sampling in September of 2016. The pH</w:t>
      </w:r>
      <w:r w:rsidR="00D41579" w:rsidRPr="00954B89">
        <w:rPr>
          <w:rFonts w:cstheme="minorHAnsi"/>
          <w:sz w:val="24"/>
          <w:szCs w:val="24"/>
          <w:lang w:val="en-GB"/>
        </w:rPr>
        <w:t xml:space="preserve"> and</w:t>
      </w:r>
      <w:r w:rsidRPr="00954B89">
        <w:rPr>
          <w:rFonts w:cstheme="minorHAnsi"/>
          <w:sz w:val="24"/>
          <w:szCs w:val="24"/>
          <w:lang w:val="en-GB"/>
        </w:rPr>
        <w:t xml:space="preserve"> dissolved organic carbon (DOC) concentrations (mg/l)</w:t>
      </w:r>
      <w:r w:rsidR="00D41579" w:rsidRPr="00954B89">
        <w:rPr>
          <w:rFonts w:cstheme="minorHAnsi"/>
          <w:sz w:val="24"/>
          <w:szCs w:val="24"/>
          <w:lang w:val="en-GB"/>
        </w:rPr>
        <w:t xml:space="preserve"> were determined for all </w:t>
      </w:r>
      <w:r w:rsidR="005B7E83">
        <w:rPr>
          <w:rFonts w:cstheme="minorHAnsi"/>
          <w:sz w:val="24"/>
          <w:szCs w:val="24"/>
          <w:lang w:val="en-GB"/>
        </w:rPr>
        <w:t xml:space="preserve">the </w:t>
      </w:r>
      <w:r w:rsidR="004404F9">
        <w:rPr>
          <w:rFonts w:cstheme="minorHAnsi"/>
          <w:sz w:val="24"/>
          <w:szCs w:val="24"/>
          <w:lang w:val="en-GB"/>
        </w:rPr>
        <w:t>lakes (Table 1 and Table S6</w:t>
      </w:r>
      <w:r w:rsidR="00D41579" w:rsidRPr="00954B89">
        <w:rPr>
          <w:rFonts w:cstheme="minorHAnsi"/>
          <w:sz w:val="24"/>
          <w:szCs w:val="24"/>
          <w:lang w:val="en-GB"/>
        </w:rPr>
        <w:t>).</w:t>
      </w:r>
      <w:r w:rsidR="00284FA5">
        <w:rPr>
          <w:rFonts w:cstheme="minorHAnsi"/>
          <w:sz w:val="24"/>
          <w:szCs w:val="24"/>
          <w:lang w:val="en-GB"/>
        </w:rPr>
        <w:t xml:space="preserve"> </w:t>
      </w:r>
      <w:r w:rsidR="00D41579" w:rsidRPr="00954B89">
        <w:rPr>
          <w:rFonts w:cstheme="minorHAnsi"/>
          <w:sz w:val="24"/>
          <w:szCs w:val="24"/>
          <w:lang w:val="en-GB"/>
        </w:rPr>
        <w:t>In addition, absorbance and fluorescence of the filtered water samples were measured to obtain nine different spectral parameters: A</w:t>
      </w:r>
      <w:r w:rsidR="00D41579" w:rsidRPr="00954B89">
        <w:rPr>
          <w:rFonts w:cstheme="minorHAnsi"/>
          <w:sz w:val="24"/>
          <w:szCs w:val="24"/>
          <w:vertAlign w:val="subscript"/>
          <w:lang w:val="en-GB"/>
        </w:rPr>
        <w:t>250</w:t>
      </w:r>
      <w:r w:rsidR="00D41579" w:rsidRPr="00954B89">
        <w:rPr>
          <w:rFonts w:cstheme="minorHAnsi"/>
          <w:sz w:val="24"/>
          <w:szCs w:val="24"/>
          <w:lang w:val="en-GB"/>
        </w:rPr>
        <w:t>/A</w:t>
      </w:r>
      <w:r w:rsidR="00D41579" w:rsidRPr="00954B89">
        <w:rPr>
          <w:rFonts w:cstheme="minorHAnsi"/>
          <w:sz w:val="24"/>
          <w:szCs w:val="24"/>
          <w:vertAlign w:val="subscript"/>
          <w:lang w:val="en-GB"/>
        </w:rPr>
        <w:t>365</w:t>
      </w:r>
      <w:r w:rsidR="00D41579" w:rsidRPr="00954B89">
        <w:rPr>
          <w:rFonts w:cstheme="minorHAnsi"/>
          <w:sz w:val="24"/>
          <w:szCs w:val="24"/>
          <w:lang w:val="en-GB"/>
        </w:rPr>
        <w:t>, A</w:t>
      </w:r>
      <w:r w:rsidR="00D41579" w:rsidRPr="00954B89">
        <w:rPr>
          <w:rFonts w:cstheme="minorHAnsi"/>
          <w:sz w:val="24"/>
          <w:szCs w:val="24"/>
          <w:vertAlign w:val="subscript"/>
          <w:lang w:val="en-GB"/>
        </w:rPr>
        <w:t>254</w:t>
      </w:r>
      <w:r w:rsidR="00D41579" w:rsidRPr="00954B89">
        <w:rPr>
          <w:rFonts w:cstheme="minorHAnsi"/>
          <w:sz w:val="24"/>
          <w:szCs w:val="24"/>
          <w:lang w:val="en-GB"/>
        </w:rPr>
        <w:t>/A</w:t>
      </w:r>
      <w:r w:rsidR="00D41579" w:rsidRPr="00954B89">
        <w:rPr>
          <w:rFonts w:cstheme="minorHAnsi"/>
          <w:sz w:val="24"/>
          <w:szCs w:val="24"/>
          <w:vertAlign w:val="subscript"/>
          <w:lang w:val="en-GB"/>
        </w:rPr>
        <w:t>436</w:t>
      </w:r>
      <w:r w:rsidR="00D41579" w:rsidRPr="00954B89">
        <w:rPr>
          <w:rFonts w:cstheme="minorHAnsi"/>
          <w:sz w:val="24"/>
          <w:szCs w:val="24"/>
          <w:lang w:val="en-GB"/>
        </w:rPr>
        <w:t>, A</w:t>
      </w:r>
      <w:r w:rsidR="00D41579" w:rsidRPr="00954B89">
        <w:rPr>
          <w:rFonts w:cstheme="minorHAnsi"/>
          <w:sz w:val="24"/>
          <w:szCs w:val="24"/>
          <w:vertAlign w:val="subscript"/>
          <w:lang w:val="en-GB"/>
        </w:rPr>
        <w:t>365</w:t>
      </w:r>
      <w:r w:rsidR="00D41579" w:rsidRPr="00954B89">
        <w:rPr>
          <w:rFonts w:cstheme="minorHAnsi"/>
          <w:sz w:val="24"/>
          <w:szCs w:val="24"/>
          <w:lang w:val="en-GB"/>
        </w:rPr>
        <w:t>/A</w:t>
      </w:r>
      <w:r w:rsidR="00D41579" w:rsidRPr="00954B89">
        <w:rPr>
          <w:rFonts w:cstheme="minorHAnsi"/>
          <w:sz w:val="24"/>
          <w:szCs w:val="24"/>
          <w:vertAlign w:val="subscript"/>
          <w:lang w:val="en-GB"/>
        </w:rPr>
        <w:t>465</w:t>
      </w:r>
      <w:r w:rsidR="00D41579" w:rsidRPr="00954B89">
        <w:rPr>
          <w:rFonts w:cstheme="minorHAnsi"/>
          <w:sz w:val="24"/>
          <w:szCs w:val="24"/>
          <w:lang w:val="en-GB"/>
        </w:rPr>
        <w:t xml:space="preserve"> and A</w:t>
      </w:r>
      <w:r w:rsidR="00D41579" w:rsidRPr="00954B89">
        <w:rPr>
          <w:rFonts w:cstheme="minorHAnsi"/>
          <w:sz w:val="24"/>
          <w:szCs w:val="24"/>
          <w:vertAlign w:val="subscript"/>
          <w:lang w:val="en-GB"/>
        </w:rPr>
        <w:t>465</w:t>
      </w:r>
      <w:r w:rsidR="00D41579" w:rsidRPr="00954B89">
        <w:rPr>
          <w:rFonts w:cstheme="minorHAnsi"/>
          <w:sz w:val="24"/>
          <w:szCs w:val="24"/>
          <w:lang w:val="en-GB"/>
        </w:rPr>
        <w:t>/A</w:t>
      </w:r>
      <w:r w:rsidR="00D41579" w:rsidRPr="00954B89">
        <w:rPr>
          <w:rFonts w:cstheme="minorHAnsi"/>
          <w:sz w:val="24"/>
          <w:szCs w:val="24"/>
          <w:vertAlign w:val="subscript"/>
          <w:lang w:val="en-GB"/>
        </w:rPr>
        <w:t>665</w:t>
      </w:r>
      <w:r w:rsidR="00D41579" w:rsidRPr="00954B89">
        <w:rPr>
          <w:rFonts w:cstheme="minorHAnsi"/>
          <w:sz w:val="24"/>
          <w:szCs w:val="24"/>
          <w:lang w:val="en-GB"/>
        </w:rPr>
        <w:t xml:space="preserve">, </w:t>
      </w:r>
      <w:r w:rsidR="00954B89" w:rsidRPr="00954B89">
        <w:rPr>
          <w:rFonts w:cstheme="minorHAnsi"/>
          <w:sz w:val="24"/>
          <w:szCs w:val="24"/>
          <w:lang w:val="en-GB"/>
        </w:rPr>
        <w:t>SUVA</w:t>
      </w:r>
      <w:r w:rsidR="00954B89" w:rsidRPr="00954B89">
        <w:rPr>
          <w:rFonts w:cstheme="minorHAnsi"/>
          <w:sz w:val="24"/>
          <w:szCs w:val="24"/>
          <w:vertAlign w:val="subscript"/>
          <w:lang w:val="en-GB"/>
        </w:rPr>
        <w:t>254</w:t>
      </w:r>
      <w:r w:rsidR="00954B89" w:rsidRPr="00954B89">
        <w:rPr>
          <w:rFonts w:cstheme="minorHAnsi"/>
          <w:sz w:val="24"/>
          <w:szCs w:val="24"/>
          <w:lang w:val="en-GB"/>
        </w:rPr>
        <w:t>, SUVA</w:t>
      </w:r>
      <w:r w:rsidR="00954B89" w:rsidRPr="00954B89">
        <w:rPr>
          <w:rFonts w:cstheme="minorHAnsi"/>
          <w:sz w:val="24"/>
          <w:szCs w:val="24"/>
          <w:vertAlign w:val="subscript"/>
          <w:lang w:val="en-GB"/>
        </w:rPr>
        <w:t>285</w:t>
      </w:r>
      <w:r w:rsidR="00D41579" w:rsidRPr="00954B89">
        <w:rPr>
          <w:rFonts w:cstheme="minorHAnsi"/>
          <w:sz w:val="24"/>
          <w:szCs w:val="24"/>
          <w:lang w:val="en-GB"/>
        </w:rPr>
        <w:t xml:space="preserve">and </w:t>
      </w:r>
      <w:r w:rsidR="00954B89" w:rsidRPr="00954B89">
        <w:rPr>
          <w:rFonts w:cstheme="minorHAnsi"/>
          <w:sz w:val="24"/>
          <w:szCs w:val="24"/>
          <w:lang w:val="en-GB"/>
        </w:rPr>
        <w:t>SCOA</w:t>
      </w:r>
      <w:r w:rsidR="00954B89" w:rsidRPr="00954B89">
        <w:rPr>
          <w:rFonts w:cstheme="minorHAnsi"/>
          <w:sz w:val="24"/>
          <w:szCs w:val="24"/>
          <w:vertAlign w:val="subscript"/>
          <w:lang w:val="en-GB"/>
        </w:rPr>
        <w:t>436</w:t>
      </w:r>
      <w:r w:rsidR="00954B89" w:rsidRPr="00954B89">
        <w:rPr>
          <w:rFonts w:cstheme="minorHAnsi"/>
          <w:sz w:val="24"/>
          <w:szCs w:val="24"/>
          <w:lang w:val="en-GB"/>
        </w:rPr>
        <w:t xml:space="preserve"> (L mg</w:t>
      </w:r>
      <w:r w:rsidR="00954B89" w:rsidRPr="00954B89">
        <w:rPr>
          <w:rFonts w:cstheme="minorHAnsi"/>
          <w:sz w:val="24"/>
          <w:szCs w:val="24"/>
          <w:vertAlign w:val="superscript"/>
          <w:lang w:val="en-GB"/>
        </w:rPr>
        <w:t>−1</w:t>
      </w:r>
      <w:r w:rsidR="00954B89" w:rsidRPr="00954B89">
        <w:rPr>
          <w:rFonts w:cstheme="minorHAnsi"/>
          <w:sz w:val="24"/>
          <w:szCs w:val="24"/>
          <w:lang w:val="en-GB"/>
        </w:rPr>
        <w:t xml:space="preserve"> m</w:t>
      </w:r>
      <w:r w:rsidR="00954B89" w:rsidRPr="00954B89">
        <w:rPr>
          <w:rFonts w:cstheme="minorHAnsi"/>
          <w:sz w:val="24"/>
          <w:szCs w:val="24"/>
          <w:vertAlign w:val="superscript"/>
          <w:lang w:val="en-GB"/>
        </w:rPr>
        <w:t>−1</w:t>
      </w:r>
      <w:r w:rsidR="00954B89" w:rsidRPr="00954B89">
        <w:rPr>
          <w:rFonts w:cstheme="minorHAnsi"/>
          <w:sz w:val="24"/>
          <w:szCs w:val="24"/>
          <w:lang w:val="en-GB"/>
        </w:rPr>
        <w:t xml:space="preserve">), and fluorescence index and freshness index. </w:t>
      </w:r>
      <w:r w:rsidR="00954B89">
        <w:rPr>
          <w:rFonts w:cstheme="minorHAnsi"/>
          <w:sz w:val="24"/>
          <w:szCs w:val="24"/>
          <w:lang w:val="en-GB"/>
        </w:rPr>
        <w:t>DOC and applied spectral parameters were used to characterize the humic content of</w:t>
      </w:r>
      <w:r w:rsidR="005B7E83">
        <w:rPr>
          <w:rFonts w:cstheme="minorHAnsi"/>
          <w:sz w:val="24"/>
          <w:szCs w:val="24"/>
          <w:lang w:val="en-GB"/>
        </w:rPr>
        <w:t xml:space="preserve"> the</w:t>
      </w:r>
      <w:r w:rsidR="00954B89">
        <w:rPr>
          <w:rFonts w:cstheme="minorHAnsi"/>
          <w:sz w:val="24"/>
          <w:szCs w:val="24"/>
          <w:lang w:val="en-GB"/>
        </w:rPr>
        <w:t xml:space="preserve"> studied lakes. </w:t>
      </w:r>
      <w:r w:rsidR="00284FA5">
        <w:rPr>
          <w:rFonts w:cstheme="minorHAnsi"/>
          <w:sz w:val="24"/>
          <w:szCs w:val="24"/>
          <w:lang w:val="en-GB"/>
        </w:rPr>
        <w:t>All analyse</w:t>
      </w:r>
      <w:r w:rsidR="00D41579" w:rsidRPr="00954B89">
        <w:rPr>
          <w:rFonts w:cstheme="minorHAnsi"/>
          <w:sz w:val="24"/>
          <w:szCs w:val="24"/>
          <w:lang w:val="en-GB"/>
        </w:rPr>
        <w:t xml:space="preserve">s were performed </w:t>
      </w:r>
      <w:r w:rsidRPr="00954B89">
        <w:rPr>
          <w:rFonts w:cstheme="minorHAnsi"/>
          <w:sz w:val="24"/>
          <w:szCs w:val="24"/>
          <w:lang w:val="en-GB"/>
        </w:rPr>
        <w:t>as described in</w:t>
      </w:r>
      <w:r w:rsidR="003832EF">
        <w:rPr>
          <w:rFonts w:cstheme="minorHAnsi"/>
          <w:sz w:val="24"/>
          <w:szCs w:val="24"/>
          <w:lang w:val="en-GB"/>
        </w:rPr>
        <w:t xml:space="preserve"> </w:t>
      </w:r>
      <w:r w:rsidR="007449E2" w:rsidRPr="00954B89">
        <w:rPr>
          <w:rFonts w:ascii="Times New Roman" w:hAnsi="Times New Roman" w:cs="Times New Roman"/>
          <w:sz w:val="24"/>
          <w:lang w:val="en-GB"/>
        </w:rPr>
        <w:t>[1]</w:t>
      </w:r>
      <w:r w:rsidRPr="00954B89">
        <w:rPr>
          <w:rFonts w:cstheme="minorHAnsi"/>
          <w:sz w:val="24"/>
          <w:szCs w:val="24"/>
          <w:lang w:val="en-GB"/>
        </w:rPr>
        <w:t xml:space="preserve"> using the same equipment and laboratory facilities.</w:t>
      </w:r>
    </w:p>
    <w:p w:rsidR="00F26FB1" w:rsidRPr="006F0F59" w:rsidRDefault="00F26FB1" w:rsidP="007449E2">
      <w:pPr>
        <w:spacing w:line="360" w:lineRule="auto"/>
        <w:contextualSpacing/>
        <w:jc w:val="both"/>
        <w:rPr>
          <w:rFonts w:cstheme="minorHAnsi"/>
          <w:i/>
          <w:sz w:val="24"/>
          <w:szCs w:val="24"/>
          <w:lang w:val="en-GB"/>
        </w:rPr>
      </w:pPr>
    </w:p>
    <w:p w:rsidR="00AB5E48" w:rsidRPr="006F0F59" w:rsidRDefault="00AB5E48" w:rsidP="007449E2">
      <w:pPr>
        <w:spacing w:line="360" w:lineRule="auto"/>
        <w:contextualSpacing/>
        <w:jc w:val="both"/>
        <w:rPr>
          <w:rFonts w:cstheme="minorHAnsi"/>
          <w:i/>
          <w:sz w:val="24"/>
          <w:szCs w:val="24"/>
          <w:lang w:val="en-GB"/>
        </w:rPr>
      </w:pPr>
      <w:r w:rsidRPr="006F0F59">
        <w:rPr>
          <w:rFonts w:cstheme="minorHAnsi"/>
          <w:i/>
          <w:sz w:val="24"/>
          <w:szCs w:val="24"/>
          <w:lang w:val="en-GB"/>
        </w:rPr>
        <w:t>RNA extraction and library preparation</w:t>
      </w:r>
    </w:p>
    <w:p w:rsidR="00AB5E48" w:rsidRPr="006F0F59" w:rsidRDefault="00AB5E48" w:rsidP="007449E2">
      <w:pPr>
        <w:spacing w:line="360" w:lineRule="auto"/>
        <w:contextualSpacing/>
        <w:jc w:val="both"/>
        <w:rPr>
          <w:rFonts w:cstheme="minorHAnsi"/>
          <w:sz w:val="24"/>
          <w:szCs w:val="24"/>
          <w:lang w:val="en-GB"/>
        </w:rPr>
      </w:pPr>
      <w:r w:rsidRPr="006F0F59">
        <w:rPr>
          <w:rFonts w:cstheme="minorHAnsi"/>
          <w:sz w:val="24"/>
          <w:szCs w:val="24"/>
          <w:lang w:val="en-GB"/>
        </w:rPr>
        <w:t xml:space="preserve">Total RNA was extracted from the </w:t>
      </w:r>
      <w:r w:rsidR="00046C37">
        <w:rPr>
          <w:rFonts w:cstheme="minorHAnsi"/>
          <w:sz w:val="24"/>
          <w:szCs w:val="24"/>
          <w:lang w:val="en-GB"/>
        </w:rPr>
        <w:t xml:space="preserve">frozen </w:t>
      </w:r>
      <w:r w:rsidRPr="006F0F59">
        <w:rPr>
          <w:rFonts w:cstheme="minorHAnsi"/>
          <w:sz w:val="24"/>
          <w:szCs w:val="24"/>
          <w:lang w:val="en-GB"/>
        </w:rPr>
        <w:t>homogenized eyeball (30 mg of tissue)</w:t>
      </w:r>
      <w:r w:rsidR="00704EFA">
        <w:rPr>
          <w:rFonts w:cstheme="minorHAnsi"/>
          <w:sz w:val="24"/>
          <w:szCs w:val="24"/>
          <w:lang w:val="en-GB"/>
        </w:rPr>
        <w:t xml:space="preserve"> of one </w:t>
      </w:r>
      <w:r w:rsidR="00704EFA" w:rsidRPr="00393B17">
        <w:rPr>
          <w:rFonts w:cstheme="minorHAnsi"/>
          <w:sz w:val="24"/>
          <w:szCs w:val="24"/>
          <w:lang w:val="en-GB"/>
        </w:rPr>
        <w:t>female</w:t>
      </w:r>
      <w:r w:rsidR="002531B3">
        <w:rPr>
          <w:rFonts w:cstheme="minorHAnsi"/>
          <w:sz w:val="24"/>
          <w:szCs w:val="24"/>
          <w:lang w:val="en-GB"/>
        </w:rPr>
        <w:t xml:space="preserve">perch </w:t>
      </w:r>
      <w:r w:rsidR="00704EFA">
        <w:rPr>
          <w:rFonts w:cstheme="minorHAnsi"/>
          <w:sz w:val="24"/>
          <w:szCs w:val="24"/>
          <w:lang w:val="en-GB"/>
        </w:rPr>
        <w:t>per lake sampled in 2016</w:t>
      </w:r>
      <w:r w:rsidRPr="006F0F59">
        <w:rPr>
          <w:rFonts w:cstheme="minorHAnsi"/>
          <w:sz w:val="24"/>
          <w:szCs w:val="24"/>
          <w:lang w:val="en-GB"/>
        </w:rPr>
        <w:t>, using NucleoSpin® RNA extraction kit (MACHEREY-NAGEL, Duren, Germany). The quality of the total RNA sample was evaluated using Bioanalyzer 2100 (Agilent) electrophoresis and sample concentration was measured with Nanodrop ND‐2000 (Thermo Scientific™). The library was prepared from 300 ng of total RNA according to Illumina TruSeq® Stranded mRNA Sample Preparation Guide (part no. 15031047) to generate a 300-bp insert size library. The library was sequenced using Illumina HiSeq 3000 (2 x 75 bp configuration, half a lane) in the Finnish Functional Genomics Centre (Turku, Finland).</w:t>
      </w:r>
    </w:p>
    <w:p w:rsidR="00B7212D" w:rsidRDefault="00B7212D" w:rsidP="007449E2">
      <w:pPr>
        <w:spacing w:line="360" w:lineRule="auto"/>
        <w:contextualSpacing/>
        <w:jc w:val="both"/>
        <w:rPr>
          <w:rFonts w:cstheme="minorHAnsi"/>
          <w:i/>
          <w:sz w:val="24"/>
          <w:szCs w:val="24"/>
          <w:lang w:val="en-GB"/>
        </w:rPr>
      </w:pPr>
    </w:p>
    <w:p w:rsidR="00AB5E48" w:rsidRPr="006F0F59" w:rsidRDefault="00AB5E48" w:rsidP="007449E2">
      <w:pPr>
        <w:spacing w:line="360" w:lineRule="auto"/>
        <w:contextualSpacing/>
        <w:jc w:val="both"/>
        <w:rPr>
          <w:rFonts w:cstheme="minorHAnsi"/>
          <w:i/>
          <w:sz w:val="24"/>
          <w:szCs w:val="24"/>
          <w:lang w:val="en-GB"/>
        </w:rPr>
      </w:pPr>
      <w:r w:rsidRPr="006F0F59">
        <w:rPr>
          <w:rFonts w:cstheme="minorHAnsi"/>
          <w:i/>
          <w:sz w:val="24"/>
          <w:szCs w:val="24"/>
          <w:lang w:val="en-GB"/>
        </w:rPr>
        <w:t>Read quality</w:t>
      </w:r>
    </w:p>
    <w:p w:rsidR="00AB5E48" w:rsidRPr="006F0F59" w:rsidRDefault="00AB5E48" w:rsidP="007449E2">
      <w:pPr>
        <w:spacing w:line="360" w:lineRule="auto"/>
        <w:contextualSpacing/>
        <w:jc w:val="both"/>
        <w:rPr>
          <w:rFonts w:cstheme="minorHAnsi"/>
          <w:sz w:val="24"/>
          <w:szCs w:val="24"/>
          <w:lang w:val="en-GB"/>
        </w:rPr>
      </w:pPr>
      <w:r w:rsidRPr="006F0F59">
        <w:rPr>
          <w:rFonts w:cstheme="minorHAnsi"/>
          <w:sz w:val="24"/>
          <w:szCs w:val="24"/>
          <w:lang w:val="en-GB"/>
        </w:rPr>
        <w:lastRenderedPageBreak/>
        <w:t xml:space="preserve">Sequencing data were sorted by individual and trimmed </w:t>
      </w:r>
      <w:r w:rsidR="00046C37">
        <w:rPr>
          <w:rFonts w:cstheme="minorHAnsi"/>
          <w:sz w:val="24"/>
          <w:szCs w:val="24"/>
          <w:lang w:val="en-GB"/>
        </w:rPr>
        <w:t>removing</w:t>
      </w:r>
      <w:r w:rsidRPr="006F0F59">
        <w:rPr>
          <w:rFonts w:cstheme="minorHAnsi"/>
          <w:sz w:val="24"/>
          <w:szCs w:val="24"/>
          <w:lang w:val="en-GB"/>
        </w:rPr>
        <w:t>indexing adaptors at the sequencing facility. Reads quality was examined using FastQC v</w:t>
      </w:r>
      <w:r w:rsidR="00F26F21" w:rsidRPr="006F0F59">
        <w:rPr>
          <w:rFonts w:cstheme="minorHAnsi"/>
          <w:sz w:val="24"/>
          <w:szCs w:val="24"/>
          <w:lang w:val="en-GB"/>
        </w:rPr>
        <w:t xml:space="preserve">er. </w:t>
      </w:r>
      <w:r w:rsidRPr="006F0F59">
        <w:rPr>
          <w:rFonts w:cstheme="minorHAnsi"/>
          <w:sz w:val="24"/>
          <w:szCs w:val="24"/>
          <w:lang w:val="en-GB"/>
        </w:rPr>
        <w:t>0.11.8</w:t>
      </w:r>
      <w:r w:rsidR="000C348A" w:rsidRPr="00157F85">
        <w:rPr>
          <w:rFonts w:ascii="Times New Roman" w:hAnsi="Times New Roman" w:cs="Times New Roman"/>
          <w:sz w:val="24"/>
          <w:lang w:val="en-GB"/>
        </w:rPr>
        <w:t>[2]</w:t>
      </w:r>
      <w:r w:rsidRPr="006F0F59">
        <w:rPr>
          <w:rFonts w:cstheme="minorHAnsi"/>
          <w:sz w:val="24"/>
          <w:szCs w:val="24"/>
          <w:lang w:val="en-GB"/>
        </w:rPr>
        <w:t xml:space="preserve"> and quality trimming was performed using Trimmomatic v</w:t>
      </w:r>
      <w:r w:rsidR="00F26F21" w:rsidRPr="006F0F59">
        <w:rPr>
          <w:rFonts w:cstheme="minorHAnsi"/>
          <w:sz w:val="24"/>
          <w:szCs w:val="24"/>
          <w:lang w:val="en-GB"/>
        </w:rPr>
        <w:t>er</w:t>
      </w:r>
      <w:r w:rsidRPr="006F0F59">
        <w:rPr>
          <w:rFonts w:cstheme="minorHAnsi"/>
          <w:sz w:val="24"/>
          <w:szCs w:val="24"/>
          <w:lang w:val="en-GB"/>
        </w:rPr>
        <w:t xml:space="preserve">.0.35 </w:t>
      </w:r>
      <w:r w:rsidR="000C348A" w:rsidRPr="00157F85">
        <w:rPr>
          <w:rFonts w:ascii="Times New Roman" w:hAnsi="Times New Roman" w:cs="Times New Roman"/>
          <w:sz w:val="24"/>
          <w:lang w:val="en-GB"/>
        </w:rPr>
        <w:t>[3]</w:t>
      </w:r>
      <w:r w:rsidRPr="006F0F59">
        <w:rPr>
          <w:rFonts w:cstheme="minorHAnsi"/>
          <w:sz w:val="24"/>
          <w:szCs w:val="24"/>
          <w:lang w:val="en-GB"/>
        </w:rPr>
        <w:t xml:space="preserve">with the following parameters: ILLUMINACLIP:/appl/bio/trimmomatic/adapters/TruSeq3-PE.fa:2:30:10 SLIDINGWINDOW:5:25 MINLEN:50. Reads less than 50 bp length and the average quality below 25 within a </w:t>
      </w:r>
      <w:r w:rsidRPr="006F0F59">
        <w:rPr>
          <w:rFonts w:eastAsia="Times New Roman" w:cstheme="minorHAnsi"/>
          <w:sz w:val="24"/>
          <w:szCs w:val="24"/>
          <w:lang w:val="en-GB"/>
        </w:rPr>
        <w:t xml:space="preserve">window of five nucleotides </w:t>
      </w:r>
      <w:r w:rsidRPr="006F0F59">
        <w:rPr>
          <w:rFonts w:cstheme="minorHAnsi"/>
          <w:sz w:val="24"/>
          <w:szCs w:val="24"/>
          <w:lang w:val="en-GB"/>
        </w:rPr>
        <w:t xml:space="preserve">were excluded from the dataset. </w:t>
      </w:r>
    </w:p>
    <w:p w:rsidR="004D24AF" w:rsidRPr="006F0F59" w:rsidRDefault="004D24AF" w:rsidP="007449E2">
      <w:pPr>
        <w:spacing w:line="360" w:lineRule="auto"/>
        <w:contextualSpacing/>
        <w:jc w:val="both"/>
        <w:rPr>
          <w:rFonts w:cstheme="minorHAnsi"/>
          <w:i/>
          <w:sz w:val="24"/>
          <w:szCs w:val="24"/>
          <w:lang w:val="en-GB"/>
        </w:rPr>
      </w:pPr>
    </w:p>
    <w:p w:rsidR="00AB5E48" w:rsidRPr="006F0F59" w:rsidRDefault="00AB5E48" w:rsidP="007449E2">
      <w:pPr>
        <w:spacing w:line="360" w:lineRule="auto"/>
        <w:contextualSpacing/>
        <w:jc w:val="both"/>
        <w:rPr>
          <w:rFonts w:cstheme="minorHAnsi"/>
          <w:i/>
          <w:sz w:val="24"/>
          <w:szCs w:val="24"/>
          <w:lang w:val="en-GB"/>
        </w:rPr>
      </w:pPr>
      <w:r w:rsidRPr="006F0F59">
        <w:rPr>
          <w:rFonts w:cstheme="minorHAnsi"/>
          <w:i/>
          <w:sz w:val="24"/>
          <w:szCs w:val="24"/>
          <w:lang w:val="en-GB"/>
        </w:rPr>
        <w:t>Read mapping</w:t>
      </w:r>
    </w:p>
    <w:p w:rsidR="00AB5E48" w:rsidRPr="006F0F59" w:rsidRDefault="00AB5E48" w:rsidP="007449E2">
      <w:pPr>
        <w:tabs>
          <w:tab w:val="left" w:pos="960"/>
          <w:tab w:val="left" w:pos="1920"/>
          <w:tab w:val="left" w:pos="2880"/>
          <w:tab w:val="left" w:pos="3840"/>
          <w:tab w:val="left" w:pos="4800"/>
          <w:tab w:val="left" w:pos="5760"/>
          <w:tab w:val="left" w:pos="6720"/>
          <w:tab w:val="left" w:pos="7680"/>
          <w:tab w:val="left" w:pos="8640"/>
          <w:tab w:val="left" w:pos="9600"/>
          <w:tab w:val="left" w:pos="10560"/>
          <w:tab w:val="left" w:pos="11520"/>
          <w:tab w:val="left" w:pos="12480"/>
          <w:tab w:val="left" w:pos="13440"/>
          <w:tab w:val="left" w:pos="14400"/>
          <w:tab w:val="left" w:pos="15360"/>
          <w:tab w:val="left" w:pos="16320"/>
          <w:tab w:val="left" w:pos="17280"/>
          <w:tab w:val="left" w:pos="18240"/>
          <w:tab w:val="left" w:pos="19200"/>
          <w:tab w:val="left" w:pos="20160"/>
          <w:tab w:val="left" w:pos="21120"/>
          <w:tab w:val="left" w:pos="22080"/>
          <w:tab w:val="left" w:pos="23040"/>
          <w:tab w:val="left" w:pos="24000"/>
          <w:tab w:val="left" w:pos="24960"/>
          <w:tab w:val="left" w:pos="25920"/>
          <w:tab w:val="left" w:pos="26880"/>
          <w:tab w:val="left" w:pos="27840"/>
          <w:tab w:val="left" w:pos="28800"/>
          <w:tab w:val="left" w:pos="29760"/>
          <w:tab w:val="left" w:pos="30720"/>
        </w:tabs>
        <w:autoSpaceDE w:val="0"/>
        <w:autoSpaceDN w:val="0"/>
        <w:adjustRightInd w:val="0"/>
        <w:spacing w:after="0" w:line="360" w:lineRule="auto"/>
        <w:contextualSpacing/>
        <w:jc w:val="both"/>
        <w:rPr>
          <w:rFonts w:cstheme="minorHAnsi"/>
          <w:sz w:val="24"/>
          <w:szCs w:val="24"/>
          <w:lang w:val="en-GB"/>
        </w:rPr>
      </w:pPr>
      <w:r w:rsidRPr="006F0F59">
        <w:rPr>
          <w:rFonts w:cstheme="minorHAnsi"/>
          <w:sz w:val="24"/>
          <w:szCs w:val="24"/>
          <w:lang w:val="en-GB"/>
        </w:rPr>
        <w:t>The reads</w:t>
      </w:r>
      <w:r w:rsidR="00B7212D">
        <w:rPr>
          <w:rFonts w:cstheme="minorHAnsi"/>
          <w:sz w:val="24"/>
          <w:szCs w:val="24"/>
          <w:lang w:val="en-GB"/>
        </w:rPr>
        <w:t xml:space="preserve">that </w:t>
      </w:r>
      <w:r w:rsidR="00F26F21" w:rsidRPr="006F0F59">
        <w:rPr>
          <w:rFonts w:cstheme="minorHAnsi"/>
          <w:sz w:val="24"/>
          <w:szCs w:val="24"/>
          <w:lang w:val="en-GB"/>
        </w:rPr>
        <w:t>passed the quality control</w:t>
      </w:r>
      <w:r w:rsidRPr="006F0F59">
        <w:rPr>
          <w:rFonts w:cstheme="minorHAnsi"/>
          <w:sz w:val="24"/>
          <w:szCs w:val="24"/>
          <w:lang w:val="en-GB"/>
        </w:rPr>
        <w:t xml:space="preserve"> were mapped on the reference genome of </w:t>
      </w:r>
      <w:r w:rsidRPr="006F0F59">
        <w:rPr>
          <w:rFonts w:cstheme="minorHAnsi"/>
          <w:i/>
          <w:sz w:val="24"/>
          <w:szCs w:val="24"/>
          <w:lang w:val="en-GB"/>
        </w:rPr>
        <w:t>Perca</w:t>
      </w:r>
      <w:r w:rsidR="003832EF">
        <w:rPr>
          <w:rFonts w:cstheme="minorHAnsi"/>
          <w:i/>
          <w:sz w:val="24"/>
          <w:szCs w:val="24"/>
          <w:lang w:val="en-GB"/>
        </w:rPr>
        <w:t xml:space="preserve"> </w:t>
      </w:r>
      <w:r w:rsidRPr="006F0F59">
        <w:rPr>
          <w:rFonts w:cstheme="minorHAnsi"/>
          <w:i/>
          <w:sz w:val="24"/>
          <w:szCs w:val="24"/>
          <w:lang w:val="en-GB"/>
        </w:rPr>
        <w:t>fluviatilis</w:t>
      </w:r>
      <w:r w:rsidRPr="006F0F59">
        <w:rPr>
          <w:rFonts w:cstheme="minorHAnsi"/>
          <w:sz w:val="24"/>
          <w:szCs w:val="24"/>
          <w:lang w:val="en-GB"/>
        </w:rPr>
        <w:t xml:space="preserve"> (</w:t>
      </w:r>
      <w:r w:rsidR="000C348A" w:rsidRPr="00157F85">
        <w:rPr>
          <w:rFonts w:ascii="Times New Roman" w:hAnsi="Times New Roman" w:cs="Times New Roman"/>
          <w:sz w:val="24"/>
          <w:lang w:val="en-GB"/>
        </w:rPr>
        <w:t>[4]</w:t>
      </w:r>
      <w:r w:rsidR="00F26F21" w:rsidRPr="006F0F59">
        <w:rPr>
          <w:rFonts w:cstheme="minorHAnsi"/>
          <w:sz w:val="24"/>
          <w:szCs w:val="24"/>
          <w:lang w:val="en-GB"/>
        </w:rPr>
        <w:t xml:space="preserve">; </w:t>
      </w:r>
      <w:r w:rsidR="00F26F21" w:rsidRPr="006F0F59">
        <w:rPr>
          <w:rFonts w:cstheme="minorHAnsi"/>
          <w:sz w:val="24"/>
          <w:szCs w:val="24"/>
          <w:lang w:val="en-US"/>
        </w:rPr>
        <w:t>GCA_003412525.1</w:t>
      </w:r>
      <w:r w:rsidRPr="006F0F59">
        <w:rPr>
          <w:rFonts w:cstheme="minorHAnsi"/>
          <w:sz w:val="24"/>
          <w:szCs w:val="24"/>
          <w:lang w:val="en-GB"/>
        </w:rPr>
        <w:t>) using hisat2 ver.2.1.0</w:t>
      </w:r>
      <w:r w:rsidR="000C348A" w:rsidRPr="00157F85">
        <w:rPr>
          <w:rFonts w:ascii="Times New Roman" w:hAnsi="Times New Roman" w:cs="Times New Roman"/>
          <w:sz w:val="24"/>
          <w:lang w:val="en-GB"/>
        </w:rPr>
        <w:t>[5]</w:t>
      </w:r>
      <w:r w:rsidRPr="006F0F59">
        <w:rPr>
          <w:rFonts w:cstheme="minorHAnsi"/>
          <w:sz w:val="24"/>
          <w:szCs w:val="24"/>
          <w:lang w:val="en-GB"/>
        </w:rPr>
        <w:t xml:space="preserve"> with default parameters. The sam files were processed with samtoolsver.1.4</w:t>
      </w:r>
      <w:r w:rsidR="000C348A" w:rsidRPr="00157F85">
        <w:rPr>
          <w:rFonts w:ascii="Times New Roman" w:hAnsi="Times New Roman" w:cs="Times New Roman"/>
          <w:sz w:val="24"/>
          <w:lang w:val="en-GB"/>
        </w:rPr>
        <w:t>[6]</w:t>
      </w:r>
      <w:r w:rsidRPr="006F0F59">
        <w:rPr>
          <w:rFonts w:cstheme="minorHAnsi"/>
          <w:sz w:val="24"/>
          <w:szCs w:val="24"/>
          <w:lang w:val="en-GB"/>
        </w:rPr>
        <w:t xml:space="preserve">. The only mapped (primary aligned) reads were extracted to bam-files for </w:t>
      </w:r>
      <w:r w:rsidR="00B7212D">
        <w:rPr>
          <w:rFonts w:cstheme="minorHAnsi"/>
          <w:sz w:val="24"/>
          <w:szCs w:val="24"/>
          <w:lang w:val="en-GB"/>
        </w:rPr>
        <w:t>subsequent</w:t>
      </w:r>
      <w:r w:rsidRPr="006F0F59">
        <w:rPr>
          <w:rFonts w:cstheme="minorHAnsi"/>
          <w:sz w:val="24"/>
          <w:szCs w:val="24"/>
          <w:lang w:val="en-GB"/>
        </w:rPr>
        <w:t xml:space="preserve">differential expression analyses (-F 260). </w:t>
      </w:r>
    </w:p>
    <w:p w:rsidR="00AB5E48" w:rsidRPr="006F0F59" w:rsidRDefault="00AB5E48" w:rsidP="007449E2">
      <w:pPr>
        <w:spacing w:line="360" w:lineRule="auto"/>
        <w:contextualSpacing/>
        <w:jc w:val="both"/>
        <w:rPr>
          <w:rFonts w:cstheme="minorHAnsi"/>
          <w:sz w:val="24"/>
          <w:szCs w:val="24"/>
          <w:lang w:val="en-GB"/>
        </w:rPr>
      </w:pPr>
    </w:p>
    <w:p w:rsidR="00AB5E48" w:rsidRPr="006F0F59" w:rsidRDefault="00AB5E48" w:rsidP="007449E2">
      <w:pPr>
        <w:spacing w:line="360" w:lineRule="auto"/>
        <w:contextualSpacing/>
        <w:jc w:val="both"/>
        <w:rPr>
          <w:rFonts w:cstheme="minorHAnsi"/>
          <w:i/>
          <w:sz w:val="24"/>
          <w:szCs w:val="24"/>
          <w:lang w:val="en-GB"/>
        </w:rPr>
      </w:pPr>
      <w:r w:rsidRPr="006F0F59">
        <w:rPr>
          <w:rFonts w:cstheme="minorHAnsi"/>
          <w:i/>
          <w:sz w:val="24"/>
          <w:szCs w:val="24"/>
          <w:lang w:val="en-GB"/>
        </w:rPr>
        <w:t>Differential expression analysis for sequence count data</w:t>
      </w:r>
    </w:p>
    <w:p w:rsidR="00AB5E48" w:rsidRPr="006F0F59" w:rsidRDefault="00AB5E48" w:rsidP="007449E2">
      <w:pPr>
        <w:spacing w:line="360" w:lineRule="auto"/>
        <w:contextualSpacing/>
        <w:jc w:val="both"/>
        <w:rPr>
          <w:rFonts w:cstheme="minorHAnsi"/>
          <w:sz w:val="24"/>
          <w:szCs w:val="24"/>
          <w:lang w:val="en-GB"/>
        </w:rPr>
      </w:pPr>
      <w:r w:rsidRPr="006F0F59">
        <w:rPr>
          <w:rFonts w:cstheme="minorHAnsi"/>
          <w:sz w:val="24"/>
          <w:szCs w:val="24"/>
          <w:lang w:val="en-GB"/>
        </w:rPr>
        <w:t>The ranges for genomic features of different types were generated from the gff file containing perch reference genome annotation records using the function makeTxDbFromGFF from the GenomicFeatures package v</w:t>
      </w:r>
      <w:r w:rsidR="00660441">
        <w:rPr>
          <w:rFonts w:cstheme="minorHAnsi"/>
          <w:sz w:val="24"/>
          <w:szCs w:val="24"/>
          <w:lang w:val="en-GB"/>
        </w:rPr>
        <w:t>er</w:t>
      </w:r>
      <w:r w:rsidRPr="006F0F59">
        <w:rPr>
          <w:rFonts w:cstheme="minorHAnsi"/>
          <w:sz w:val="24"/>
          <w:szCs w:val="24"/>
          <w:lang w:val="en-GB"/>
        </w:rPr>
        <w:t>.3.8</w:t>
      </w:r>
      <w:r w:rsidR="000C348A" w:rsidRPr="00157F85">
        <w:rPr>
          <w:rFonts w:ascii="Times New Roman" w:hAnsi="Times New Roman" w:cs="Times New Roman"/>
          <w:sz w:val="24"/>
          <w:lang w:val="en-GB"/>
        </w:rPr>
        <w:t>[7]</w:t>
      </w:r>
      <w:r w:rsidRPr="006F0F59">
        <w:rPr>
          <w:rFonts w:cstheme="minorHAnsi"/>
          <w:sz w:val="24"/>
          <w:szCs w:val="24"/>
          <w:lang w:val="en-GB"/>
        </w:rPr>
        <w:t xml:space="preserve"> in R 3.3.4</w:t>
      </w:r>
      <w:r w:rsidR="000C348A" w:rsidRPr="00157F85">
        <w:rPr>
          <w:rFonts w:ascii="Times New Roman" w:hAnsi="Times New Roman" w:cs="Times New Roman"/>
          <w:sz w:val="24"/>
          <w:lang w:val="en-GB"/>
        </w:rPr>
        <w:t>[8]</w:t>
      </w:r>
      <w:r w:rsidRPr="006F0F59">
        <w:rPr>
          <w:rFonts w:cstheme="minorHAnsi"/>
          <w:sz w:val="24"/>
          <w:szCs w:val="24"/>
          <w:lang w:val="en-GB"/>
        </w:rPr>
        <w:t xml:space="preserve">. Further, the overlapping of reads with annotation ranges of interest were counted for each sample using the </w:t>
      </w:r>
      <w:r w:rsidRPr="006F0F59">
        <w:rPr>
          <w:rStyle w:val="HTMLCode"/>
          <w:rFonts w:asciiTheme="minorHAnsi" w:eastAsiaTheme="majorEastAsia" w:hAnsiTheme="minorHAnsi" w:cstheme="minorHAnsi"/>
          <w:sz w:val="24"/>
          <w:szCs w:val="24"/>
          <w:lang w:val="en-GB"/>
        </w:rPr>
        <w:t>summarizeOverlaps</w:t>
      </w:r>
      <w:r w:rsidRPr="006F0F59">
        <w:rPr>
          <w:rFonts w:cstheme="minorHAnsi"/>
          <w:sz w:val="24"/>
          <w:szCs w:val="24"/>
          <w:lang w:val="en-GB"/>
        </w:rPr>
        <w:t xml:space="preserve"> function of the GenomicAlignments package v</w:t>
      </w:r>
      <w:r w:rsidR="00660441">
        <w:rPr>
          <w:rFonts w:cstheme="minorHAnsi"/>
          <w:sz w:val="24"/>
          <w:szCs w:val="24"/>
          <w:lang w:val="en-GB"/>
        </w:rPr>
        <w:t>er</w:t>
      </w:r>
      <w:r w:rsidRPr="006F0F59">
        <w:rPr>
          <w:rFonts w:cstheme="minorHAnsi"/>
          <w:sz w:val="24"/>
          <w:szCs w:val="24"/>
          <w:lang w:val="en-GB"/>
        </w:rPr>
        <w:t>.3.8</w:t>
      </w:r>
      <w:r w:rsidR="000C348A" w:rsidRPr="00157F85">
        <w:rPr>
          <w:rFonts w:ascii="Times New Roman" w:hAnsi="Times New Roman" w:cs="Times New Roman"/>
          <w:sz w:val="24"/>
          <w:lang w:val="en-GB"/>
        </w:rPr>
        <w:t>[7]</w:t>
      </w:r>
      <w:r w:rsidR="007449E2">
        <w:rPr>
          <w:rFonts w:cstheme="minorHAnsi"/>
          <w:sz w:val="24"/>
          <w:szCs w:val="24"/>
          <w:lang w:val="en-GB"/>
        </w:rPr>
        <w:t>.</w:t>
      </w:r>
      <w:r w:rsidRPr="006F0F59">
        <w:rPr>
          <w:rFonts w:cstheme="minorHAnsi"/>
          <w:sz w:val="24"/>
          <w:szCs w:val="24"/>
          <w:lang w:val="en-GB"/>
        </w:rPr>
        <w:t xml:space="preserve"> The read counting was performed for exonic gene regions in a non-strand-specific manner while ignoring overlaps among different genes and the results were stored in the raw read count table.Differential expression analysis was performed using the DEseq2 package v</w:t>
      </w:r>
      <w:r w:rsidR="00432E9B" w:rsidRPr="006F0F59">
        <w:rPr>
          <w:rFonts w:cstheme="minorHAnsi"/>
          <w:sz w:val="24"/>
          <w:szCs w:val="24"/>
          <w:lang w:val="en-GB"/>
        </w:rPr>
        <w:t>er</w:t>
      </w:r>
      <w:r w:rsidRPr="006F0F59">
        <w:rPr>
          <w:rFonts w:cstheme="minorHAnsi"/>
          <w:sz w:val="24"/>
          <w:szCs w:val="24"/>
          <w:lang w:val="en-GB"/>
        </w:rPr>
        <w:t>.1.22.2</w:t>
      </w:r>
      <w:r w:rsidR="000C348A" w:rsidRPr="00157F85">
        <w:rPr>
          <w:rFonts w:ascii="Times New Roman" w:hAnsi="Times New Roman" w:cs="Times New Roman"/>
          <w:sz w:val="24"/>
          <w:lang w:val="en-GB"/>
        </w:rPr>
        <w:t>[9]</w:t>
      </w:r>
      <w:r w:rsidR="007449E2">
        <w:rPr>
          <w:rFonts w:cstheme="minorHAnsi"/>
          <w:sz w:val="24"/>
          <w:szCs w:val="24"/>
          <w:lang w:val="en-GB"/>
        </w:rPr>
        <w:t xml:space="preserve">. </w:t>
      </w:r>
      <w:r w:rsidRPr="006F0F59">
        <w:rPr>
          <w:rFonts w:cstheme="minorHAnsi"/>
          <w:sz w:val="24"/>
          <w:szCs w:val="24"/>
          <w:lang w:val="en-GB"/>
        </w:rPr>
        <w:t>Fold changes (FC) in the abundance of perch transcripts between two groups of lakes (</w:t>
      </w:r>
      <w:r w:rsidR="00F86A0A" w:rsidRPr="006F0F59">
        <w:rPr>
          <w:rFonts w:cstheme="minorHAnsi"/>
          <w:sz w:val="24"/>
          <w:szCs w:val="24"/>
          <w:lang w:val="en-GB"/>
        </w:rPr>
        <w:t>humic</w:t>
      </w:r>
      <w:r w:rsidRPr="006F0F59">
        <w:rPr>
          <w:rFonts w:cstheme="minorHAnsi"/>
          <w:sz w:val="24"/>
          <w:szCs w:val="24"/>
          <w:lang w:val="en-GB"/>
        </w:rPr>
        <w:t xml:space="preserve"> vs. clear</w:t>
      </w:r>
      <w:r w:rsidR="00F86A0A" w:rsidRPr="006F0F59">
        <w:rPr>
          <w:rFonts w:cstheme="minorHAnsi"/>
          <w:sz w:val="24"/>
          <w:szCs w:val="24"/>
          <w:lang w:val="en-GB"/>
        </w:rPr>
        <w:t>-water</w:t>
      </w:r>
      <w:r w:rsidRPr="006F0F59">
        <w:rPr>
          <w:rFonts w:cstheme="minorHAnsi"/>
          <w:sz w:val="24"/>
          <w:szCs w:val="24"/>
          <w:lang w:val="en-GB"/>
        </w:rPr>
        <w:t xml:space="preserve">) were determined. All genes with an adjusted </w:t>
      </w:r>
      <w:r w:rsidRPr="006F0F59">
        <w:rPr>
          <w:rStyle w:val="Emphasis"/>
          <w:rFonts w:eastAsiaTheme="majorEastAsia" w:cstheme="minorHAnsi"/>
          <w:sz w:val="24"/>
          <w:szCs w:val="24"/>
          <w:lang w:val="en-GB"/>
        </w:rPr>
        <w:t>p</w:t>
      </w:r>
      <w:r w:rsidRPr="006F0F59">
        <w:rPr>
          <w:rFonts w:cstheme="minorHAnsi"/>
          <w:sz w:val="24"/>
          <w:szCs w:val="24"/>
          <w:lang w:val="en-GB"/>
        </w:rPr>
        <w:t>-value &lt; 0.05</w:t>
      </w:r>
      <w:r w:rsidR="000C348A" w:rsidRPr="00157F85">
        <w:rPr>
          <w:rFonts w:ascii="Times New Roman" w:hAnsi="Times New Roman" w:cs="Times New Roman"/>
          <w:sz w:val="24"/>
          <w:lang w:val="en-GB"/>
        </w:rPr>
        <w:t>[10]</w:t>
      </w:r>
      <w:r w:rsidRPr="006F0F59">
        <w:rPr>
          <w:rFonts w:cstheme="minorHAnsi"/>
          <w:sz w:val="24"/>
          <w:szCs w:val="24"/>
          <w:lang w:val="en-GB"/>
        </w:rPr>
        <w:t xml:space="preserve"> were considered as significantly differentially expressed between two </w:t>
      </w:r>
      <w:r w:rsidR="00B7212D">
        <w:rPr>
          <w:rFonts w:cstheme="minorHAnsi"/>
          <w:sz w:val="24"/>
          <w:szCs w:val="24"/>
          <w:lang w:val="en-GB"/>
        </w:rPr>
        <w:t>type</w:t>
      </w:r>
      <w:r w:rsidR="002F2F3D">
        <w:rPr>
          <w:rFonts w:cstheme="minorHAnsi"/>
          <w:sz w:val="24"/>
          <w:szCs w:val="24"/>
          <w:lang w:val="en-GB"/>
        </w:rPr>
        <w:t>s</w:t>
      </w:r>
      <w:r w:rsidRPr="006F0F59">
        <w:rPr>
          <w:rFonts w:cstheme="minorHAnsi"/>
          <w:sz w:val="24"/>
          <w:szCs w:val="24"/>
          <w:lang w:val="en-GB"/>
        </w:rPr>
        <w:t xml:space="preserve"> of lakes.</w:t>
      </w:r>
    </w:p>
    <w:p w:rsidR="00454ECD" w:rsidRPr="006F0F59" w:rsidRDefault="00AB5E48" w:rsidP="007449E2">
      <w:pPr>
        <w:pStyle w:val="ListParagraph"/>
        <w:spacing w:line="360" w:lineRule="auto"/>
        <w:ind w:left="0"/>
        <w:jc w:val="both"/>
        <w:rPr>
          <w:rFonts w:cstheme="minorHAnsi"/>
          <w:i/>
          <w:sz w:val="24"/>
          <w:szCs w:val="24"/>
          <w:lang w:val="en-GB"/>
        </w:rPr>
      </w:pPr>
      <w:r w:rsidRPr="006F0F59">
        <w:rPr>
          <w:rFonts w:cstheme="minorHAnsi"/>
          <w:i/>
          <w:sz w:val="24"/>
          <w:szCs w:val="24"/>
          <w:lang w:val="en-GB"/>
        </w:rPr>
        <w:t>Gene Ontology (GO) analysis</w:t>
      </w:r>
    </w:p>
    <w:p w:rsidR="00AB5E48" w:rsidRPr="006F0F59" w:rsidRDefault="00AB5E48" w:rsidP="007449E2">
      <w:pPr>
        <w:pStyle w:val="ListParagraph"/>
        <w:spacing w:line="360" w:lineRule="auto"/>
        <w:ind w:left="0"/>
        <w:jc w:val="both"/>
        <w:rPr>
          <w:rFonts w:cstheme="minorHAnsi"/>
          <w:sz w:val="24"/>
          <w:szCs w:val="24"/>
          <w:lang w:val="en-GB"/>
        </w:rPr>
      </w:pPr>
      <w:r w:rsidRPr="006F0F59">
        <w:rPr>
          <w:rFonts w:cstheme="minorHAnsi"/>
          <w:sz w:val="24"/>
          <w:szCs w:val="24"/>
          <w:lang w:val="en-GB"/>
        </w:rPr>
        <w:t xml:space="preserve">Human </w:t>
      </w:r>
      <w:r w:rsidR="00CC2FD0" w:rsidRPr="006F0F59">
        <w:rPr>
          <w:rFonts w:cstheme="minorHAnsi"/>
          <w:sz w:val="24"/>
          <w:szCs w:val="24"/>
          <w:lang w:val="en-GB"/>
        </w:rPr>
        <w:t>orthologue</w:t>
      </w:r>
      <w:r w:rsidRPr="006F0F59">
        <w:rPr>
          <w:rFonts w:cstheme="minorHAnsi"/>
          <w:sz w:val="24"/>
          <w:szCs w:val="24"/>
          <w:lang w:val="en-GB"/>
        </w:rPr>
        <w:t xml:space="preserve"> gene symbols were searched using complete gene names in NCBI</w:t>
      </w:r>
      <w:r w:rsidR="00013D77">
        <w:rPr>
          <w:rFonts w:cstheme="minorHAnsi"/>
          <w:sz w:val="24"/>
          <w:szCs w:val="24"/>
          <w:lang w:val="en-GB"/>
        </w:rPr>
        <w:t xml:space="preserve">. </w:t>
      </w:r>
      <w:r w:rsidRPr="006F0F59">
        <w:rPr>
          <w:rFonts w:cstheme="minorHAnsi"/>
          <w:sz w:val="24"/>
          <w:szCs w:val="24"/>
          <w:lang w:val="en-GB"/>
        </w:rPr>
        <w:t xml:space="preserve">GO-enrichment analysis of differentially expressed genes against all </w:t>
      </w:r>
      <w:r w:rsidR="00CC2FD0" w:rsidRPr="006F0F59">
        <w:rPr>
          <w:rFonts w:cstheme="minorHAnsi"/>
          <w:sz w:val="24"/>
          <w:szCs w:val="24"/>
          <w:lang w:val="en-GB"/>
        </w:rPr>
        <w:t>orthologue</w:t>
      </w:r>
      <w:r w:rsidRPr="006F0F59">
        <w:rPr>
          <w:rFonts w:cstheme="minorHAnsi"/>
          <w:sz w:val="24"/>
          <w:szCs w:val="24"/>
          <w:lang w:val="en-GB"/>
        </w:rPr>
        <w:t xml:space="preserve"> genes symbols as a background was performed using Gorilla (</w:t>
      </w:r>
      <w:r w:rsidR="000C348A" w:rsidRPr="00157F85">
        <w:rPr>
          <w:rFonts w:ascii="Times New Roman" w:hAnsi="Times New Roman" w:cs="Times New Roman"/>
          <w:sz w:val="24"/>
          <w:lang w:val="en-GB"/>
        </w:rPr>
        <w:t>[11]</w:t>
      </w:r>
      <w:r w:rsidRPr="006F0F59">
        <w:rPr>
          <w:rFonts w:cstheme="minorHAnsi"/>
          <w:sz w:val="24"/>
          <w:szCs w:val="24"/>
          <w:lang w:val="en-GB"/>
        </w:rPr>
        <w:t>; http://cbl-gorilla.cs.technion.ac.il/). The GO terms with FDR ≤ 0.05 were considered as significant.</w:t>
      </w:r>
    </w:p>
    <w:p w:rsidR="00AB5E48" w:rsidRPr="006F0F59" w:rsidRDefault="00AB5E48" w:rsidP="007449E2">
      <w:pPr>
        <w:spacing w:line="360" w:lineRule="auto"/>
        <w:contextualSpacing/>
        <w:jc w:val="both"/>
        <w:rPr>
          <w:rFonts w:cstheme="minorHAnsi"/>
          <w:i/>
          <w:sz w:val="24"/>
          <w:szCs w:val="24"/>
          <w:lang w:val="en-GB"/>
        </w:rPr>
      </w:pPr>
      <w:r w:rsidRPr="006F0F59">
        <w:rPr>
          <w:rFonts w:cstheme="minorHAnsi"/>
          <w:i/>
          <w:sz w:val="24"/>
          <w:szCs w:val="24"/>
          <w:lang w:val="en-GB"/>
        </w:rPr>
        <w:t>Examining species composition of the unmapped reads</w:t>
      </w:r>
    </w:p>
    <w:p w:rsidR="00AB5E48" w:rsidRPr="006F0F59" w:rsidRDefault="00AB5E48" w:rsidP="007449E2">
      <w:pPr>
        <w:spacing w:line="360" w:lineRule="auto"/>
        <w:contextualSpacing/>
        <w:jc w:val="both"/>
        <w:rPr>
          <w:rFonts w:cstheme="minorHAnsi"/>
          <w:sz w:val="24"/>
          <w:szCs w:val="24"/>
          <w:lang w:val="en-GB"/>
        </w:rPr>
      </w:pPr>
      <w:r w:rsidRPr="006F0F59">
        <w:rPr>
          <w:rFonts w:cstheme="minorHAnsi"/>
          <w:sz w:val="24"/>
          <w:szCs w:val="24"/>
          <w:lang w:val="en-GB"/>
        </w:rPr>
        <w:t xml:space="preserve">As the GO term analysis revealed large number of DE genes related to immune function (see Results) we </w:t>
      </w:r>
      <w:r w:rsidR="00B7212D">
        <w:rPr>
          <w:rFonts w:cstheme="minorHAnsi"/>
          <w:sz w:val="24"/>
          <w:szCs w:val="24"/>
          <w:lang w:val="en-GB"/>
        </w:rPr>
        <w:t>subsequently</w:t>
      </w:r>
      <w:r w:rsidRPr="006F0F59">
        <w:rPr>
          <w:rFonts w:cstheme="minorHAnsi"/>
          <w:sz w:val="24"/>
          <w:szCs w:val="24"/>
          <w:lang w:val="en-GB"/>
        </w:rPr>
        <w:t xml:space="preserve"> examined if the observed pattern could be </w:t>
      </w:r>
      <w:r w:rsidR="00B7212D">
        <w:rPr>
          <w:rFonts w:cstheme="minorHAnsi"/>
          <w:sz w:val="24"/>
          <w:szCs w:val="24"/>
          <w:lang w:val="en-GB"/>
        </w:rPr>
        <w:t xml:space="preserve">associated with the </w:t>
      </w:r>
      <w:r w:rsidR="00960032">
        <w:rPr>
          <w:rFonts w:cstheme="minorHAnsi"/>
          <w:sz w:val="24"/>
          <w:szCs w:val="24"/>
          <w:lang w:val="en-GB"/>
        </w:rPr>
        <w:lastRenderedPageBreak/>
        <w:t>occurrence</w:t>
      </w:r>
      <w:r w:rsidR="00B7212D">
        <w:rPr>
          <w:rFonts w:cstheme="minorHAnsi"/>
          <w:sz w:val="24"/>
          <w:szCs w:val="24"/>
          <w:lang w:val="en-GB"/>
        </w:rPr>
        <w:t xml:space="preserve"> of eye parasites in </w:t>
      </w:r>
      <w:r w:rsidRPr="006F0F59">
        <w:rPr>
          <w:rFonts w:cstheme="minorHAnsi"/>
          <w:sz w:val="24"/>
          <w:szCs w:val="24"/>
          <w:lang w:val="en-GB"/>
        </w:rPr>
        <w:t>clear</w:t>
      </w:r>
      <w:r w:rsidR="00432E9B" w:rsidRPr="006F0F59">
        <w:rPr>
          <w:rFonts w:cstheme="minorHAnsi"/>
          <w:sz w:val="24"/>
          <w:szCs w:val="24"/>
          <w:lang w:val="en-GB"/>
        </w:rPr>
        <w:t>-water</w:t>
      </w:r>
      <w:r w:rsidRPr="006F0F59">
        <w:rPr>
          <w:rFonts w:cstheme="minorHAnsi"/>
          <w:sz w:val="24"/>
          <w:szCs w:val="24"/>
          <w:lang w:val="en-GB"/>
        </w:rPr>
        <w:t xml:space="preserve"> lakes.</w:t>
      </w:r>
      <w:r w:rsidR="003832EF">
        <w:rPr>
          <w:rFonts w:cstheme="minorHAnsi"/>
          <w:sz w:val="24"/>
          <w:szCs w:val="24"/>
          <w:lang w:val="en-GB"/>
        </w:rPr>
        <w:t xml:space="preserve"> </w:t>
      </w:r>
      <w:r w:rsidRPr="006F0F59">
        <w:rPr>
          <w:rFonts w:cstheme="minorHAnsi"/>
          <w:sz w:val="24"/>
          <w:szCs w:val="24"/>
          <w:lang w:val="en-GB"/>
        </w:rPr>
        <w:t xml:space="preserve">First, we extracted unmapped reads from each </w:t>
      </w:r>
      <w:r w:rsidR="00960032">
        <w:rPr>
          <w:rFonts w:cstheme="minorHAnsi"/>
          <w:sz w:val="24"/>
          <w:szCs w:val="24"/>
          <w:lang w:val="en-GB"/>
        </w:rPr>
        <w:t xml:space="preserve">eye </w:t>
      </w:r>
      <w:r w:rsidRPr="006F0F59">
        <w:rPr>
          <w:rFonts w:cstheme="minorHAnsi"/>
          <w:sz w:val="24"/>
          <w:szCs w:val="24"/>
          <w:lang w:val="en-GB"/>
        </w:rPr>
        <w:t>sample to further determine their origin (samtoolsfasta -@ 12 -f 4 aligned.bam&gt;unmapped.fasta).</w:t>
      </w:r>
      <w:r w:rsidR="003832EF">
        <w:rPr>
          <w:rFonts w:cstheme="minorHAnsi"/>
          <w:sz w:val="24"/>
          <w:szCs w:val="24"/>
          <w:lang w:val="en-GB"/>
        </w:rPr>
        <w:t xml:space="preserve"> </w:t>
      </w:r>
      <w:r w:rsidRPr="006F0F59">
        <w:rPr>
          <w:rFonts w:cstheme="minorHAnsi"/>
          <w:sz w:val="24"/>
          <w:szCs w:val="24"/>
          <w:lang w:val="en-GB"/>
        </w:rPr>
        <w:t xml:space="preserve">The redundancy among the unmapped reads was reduced using </w:t>
      </w:r>
      <w:r w:rsidR="00BD0128">
        <w:rPr>
          <w:rFonts w:cstheme="minorHAnsi"/>
          <w:sz w:val="24"/>
          <w:szCs w:val="24"/>
          <w:lang w:val="en-GB"/>
        </w:rPr>
        <w:t>cd</w:t>
      </w:r>
      <w:r w:rsidRPr="006F0F59">
        <w:rPr>
          <w:rFonts w:cstheme="minorHAnsi"/>
          <w:sz w:val="24"/>
          <w:szCs w:val="24"/>
          <w:lang w:val="en-GB"/>
        </w:rPr>
        <w:t>-</w:t>
      </w:r>
      <w:r w:rsidR="00BD0128">
        <w:rPr>
          <w:rFonts w:cstheme="minorHAnsi"/>
          <w:sz w:val="24"/>
          <w:szCs w:val="24"/>
          <w:lang w:val="en-GB"/>
        </w:rPr>
        <w:t>hit</w:t>
      </w:r>
      <w:r w:rsidRPr="006F0F59">
        <w:rPr>
          <w:rFonts w:cstheme="minorHAnsi"/>
          <w:sz w:val="24"/>
          <w:szCs w:val="24"/>
          <w:lang w:val="en-GB"/>
        </w:rPr>
        <w:t xml:space="preserve"> v</w:t>
      </w:r>
      <w:r w:rsidR="00432E9B" w:rsidRPr="006F0F59">
        <w:rPr>
          <w:rFonts w:cstheme="minorHAnsi"/>
          <w:sz w:val="24"/>
          <w:szCs w:val="24"/>
          <w:lang w:val="en-GB"/>
        </w:rPr>
        <w:t>er</w:t>
      </w:r>
      <w:r w:rsidRPr="006F0F59">
        <w:rPr>
          <w:rFonts w:cstheme="minorHAnsi"/>
          <w:sz w:val="24"/>
          <w:szCs w:val="24"/>
          <w:lang w:val="en-GB"/>
        </w:rPr>
        <w:t>.</w:t>
      </w:r>
      <w:r w:rsidR="001A68CC">
        <w:rPr>
          <w:rFonts w:cstheme="minorHAnsi"/>
          <w:sz w:val="24"/>
          <w:szCs w:val="24"/>
          <w:lang w:val="en-GB"/>
        </w:rPr>
        <w:t xml:space="preserve">4.7 </w:t>
      </w:r>
      <w:r w:rsidR="000C348A" w:rsidRPr="00157F85">
        <w:rPr>
          <w:rFonts w:ascii="Times New Roman" w:hAnsi="Times New Roman" w:cs="Times New Roman"/>
          <w:sz w:val="24"/>
          <w:lang w:val="en-GB"/>
        </w:rPr>
        <w:t>[12,13]</w:t>
      </w:r>
      <w:r w:rsidRPr="006F0F59">
        <w:rPr>
          <w:rFonts w:cstheme="minorHAnsi"/>
          <w:sz w:val="24"/>
          <w:szCs w:val="24"/>
          <w:lang w:val="en-GB"/>
        </w:rPr>
        <w:t xml:space="preserve">. When two or more reads showed 99% or higher similarity all but the longest read were removed to generate </w:t>
      </w:r>
      <w:r w:rsidR="00432E9B" w:rsidRPr="006F0F59">
        <w:rPr>
          <w:rFonts w:cstheme="minorHAnsi"/>
          <w:sz w:val="24"/>
          <w:szCs w:val="24"/>
          <w:lang w:val="en-GB"/>
        </w:rPr>
        <w:t xml:space="preserve">a </w:t>
      </w:r>
      <w:r w:rsidRPr="006F0F59">
        <w:rPr>
          <w:rFonts w:cstheme="minorHAnsi"/>
          <w:sz w:val="24"/>
          <w:szCs w:val="24"/>
          <w:lang w:val="en-GB"/>
        </w:rPr>
        <w:t>non-redundant set of unmapped reads (cd-hit-est -c 0.99).NCBI’s blastn v</w:t>
      </w:r>
      <w:r w:rsidR="00C305A9" w:rsidRPr="006F0F59">
        <w:rPr>
          <w:rFonts w:cstheme="minorHAnsi"/>
          <w:sz w:val="24"/>
          <w:szCs w:val="24"/>
          <w:lang w:val="en-GB"/>
        </w:rPr>
        <w:t>er</w:t>
      </w:r>
      <w:r w:rsidRPr="006F0F59">
        <w:rPr>
          <w:rFonts w:cstheme="minorHAnsi"/>
          <w:sz w:val="24"/>
          <w:szCs w:val="24"/>
          <w:lang w:val="en-GB"/>
        </w:rPr>
        <w:t xml:space="preserve">.2.6.0 </w:t>
      </w:r>
      <w:r w:rsidR="000C348A" w:rsidRPr="00157F85">
        <w:rPr>
          <w:rFonts w:ascii="Times New Roman" w:hAnsi="Times New Roman" w:cs="Times New Roman"/>
          <w:sz w:val="24"/>
          <w:lang w:val="en-GB"/>
        </w:rPr>
        <w:t>[14]</w:t>
      </w:r>
      <w:r w:rsidRPr="006F0F59">
        <w:rPr>
          <w:rFonts w:cstheme="minorHAnsi"/>
          <w:sz w:val="24"/>
          <w:szCs w:val="24"/>
          <w:lang w:val="en-GB"/>
        </w:rPr>
        <w:t xml:space="preserve"> was further applied to align the non-redundant sets of unmapped reads to the sequences in</w:t>
      </w:r>
      <w:r w:rsidR="00F84D21" w:rsidRPr="006F0F59">
        <w:rPr>
          <w:rFonts w:cstheme="minorHAnsi"/>
          <w:sz w:val="24"/>
          <w:szCs w:val="24"/>
          <w:lang w:val="en-GB"/>
        </w:rPr>
        <w:t xml:space="preserve"> a</w:t>
      </w:r>
      <w:r w:rsidRPr="006F0F59">
        <w:rPr>
          <w:rFonts w:cstheme="minorHAnsi"/>
          <w:sz w:val="24"/>
          <w:szCs w:val="24"/>
          <w:lang w:val="en-GB"/>
        </w:rPr>
        <w:t xml:space="preserve"> non-redundant nucleotide database (</w:t>
      </w:r>
      <w:r w:rsidR="00C305A9" w:rsidRPr="006F0F59">
        <w:rPr>
          <w:rFonts w:cstheme="minorHAnsi"/>
          <w:sz w:val="24"/>
          <w:szCs w:val="24"/>
          <w:lang w:val="en-GB"/>
        </w:rPr>
        <w:t xml:space="preserve">ftp://ftp.ncbi.nlm.nih.gov/blast/db/FASTA/nr.gz; </w:t>
      </w:r>
      <w:r w:rsidRPr="006F0F59">
        <w:rPr>
          <w:rFonts w:cstheme="minorHAnsi"/>
          <w:sz w:val="24"/>
          <w:szCs w:val="24"/>
          <w:lang w:val="en-GB"/>
        </w:rPr>
        <w:t xml:space="preserve">downloaded December 2018). Default parameters were used, except </w:t>
      </w:r>
      <w:r w:rsidRPr="006F0F59">
        <w:rPr>
          <w:rStyle w:val="st"/>
          <w:rFonts w:cstheme="minorHAnsi"/>
          <w:sz w:val="24"/>
          <w:szCs w:val="24"/>
          <w:lang w:val="en-GB"/>
        </w:rPr>
        <w:t xml:space="preserve">maximum number of targets to report and </w:t>
      </w:r>
      <w:r w:rsidRPr="006F0F59">
        <w:rPr>
          <w:rFonts w:cstheme="minorHAnsi"/>
          <w:sz w:val="24"/>
          <w:szCs w:val="24"/>
          <w:lang w:val="en-GB"/>
        </w:rPr>
        <w:t>the number of high-scoring segment pairs (HSPs) reported per hit were</w:t>
      </w:r>
      <w:r w:rsidRPr="006F0F59">
        <w:rPr>
          <w:rStyle w:val="st"/>
          <w:rFonts w:cstheme="minorHAnsi"/>
          <w:sz w:val="24"/>
          <w:szCs w:val="24"/>
          <w:lang w:val="en-GB"/>
        </w:rPr>
        <w:t xml:space="preserve"> set to five (</w:t>
      </w:r>
      <w:r w:rsidRPr="006F0F59">
        <w:rPr>
          <w:rFonts w:cstheme="minorHAnsi"/>
          <w:sz w:val="24"/>
          <w:szCs w:val="24"/>
          <w:lang w:val="en-GB"/>
        </w:rPr>
        <w:t xml:space="preserve">-max_target_seqs 5 -max_hsps 5) and e-value was </w:t>
      </w:r>
      <w:r w:rsidR="00C305A9" w:rsidRPr="006F0F59">
        <w:rPr>
          <w:rFonts w:cstheme="minorHAnsi"/>
          <w:sz w:val="24"/>
          <w:szCs w:val="24"/>
          <w:lang w:val="en-GB"/>
        </w:rPr>
        <w:t xml:space="preserve">set to </w:t>
      </w:r>
      <w:r w:rsidRPr="006F0F59">
        <w:rPr>
          <w:rFonts w:cstheme="minorHAnsi"/>
          <w:sz w:val="24"/>
          <w:szCs w:val="24"/>
          <w:lang w:val="en-GB"/>
        </w:rPr>
        <w:t>0.001 (-evalue 0.001). To reveal the presence of the eye fluke parasites’ sequences (of the Digenea class of Trematoda and of the Diplostomidae family) among the unmapped reads the taxonomic analysis of blastn outputs was processed in Megan Community Edition v</w:t>
      </w:r>
      <w:r w:rsidR="00C305A9" w:rsidRPr="006F0F59">
        <w:rPr>
          <w:rFonts w:cstheme="minorHAnsi"/>
          <w:sz w:val="24"/>
          <w:szCs w:val="24"/>
          <w:lang w:val="en-GB"/>
        </w:rPr>
        <w:t>er</w:t>
      </w:r>
      <w:r w:rsidRPr="006F0F59">
        <w:rPr>
          <w:rFonts w:cstheme="minorHAnsi"/>
          <w:sz w:val="24"/>
          <w:szCs w:val="24"/>
          <w:lang w:val="en-GB"/>
        </w:rPr>
        <w:t xml:space="preserve">.6.8.18 </w:t>
      </w:r>
      <w:r w:rsidR="000C348A" w:rsidRPr="00157F85">
        <w:rPr>
          <w:rFonts w:ascii="Times New Roman" w:hAnsi="Times New Roman" w:cs="Times New Roman"/>
          <w:sz w:val="24"/>
          <w:lang w:val="en-GB"/>
        </w:rPr>
        <w:t>[15]</w:t>
      </w:r>
      <w:r w:rsidR="008E44AF">
        <w:rPr>
          <w:rFonts w:cstheme="minorHAnsi"/>
          <w:sz w:val="24"/>
          <w:szCs w:val="24"/>
          <w:lang w:val="en-GB"/>
        </w:rPr>
        <w:t>.</w:t>
      </w:r>
    </w:p>
    <w:p w:rsidR="00AB5E48" w:rsidRPr="006F0F59" w:rsidRDefault="00AB5E48" w:rsidP="007449E2">
      <w:pPr>
        <w:spacing w:line="360" w:lineRule="auto"/>
        <w:contextualSpacing/>
        <w:jc w:val="both"/>
        <w:rPr>
          <w:rFonts w:cstheme="minorHAnsi"/>
          <w:i/>
          <w:sz w:val="24"/>
          <w:szCs w:val="24"/>
          <w:lang w:val="en-GB"/>
        </w:rPr>
      </w:pPr>
    </w:p>
    <w:p w:rsidR="00AB5E48" w:rsidRPr="006F0F59" w:rsidRDefault="00AB5E48" w:rsidP="007449E2">
      <w:pPr>
        <w:spacing w:line="360" w:lineRule="auto"/>
        <w:contextualSpacing/>
        <w:jc w:val="both"/>
        <w:rPr>
          <w:rFonts w:cstheme="minorHAnsi"/>
          <w:i/>
          <w:sz w:val="24"/>
          <w:szCs w:val="24"/>
          <w:lang w:val="en-GB"/>
        </w:rPr>
      </w:pPr>
      <w:r w:rsidRPr="006F0F59">
        <w:rPr>
          <w:rFonts w:cstheme="minorHAnsi"/>
          <w:i/>
          <w:sz w:val="24"/>
          <w:szCs w:val="24"/>
          <w:lang w:val="en-GB"/>
        </w:rPr>
        <w:t xml:space="preserve">Amplification and </w:t>
      </w:r>
      <w:r w:rsidRPr="00806F8B">
        <w:rPr>
          <w:rFonts w:cstheme="minorHAnsi"/>
          <w:i/>
          <w:sz w:val="24"/>
          <w:szCs w:val="24"/>
          <w:lang w:val="en-GB"/>
        </w:rPr>
        <w:t xml:space="preserve">electrophoresis of </w:t>
      </w:r>
      <w:r w:rsidR="00806F8B" w:rsidRPr="00B601CC">
        <w:rPr>
          <w:rFonts w:cstheme="minorHAnsi"/>
          <w:i/>
          <w:sz w:val="24"/>
          <w:szCs w:val="24"/>
          <w:lang w:val="en-GB"/>
        </w:rPr>
        <w:t xml:space="preserve">mitochondrial cytochrome c oxidase I (COI) </w:t>
      </w:r>
      <w:r w:rsidR="00806F8B" w:rsidRPr="00806F8B">
        <w:rPr>
          <w:rFonts w:cstheme="minorHAnsi"/>
          <w:i/>
          <w:sz w:val="24"/>
          <w:szCs w:val="24"/>
          <w:lang w:val="en-GB"/>
        </w:rPr>
        <w:t>in the family Diplostomidae</w:t>
      </w:r>
    </w:p>
    <w:p w:rsidR="00AB5E48" w:rsidRPr="006F0F59" w:rsidRDefault="00AB5E48" w:rsidP="007449E2">
      <w:pPr>
        <w:spacing w:line="360" w:lineRule="auto"/>
        <w:contextualSpacing/>
        <w:jc w:val="both"/>
        <w:rPr>
          <w:rFonts w:cstheme="minorHAnsi"/>
          <w:sz w:val="24"/>
          <w:szCs w:val="24"/>
          <w:lang w:val="en-GB"/>
        </w:rPr>
      </w:pPr>
      <w:r w:rsidRPr="006F0F59">
        <w:rPr>
          <w:rFonts w:cstheme="minorHAnsi"/>
          <w:sz w:val="24"/>
          <w:szCs w:val="24"/>
          <w:lang w:val="en-GB"/>
        </w:rPr>
        <w:t>As the species composition analysis of the unmapped RNA-reads showed the presence of the reads assigned to Strigeidida order or/and Diplostomoidea superfamily only in the clear</w:t>
      </w:r>
      <w:r w:rsidR="000A74BF">
        <w:rPr>
          <w:rFonts w:cstheme="minorHAnsi"/>
          <w:sz w:val="24"/>
          <w:szCs w:val="24"/>
          <w:lang w:val="en-GB"/>
        </w:rPr>
        <w:t>-water</w:t>
      </w:r>
      <w:r w:rsidRPr="006F0F59">
        <w:rPr>
          <w:rFonts w:cstheme="minorHAnsi"/>
          <w:sz w:val="24"/>
          <w:szCs w:val="24"/>
          <w:lang w:val="en-GB"/>
        </w:rPr>
        <w:t xml:space="preserve"> lakes (Fig. 1), we further screened additional eye samples from 212 perch (Table S1)</w:t>
      </w:r>
      <w:r w:rsidR="002531B3">
        <w:rPr>
          <w:rFonts w:cstheme="minorHAnsi"/>
          <w:sz w:val="24"/>
          <w:szCs w:val="24"/>
          <w:lang w:val="en-GB"/>
        </w:rPr>
        <w:t xml:space="preserve">. We used </w:t>
      </w:r>
      <w:r w:rsidRPr="006F0F59">
        <w:rPr>
          <w:rFonts w:cstheme="minorHAnsi"/>
          <w:sz w:val="24"/>
          <w:szCs w:val="24"/>
          <w:lang w:val="en-GB"/>
        </w:rPr>
        <w:t>modified diplostomid-specific primers</w:t>
      </w:r>
      <w:r w:rsidR="002531B3">
        <w:rPr>
          <w:rFonts w:cstheme="minorHAnsi"/>
          <w:sz w:val="24"/>
          <w:szCs w:val="24"/>
          <w:lang w:val="en-GB"/>
        </w:rPr>
        <w:t xml:space="preserve"> for COI</w:t>
      </w:r>
      <w:r w:rsidR="000C348A" w:rsidRPr="00157F85">
        <w:rPr>
          <w:rFonts w:ascii="Times New Roman" w:hAnsi="Times New Roman" w:cs="Times New Roman"/>
          <w:sz w:val="24"/>
          <w:lang w:val="en-GB"/>
        </w:rPr>
        <w:t>[16]</w:t>
      </w:r>
      <w:r w:rsidRPr="006F0F59">
        <w:rPr>
          <w:rFonts w:cstheme="minorHAnsi"/>
          <w:sz w:val="24"/>
          <w:szCs w:val="24"/>
          <w:lang w:val="en-GB"/>
        </w:rPr>
        <w:t xml:space="preserve"> that included linkers for Illumina-compatible adapters at their 5′ ends</w:t>
      </w:r>
      <w:r w:rsidR="006C2713">
        <w:rPr>
          <w:rFonts w:cstheme="minorHAnsi"/>
          <w:sz w:val="24"/>
          <w:szCs w:val="24"/>
          <w:lang w:val="en-GB"/>
        </w:rPr>
        <w:t xml:space="preserve"> (</w:t>
      </w:r>
      <w:r w:rsidR="000C348A" w:rsidRPr="00157F85">
        <w:rPr>
          <w:rFonts w:ascii="Times New Roman" w:hAnsi="Times New Roman" w:cs="Times New Roman"/>
          <w:sz w:val="24"/>
          <w:lang w:val="en-GB"/>
        </w:rPr>
        <w:t>[17,18]</w:t>
      </w:r>
      <w:r w:rsidR="008D5107" w:rsidRPr="00157F85">
        <w:rPr>
          <w:rFonts w:cstheme="minorHAnsi"/>
          <w:sz w:val="24"/>
          <w:szCs w:val="24"/>
          <w:lang w:val="en-GB"/>
        </w:rPr>
        <w:t>; Plat-diploCOX1_ILL_F: TCGTCGGCAGCGTCAGATGTGTATAAGAGACAG</w:t>
      </w:r>
      <w:r w:rsidR="008D5107" w:rsidRPr="00157F85">
        <w:rPr>
          <w:rFonts w:cstheme="minorHAnsi"/>
          <w:sz w:val="24"/>
          <w:szCs w:val="24"/>
          <w:u w:val="single"/>
          <w:lang w:val="en-GB"/>
        </w:rPr>
        <w:t>CGTTTRAATTATACGGATCC</w:t>
      </w:r>
      <w:r w:rsidR="008D5107" w:rsidRPr="00157F85">
        <w:rPr>
          <w:rFonts w:cstheme="minorHAnsi"/>
          <w:sz w:val="24"/>
          <w:szCs w:val="24"/>
          <w:lang w:val="en-GB"/>
        </w:rPr>
        <w:t>; Plat-diploCOX1_ILL_R: GTCTCGTGGGCTCGGAGATGTGTATAAGAGACAG</w:t>
      </w:r>
      <w:r w:rsidR="008D5107" w:rsidRPr="00157F85">
        <w:rPr>
          <w:rFonts w:cstheme="minorHAnsi"/>
          <w:sz w:val="24"/>
          <w:szCs w:val="24"/>
          <w:u w:val="single"/>
          <w:lang w:val="en-GB"/>
        </w:rPr>
        <w:t>AGCATAGTAATMGCAGCAGC</w:t>
      </w:r>
      <w:r w:rsidR="00587758" w:rsidRPr="00157F85">
        <w:rPr>
          <w:rFonts w:cstheme="minorHAnsi"/>
          <w:sz w:val="24"/>
          <w:szCs w:val="24"/>
          <w:lang w:val="en-GB"/>
        </w:rPr>
        <w:t xml:space="preserve">; </w:t>
      </w:r>
      <w:r w:rsidR="001B0C70" w:rsidRPr="00157F85">
        <w:rPr>
          <w:rFonts w:cstheme="minorHAnsi"/>
          <w:sz w:val="24"/>
          <w:szCs w:val="24"/>
          <w:lang w:val="en-GB"/>
        </w:rPr>
        <w:t>CO</w:t>
      </w:r>
      <w:r w:rsidR="001B0C70">
        <w:rPr>
          <w:rFonts w:cstheme="minorHAnsi"/>
          <w:sz w:val="24"/>
          <w:szCs w:val="24"/>
          <w:lang w:val="en-GB"/>
        </w:rPr>
        <w:t>I</w:t>
      </w:r>
      <w:r w:rsidR="00587758" w:rsidRPr="00157F85">
        <w:rPr>
          <w:rFonts w:cstheme="minorHAnsi"/>
          <w:sz w:val="24"/>
          <w:szCs w:val="24"/>
          <w:lang w:val="en-GB"/>
        </w:rPr>
        <w:t xml:space="preserve">-specific sequences </w:t>
      </w:r>
      <w:r w:rsidR="007A73E9" w:rsidRPr="00157F85">
        <w:rPr>
          <w:rFonts w:cstheme="minorHAnsi"/>
          <w:sz w:val="24"/>
          <w:szCs w:val="24"/>
          <w:lang w:val="en-GB"/>
        </w:rPr>
        <w:t xml:space="preserve">are </w:t>
      </w:r>
      <w:r w:rsidR="00587758" w:rsidRPr="00157F85">
        <w:rPr>
          <w:rFonts w:cstheme="minorHAnsi"/>
          <w:sz w:val="24"/>
          <w:szCs w:val="24"/>
          <w:lang w:val="en-GB"/>
        </w:rPr>
        <w:t>underlined</w:t>
      </w:r>
      <w:r w:rsidRPr="00157F85">
        <w:rPr>
          <w:rFonts w:cstheme="minorHAnsi"/>
          <w:sz w:val="24"/>
          <w:szCs w:val="24"/>
          <w:lang w:val="en-GB"/>
        </w:rPr>
        <w:t xml:space="preserve">). </w:t>
      </w:r>
      <w:r w:rsidRPr="006F0F59">
        <w:rPr>
          <w:rFonts w:cstheme="minorHAnsi"/>
          <w:sz w:val="24"/>
          <w:szCs w:val="24"/>
          <w:lang w:val="en-GB"/>
        </w:rPr>
        <w:t xml:space="preserve">The DNA was extracted from the whole perch eye according to </w:t>
      </w:r>
      <w:r w:rsidR="000C348A" w:rsidRPr="00157F85">
        <w:rPr>
          <w:rFonts w:ascii="Times New Roman" w:hAnsi="Times New Roman" w:cs="Times New Roman"/>
          <w:sz w:val="24"/>
          <w:lang w:val="en-GB"/>
        </w:rPr>
        <w:t>[19]</w:t>
      </w:r>
      <w:r w:rsidR="006C2713">
        <w:rPr>
          <w:rFonts w:cstheme="minorHAnsi"/>
          <w:sz w:val="24"/>
          <w:szCs w:val="24"/>
          <w:lang w:val="en-GB"/>
        </w:rPr>
        <w:t>.</w:t>
      </w:r>
      <w:r w:rsidRPr="006F0F59">
        <w:rPr>
          <w:rFonts w:cstheme="minorHAnsi"/>
          <w:sz w:val="24"/>
          <w:szCs w:val="24"/>
          <w:lang w:val="en-GB"/>
        </w:rPr>
        <w:t xml:space="preserve"> The concentration of DNA extracts was measured using Nanodrop ND‐1000 (Thermo Scientific™). PCR was performed in 10 µl</w:t>
      </w:r>
      <w:r w:rsidR="00587758">
        <w:rPr>
          <w:rFonts w:cstheme="minorHAnsi"/>
          <w:sz w:val="24"/>
          <w:szCs w:val="24"/>
          <w:lang w:val="en-GB"/>
        </w:rPr>
        <w:t xml:space="preserve"> total volume and included </w:t>
      </w:r>
      <w:r w:rsidRPr="006F0F59">
        <w:rPr>
          <w:rFonts w:cstheme="minorHAnsi"/>
          <w:sz w:val="24"/>
          <w:szCs w:val="24"/>
          <w:lang w:val="en-GB"/>
        </w:rPr>
        <w:t>2</w:t>
      </w:r>
      <w:r w:rsidR="00587758" w:rsidRPr="00587758">
        <w:rPr>
          <w:rFonts w:cstheme="minorHAnsi"/>
          <w:sz w:val="24"/>
          <w:szCs w:val="24"/>
          <w:lang w:val="en-GB"/>
        </w:rPr>
        <w:t>×</w:t>
      </w:r>
      <w:r w:rsidRPr="006F0F59">
        <w:rPr>
          <w:rFonts w:cstheme="minorHAnsi"/>
          <w:sz w:val="24"/>
          <w:szCs w:val="24"/>
          <w:lang w:val="en-GB"/>
        </w:rPr>
        <w:t xml:space="preserve">QMP-reagent (QIAGEN </w:t>
      </w:r>
      <w:r w:rsidRPr="00393B17">
        <w:rPr>
          <w:rFonts w:cstheme="minorHAnsi"/>
          <w:sz w:val="24"/>
          <w:szCs w:val="24"/>
          <w:lang w:val="en-GB"/>
        </w:rPr>
        <w:t xml:space="preserve">Multiplex PCR Kit), </w:t>
      </w:r>
      <w:r w:rsidR="00393B17" w:rsidRPr="00393B17">
        <w:rPr>
          <w:rFonts w:cstheme="minorHAnsi"/>
          <w:sz w:val="24"/>
          <w:szCs w:val="24"/>
          <w:lang w:val="en-GB"/>
        </w:rPr>
        <w:t>3.3pmol</w:t>
      </w:r>
      <w:r w:rsidR="00587758" w:rsidRPr="00393B17">
        <w:rPr>
          <w:rFonts w:cstheme="minorHAnsi"/>
          <w:sz w:val="24"/>
          <w:szCs w:val="24"/>
          <w:lang w:val="en-GB"/>
        </w:rPr>
        <w:t xml:space="preserve"> of each primer and approximately 100-200 ng of DNA template.</w:t>
      </w:r>
      <w:r w:rsidRPr="00393B17">
        <w:rPr>
          <w:rFonts w:cstheme="minorHAnsi"/>
          <w:sz w:val="24"/>
          <w:szCs w:val="24"/>
          <w:lang w:val="en-GB"/>
        </w:rPr>
        <w:t xml:space="preserve">The PCR </w:t>
      </w:r>
      <w:r w:rsidR="00D32A35" w:rsidRPr="00393B17">
        <w:rPr>
          <w:rFonts w:cstheme="minorHAnsi"/>
          <w:sz w:val="24"/>
          <w:szCs w:val="24"/>
          <w:lang w:val="en-GB"/>
        </w:rPr>
        <w:t xml:space="preserve">cycling </w:t>
      </w:r>
      <w:r w:rsidRPr="00393B17">
        <w:rPr>
          <w:rFonts w:cstheme="minorHAnsi"/>
          <w:sz w:val="24"/>
          <w:szCs w:val="24"/>
          <w:lang w:val="en-GB"/>
        </w:rPr>
        <w:t xml:space="preserve">conditions </w:t>
      </w:r>
      <w:r w:rsidR="00D32A35" w:rsidRPr="00393B17">
        <w:rPr>
          <w:rFonts w:cstheme="minorHAnsi"/>
          <w:sz w:val="24"/>
          <w:szCs w:val="24"/>
          <w:lang w:val="en-GB"/>
        </w:rPr>
        <w:t xml:space="preserve">included </w:t>
      </w:r>
      <w:r w:rsidRPr="00393B17">
        <w:rPr>
          <w:rFonts w:cstheme="minorHAnsi"/>
          <w:sz w:val="24"/>
          <w:szCs w:val="24"/>
          <w:lang w:val="en-GB"/>
        </w:rPr>
        <w:t xml:space="preserve">15 min </w:t>
      </w:r>
      <w:r w:rsidRPr="006F0F59">
        <w:rPr>
          <w:rFonts w:cstheme="minorHAnsi"/>
          <w:sz w:val="24"/>
          <w:szCs w:val="24"/>
          <w:lang w:val="en-GB"/>
        </w:rPr>
        <w:t>in 95°C, then 30 cycles of 30 s in 95°C, 30 s in 58°C and 30 s in 72°C</w:t>
      </w:r>
      <w:r w:rsidR="00D32A35">
        <w:rPr>
          <w:rFonts w:cstheme="minorHAnsi"/>
          <w:sz w:val="24"/>
          <w:szCs w:val="24"/>
          <w:lang w:val="en-GB"/>
        </w:rPr>
        <w:t>,</w:t>
      </w:r>
      <w:r w:rsidRPr="006F0F59">
        <w:rPr>
          <w:rFonts w:cstheme="minorHAnsi"/>
          <w:sz w:val="24"/>
          <w:szCs w:val="24"/>
          <w:lang w:val="en-GB"/>
        </w:rPr>
        <w:t xml:space="preserve"> ending with </w:t>
      </w:r>
      <w:r w:rsidR="00D32A35">
        <w:rPr>
          <w:rFonts w:cstheme="minorHAnsi"/>
          <w:sz w:val="24"/>
          <w:szCs w:val="24"/>
          <w:lang w:val="en-GB"/>
        </w:rPr>
        <w:t xml:space="preserve">a final extension of </w:t>
      </w:r>
      <w:r w:rsidRPr="006F0F59">
        <w:rPr>
          <w:rFonts w:cstheme="minorHAnsi"/>
          <w:sz w:val="24"/>
          <w:szCs w:val="24"/>
          <w:lang w:val="en-GB"/>
        </w:rPr>
        <w:t xml:space="preserve">3 min </w:t>
      </w:r>
      <w:r w:rsidR="00D32A35">
        <w:rPr>
          <w:rFonts w:cstheme="minorHAnsi"/>
          <w:sz w:val="24"/>
          <w:szCs w:val="24"/>
          <w:lang w:val="en-GB"/>
        </w:rPr>
        <w:t>at</w:t>
      </w:r>
      <w:r w:rsidRPr="006F0F59">
        <w:rPr>
          <w:rFonts w:cstheme="minorHAnsi"/>
          <w:sz w:val="24"/>
          <w:szCs w:val="24"/>
          <w:lang w:val="en-GB"/>
        </w:rPr>
        <w:t>72°C. The</w:t>
      </w:r>
      <w:r w:rsidR="00F26FB1" w:rsidRPr="006F0F59">
        <w:rPr>
          <w:rFonts w:cstheme="minorHAnsi"/>
          <w:sz w:val="24"/>
          <w:szCs w:val="24"/>
          <w:lang w:val="en-GB"/>
        </w:rPr>
        <w:t xml:space="preserve"> electrophoresis of</w:t>
      </w:r>
      <w:r w:rsidRPr="006F0F59">
        <w:rPr>
          <w:rFonts w:cstheme="minorHAnsi"/>
          <w:sz w:val="24"/>
          <w:szCs w:val="24"/>
          <w:lang w:val="en-GB"/>
        </w:rPr>
        <w:t xml:space="preserve"> PCR product</w:t>
      </w:r>
      <w:r w:rsidR="00F26FB1" w:rsidRPr="006F0F59">
        <w:rPr>
          <w:rFonts w:cstheme="minorHAnsi"/>
          <w:sz w:val="24"/>
          <w:szCs w:val="24"/>
          <w:lang w:val="en-GB"/>
        </w:rPr>
        <w:t>s</w:t>
      </w:r>
      <w:r w:rsidRPr="006F0F59">
        <w:rPr>
          <w:rFonts w:cstheme="minorHAnsi"/>
          <w:sz w:val="24"/>
          <w:szCs w:val="24"/>
          <w:lang w:val="en-GB"/>
        </w:rPr>
        <w:t xml:space="preserve"> was </w:t>
      </w:r>
      <w:r w:rsidR="00F26FB1" w:rsidRPr="006F0F59">
        <w:rPr>
          <w:rFonts w:cstheme="minorHAnsi"/>
          <w:sz w:val="24"/>
          <w:szCs w:val="24"/>
          <w:lang w:val="en-GB"/>
        </w:rPr>
        <w:t>performed</w:t>
      </w:r>
      <w:r w:rsidRPr="006F0F59">
        <w:rPr>
          <w:rFonts w:cstheme="minorHAnsi"/>
          <w:sz w:val="24"/>
          <w:szCs w:val="24"/>
          <w:lang w:val="en-GB"/>
        </w:rPr>
        <w:t xml:space="preserve"> in 1.5% agarose gel</w:t>
      </w:r>
      <w:r w:rsidR="00F26FB1" w:rsidRPr="006F0F59">
        <w:rPr>
          <w:rFonts w:cstheme="minorHAnsi"/>
          <w:sz w:val="24"/>
          <w:szCs w:val="24"/>
          <w:lang w:val="en-GB"/>
        </w:rPr>
        <w:t>s</w:t>
      </w:r>
      <w:r w:rsidRPr="006F0F59">
        <w:rPr>
          <w:rFonts w:cstheme="minorHAnsi"/>
          <w:sz w:val="24"/>
          <w:szCs w:val="24"/>
          <w:lang w:val="en-GB"/>
        </w:rPr>
        <w:t xml:space="preserve"> for 30 min (40-50 V) and gel</w:t>
      </w:r>
      <w:r w:rsidR="00F26FB1" w:rsidRPr="006F0F59">
        <w:rPr>
          <w:rFonts w:cstheme="minorHAnsi"/>
          <w:sz w:val="24"/>
          <w:szCs w:val="24"/>
          <w:lang w:val="en-GB"/>
        </w:rPr>
        <w:t>s</w:t>
      </w:r>
      <w:r w:rsidRPr="006F0F59">
        <w:rPr>
          <w:rFonts w:cstheme="minorHAnsi"/>
          <w:sz w:val="24"/>
          <w:szCs w:val="24"/>
          <w:lang w:val="en-GB"/>
        </w:rPr>
        <w:t xml:space="preserve"> w</w:t>
      </w:r>
      <w:r w:rsidR="00F26FB1" w:rsidRPr="006F0F59">
        <w:rPr>
          <w:rFonts w:cstheme="minorHAnsi"/>
          <w:sz w:val="24"/>
          <w:szCs w:val="24"/>
          <w:lang w:val="en-GB"/>
        </w:rPr>
        <w:t>ere</w:t>
      </w:r>
      <w:r w:rsidRPr="006F0F59">
        <w:rPr>
          <w:rFonts w:cstheme="minorHAnsi"/>
          <w:sz w:val="24"/>
          <w:szCs w:val="24"/>
          <w:lang w:val="en-GB"/>
        </w:rPr>
        <w:t xml:space="preserve"> visualized using Chemidoc XRS (BioRad) to detect ca</w:t>
      </w:r>
      <w:r w:rsidR="00F26FB1" w:rsidRPr="006F0F59">
        <w:rPr>
          <w:rFonts w:cstheme="minorHAnsi"/>
          <w:sz w:val="24"/>
          <w:szCs w:val="24"/>
          <w:lang w:val="en-GB"/>
        </w:rPr>
        <w:t>.</w:t>
      </w:r>
      <w:r w:rsidRPr="006F0F59">
        <w:rPr>
          <w:rFonts w:cstheme="minorHAnsi"/>
          <w:sz w:val="24"/>
          <w:szCs w:val="24"/>
          <w:lang w:val="en-GB"/>
        </w:rPr>
        <w:t xml:space="preserve"> 500</w:t>
      </w:r>
      <w:r w:rsidR="00806F8B">
        <w:rPr>
          <w:rFonts w:cstheme="minorHAnsi"/>
          <w:sz w:val="24"/>
          <w:szCs w:val="24"/>
          <w:lang w:val="en-GB"/>
        </w:rPr>
        <w:t>bp</w:t>
      </w:r>
      <w:r w:rsidR="003832EF">
        <w:rPr>
          <w:rFonts w:cstheme="minorHAnsi"/>
          <w:sz w:val="24"/>
          <w:szCs w:val="24"/>
          <w:lang w:val="en-GB"/>
        </w:rPr>
        <w:t xml:space="preserve"> </w:t>
      </w:r>
      <w:r w:rsidR="00393B17">
        <w:rPr>
          <w:rFonts w:cstheme="minorHAnsi"/>
          <w:sz w:val="24"/>
          <w:szCs w:val="24"/>
          <w:lang w:val="en-GB"/>
        </w:rPr>
        <w:lastRenderedPageBreak/>
        <w:t>diplostomid</w:t>
      </w:r>
      <w:r w:rsidR="00D32A35">
        <w:rPr>
          <w:rFonts w:cstheme="minorHAnsi"/>
          <w:sz w:val="24"/>
          <w:szCs w:val="24"/>
          <w:lang w:val="en-GB"/>
        </w:rPr>
        <w:t xml:space="preserve">-specific </w:t>
      </w:r>
      <w:r w:rsidR="002531B3">
        <w:rPr>
          <w:rFonts w:cstheme="minorHAnsi"/>
          <w:sz w:val="24"/>
          <w:szCs w:val="24"/>
          <w:lang w:val="en-GB"/>
        </w:rPr>
        <w:t xml:space="preserve">COI </w:t>
      </w:r>
      <w:r w:rsidR="00D32A35">
        <w:rPr>
          <w:rFonts w:cstheme="minorHAnsi"/>
          <w:sz w:val="24"/>
          <w:szCs w:val="24"/>
          <w:lang w:val="en-GB"/>
        </w:rPr>
        <w:t>amplicon</w:t>
      </w:r>
      <w:r w:rsidRPr="006F0F59">
        <w:rPr>
          <w:rFonts w:cstheme="minorHAnsi"/>
          <w:sz w:val="24"/>
          <w:szCs w:val="24"/>
          <w:lang w:val="en-GB"/>
        </w:rPr>
        <w:t xml:space="preserve">. </w:t>
      </w:r>
      <w:r w:rsidR="00F26FB1" w:rsidRPr="006F0F59">
        <w:rPr>
          <w:rFonts w:cstheme="minorHAnsi"/>
          <w:sz w:val="24"/>
          <w:szCs w:val="24"/>
          <w:lang w:val="en-GB"/>
        </w:rPr>
        <w:t xml:space="preserve">For 172 individuals both eyes were screened, while for </w:t>
      </w:r>
      <w:r w:rsidR="00D32A35">
        <w:rPr>
          <w:rFonts w:cstheme="minorHAnsi"/>
          <w:sz w:val="24"/>
          <w:szCs w:val="24"/>
          <w:lang w:val="en-GB"/>
        </w:rPr>
        <w:t xml:space="preserve">the remaining </w:t>
      </w:r>
      <w:r w:rsidR="00F26FB1" w:rsidRPr="006F0F59">
        <w:rPr>
          <w:rFonts w:cstheme="minorHAnsi"/>
          <w:sz w:val="24"/>
          <w:szCs w:val="24"/>
          <w:lang w:val="en-GB"/>
        </w:rPr>
        <w:t>40 individuals</w:t>
      </w:r>
      <w:r w:rsidR="00806F8B">
        <w:rPr>
          <w:rFonts w:cstheme="minorHAnsi"/>
          <w:sz w:val="24"/>
          <w:szCs w:val="24"/>
          <w:lang w:val="en-GB"/>
        </w:rPr>
        <w:t>,</w:t>
      </w:r>
      <w:r w:rsidR="00F26FB1" w:rsidRPr="006F0F59">
        <w:rPr>
          <w:rFonts w:cstheme="minorHAnsi"/>
          <w:sz w:val="24"/>
          <w:szCs w:val="24"/>
          <w:lang w:val="en-GB"/>
        </w:rPr>
        <w:t xml:space="preserve"> only left eye was examined.</w:t>
      </w:r>
    </w:p>
    <w:p w:rsidR="007B69EA" w:rsidRPr="006F0F59" w:rsidRDefault="007B69EA" w:rsidP="007449E2">
      <w:pPr>
        <w:spacing w:line="360" w:lineRule="auto"/>
        <w:contextualSpacing/>
        <w:jc w:val="both"/>
        <w:rPr>
          <w:rFonts w:cstheme="minorHAnsi"/>
          <w:i/>
          <w:sz w:val="24"/>
          <w:szCs w:val="24"/>
          <w:lang w:val="en-GB"/>
        </w:rPr>
      </w:pPr>
    </w:p>
    <w:p w:rsidR="00AB5E48" w:rsidRPr="006F0F59" w:rsidRDefault="00AB5E48" w:rsidP="007449E2">
      <w:pPr>
        <w:spacing w:line="360" w:lineRule="auto"/>
        <w:contextualSpacing/>
        <w:jc w:val="both"/>
        <w:rPr>
          <w:rFonts w:cstheme="minorHAnsi"/>
          <w:i/>
          <w:sz w:val="24"/>
          <w:szCs w:val="24"/>
          <w:lang w:val="en-GB"/>
        </w:rPr>
      </w:pPr>
      <w:r w:rsidRPr="006F0F59">
        <w:rPr>
          <w:rFonts w:cstheme="minorHAnsi"/>
          <w:i/>
          <w:sz w:val="24"/>
          <w:szCs w:val="24"/>
          <w:lang w:val="en-GB"/>
        </w:rPr>
        <w:t xml:space="preserve">Next generation sequencing of CO1 </w:t>
      </w:r>
      <w:r w:rsidR="00806F8B">
        <w:rPr>
          <w:rFonts w:cstheme="minorHAnsi"/>
          <w:i/>
          <w:sz w:val="24"/>
          <w:szCs w:val="24"/>
          <w:lang w:val="en-GB"/>
        </w:rPr>
        <w:t xml:space="preserve">in </w:t>
      </w:r>
      <w:r w:rsidRPr="006F0F59">
        <w:rPr>
          <w:rFonts w:cstheme="minorHAnsi"/>
          <w:i/>
          <w:sz w:val="24"/>
          <w:szCs w:val="24"/>
          <w:lang w:val="en-GB"/>
        </w:rPr>
        <w:t>Diplostomidae community within perch eye</w:t>
      </w:r>
    </w:p>
    <w:p w:rsidR="00AB5E48" w:rsidRPr="006F0F59" w:rsidRDefault="00AB5E48" w:rsidP="007449E2">
      <w:pPr>
        <w:autoSpaceDE w:val="0"/>
        <w:autoSpaceDN w:val="0"/>
        <w:adjustRightInd w:val="0"/>
        <w:spacing w:after="0" w:line="360" w:lineRule="auto"/>
        <w:contextualSpacing/>
        <w:jc w:val="both"/>
        <w:rPr>
          <w:rFonts w:cstheme="minorHAnsi"/>
          <w:sz w:val="24"/>
          <w:szCs w:val="24"/>
          <w:lang w:val="en-GB"/>
        </w:rPr>
      </w:pPr>
      <w:r w:rsidRPr="006F0F59">
        <w:rPr>
          <w:rFonts w:cstheme="minorHAnsi"/>
          <w:sz w:val="24"/>
          <w:szCs w:val="24"/>
          <w:lang w:val="en-GB"/>
        </w:rPr>
        <w:t>To further determine the specific parasite species, 142 PCR-positive samples were chosen for sequencing (Table S1</w:t>
      </w:r>
      <w:r w:rsidR="00F26FB1" w:rsidRPr="006F0F59">
        <w:rPr>
          <w:rFonts w:cstheme="minorHAnsi"/>
          <w:sz w:val="24"/>
          <w:szCs w:val="24"/>
          <w:lang w:val="en-GB"/>
        </w:rPr>
        <w:t>, S</w:t>
      </w:r>
      <w:r w:rsidR="00620860">
        <w:rPr>
          <w:rFonts w:cstheme="minorHAnsi"/>
          <w:sz w:val="24"/>
          <w:szCs w:val="24"/>
          <w:lang w:val="en-GB"/>
        </w:rPr>
        <w:t>2</w:t>
      </w:r>
      <w:r w:rsidRPr="006F0F59">
        <w:rPr>
          <w:rFonts w:cstheme="minorHAnsi"/>
          <w:sz w:val="24"/>
          <w:szCs w:val="24"/>
          <w:lang w:val="en-GB"/>
        </w:rPr>
        <w:t xml:space="preserve">). For library preparation PCR-products </w:t>
      </w:r>
      <w:r w:rsidR="00D677C5">
        <w:rPr>
          <w:rFonts w:cstheme="minorHAnsi"/>
          <w:sz w:val="24"/>
          <w:szCs w:val="24"/>
          <w:lang w:val="en-GB"/>
        </w:rPr>
        <w:t xml:space="preserve">from the reaction described above </w:t>
      </w:r>
      <w:r w:rsidRPr="006F0F59">
        <w:rPr>
          <w:rFonts w:cstheme="minorHAnsi"/>
          <w:sz w:val="24"/>
          <w:szCs w:val="24"/>
          <w:lang w:val="en-GB"/>
        </w:rPr>
        <w:t>were purified</w:t>
      </w:r>
      <w:r w:rsidR="00D677C5">
        <w:rPr>
          <w:rFonts w:cstheme="minorHAnsi"/>
          <w:sz w:val="24"/>
          <w:szCs w:val="24"/>
          <w:lang w:val="en-GB"/>
        </w:rPr>
        <w:t xml:space="preserve"> using SPRI beads </w:t>
      </w:r>
      <w:r w:rsidRPr="006F0F59">
        <w:rPr>
          <w:rFonts w:cstheme="minorHAnsi"/>
          <w:sz w:val="24"/>
          <w:szCs w:val="24"/>
          <w:lang w:val="en-GB"/>
        </w:rPr>
        <w:t xml:space="preserve">and used for the second PCR to attach Illumina adapters and unique individual </w:t>
      </w:r>
      <w:r w:rsidR="00C56A02">
        <w:rPr>
          <w:rFonts w:cstheme="minorHAnsi"/>
          <w:sz w:val="24"/>
          <w:szCs w:val="24"/>
          <w:lang w:val="en-GB"/>
        </w:rPr>
        <w:t xml:space="preserve">indexes </w:t>
      </w:r>
      <w:r w:rsidRPr="006F0F59">
        <w:rPr>
          <w:rFonts w:cstheme="minorHAnsi"/>
          <w:sz w:val="24"/>
          <w:szCs w:val="24"/>
          <w:lang w:val="en-GB"/>
        </w:rPr>
        <w:t>following the modified PCR protocol described in</w:t>
      </w:r>
      <w:r w:rsidR="000C348A" w:rsidRPr="00157F85">
        <w:rPr>
          <w:rFonts w:ascii="Times New Roman" w:hAnsi="Times New Roman" w:cs="Times New Roman"/>
          <w:sz w:val="24"/>
          <w:lang w:val="en-GB"/>
        </w:rPr>
        <w:t>[18]</w:t>
      </w:r>
      <w:r w:rsidR="006C2713">
        <w:rPr>
          <w:rFonts w:cstheme="minorHAnsi"/>
          <w:sz w:val="24"/>
          <w:szCs w:val="24"/>
          <w:lang w:val="en-GB"/>
        </w:rPr>
        <w:t xml:space="preserve">: </w:t>
      </w:r>
      <w:r w:rsidRPr="006F0F59">
        <w:rPr>
          <w:rFonts w:cstheme="minorHAnsi"/>
          <w:sz w:val="24"/>
          <w:szCs w:val="24"/>
          <w:lang w:val="en-GB"/>
        </w:rPr>
        <w:t>for a reaction volume of 12.5 </w:t>
      </w:r>
      <w:r w:rsidRPr="006F0F59">
        <w:rPr>
          <w:rFonts w:cstheme="minorHAnsi"/>
          <w:sz w:val="24"/>
          <w:szCs w:val="24"/>
        </w:rPr>
        <w:t>μ</w:t>
      </w:r>
      <w:r w:rsidRPr="006F0F59">
        <w:rPr>
          <w:rFonts w:cstheme="minorHAnsi"/>
          <w:sz w:val="24"/>
          <w:szCs w:val="24"/>
          <w:lang w:val="en-GB"/>
        </w:rPr>
        <w:t>l, 6.25 </w:t>
      </w:r>
      <w:r w:rsidRPr="006F0F59">
        <w:rPr>
          <w:rFonts w:cstheme="minorHAnsi"/>
          <w:sz w:val="24"/>
          <w:szCs w:val="24"/>
        </w:rPr>
        <w:t>μ</w:t>
      </w:r>
      <w:r w:rsidRPr="006F0F59">
        <w:rPr>
          <w:rFonts w:cstheme="minorHAnsi"/>
          <w:sz w:val="24"/>
          <w:szCs w:val="24"/>
          <w:lang w:val="en-GB"/>
        </w:rPr>
        <w:t>l KAPA HiFi</w:t>
      </w:r>
      <w:r w:rsidR="003832EF">
        <w:rPr>
          <w:rFonts w:cstheme="minorHAnsi"/>
          <w:sz w:val="24"/>
          <w:szCs w:val="24"/>
          <w:lang w:val="en-GB"/>
        </w:rPr>
        <w:t xml:space="preserve"> </w:t>
      </w:r>
      <w:r w:rsidRPr="006F0F59">
        <w:rPr>
          <w:rFonts w:cstheme="minorHAnsi"/>
          <w:sz w:val="24"/>
          <w:szCs w:val="24"/>
          <w:lang w:val="en-GB"/>
        </w:rPr>
        <w:t>HotStart</w:t>
      </w:r>
      <w:r w:rsidR="003832EF">
        <w:rPr>
          <w:rFonts w:cstheme="minorHAnsi"/>
          <w:sz w:val="24"/>
          <w:szCs w:val="24"/>
          <w:lang w:val="en-GB"/>
        </w:rPr>
        <w:t xml:space="preserve"> </w:t>
      </w:r>
      <w:r w:rsidRPr="006F0F59">
        <w:rPr>
          <w:rFonts w:cstheme="minorHAnsi"/>
          <w:sz w:val="24"/>
          <w:szCs w:val="24"/>
          <w:lang w:val="en-GB"/>
        </w:rPr>
        <w:t>MasterMix (product nr KK2602, KAPA Biosystems, Wilmington, Massachusetts, USA), 3</w:t>
      </w:r>
      <w:r w:rsidR="00006E7B">
        <w:rPr>
          <w:rFonts w:cstheme="minorHAnsi"/>
          <w:sz w:val="24"/>
          <w:szCs w:val="24"/>
          <w:lang w:val="en-GB"/>
        </w:rPr>
        <w:t>.75</w:t>
      </w:r>
      <w:r w:rsidRPr="006F0F59">
        <w:rPr>
          <w:rFonts w:cstheme="minorHAnsi"/>
          <w:sz w:val="24"/>
          <w:szCs w:val="24"/>
          <w:lang w:val="en-GB"/>
        </w:rPr>
        <w:t> </w:t>
      </w:r>
      <w:r w:rsidR="00006E7B" w:rsidRPr="00587758">
        <w:rPr>
          <w:rFonts w:cstheme="minorHAnsi"/>
          <w:sz w:val="24"/>
          <w:szCs w:val="24"/>
          <w:lang w:val="en-GB"/>
        </w:rPr>
        <w:t>pmol</w:t>
      </w:r>
      <w:r w:rsidR="003832EF">
        <w:rPr>
          <w:rFonts w:cstheme="minorHAnsi"/>
          <w:sz w:val="24"/>
          <w:szCs w:val="24"/>
          <w:lang w:val="en-GB"/>
        </w:rPr>
        <w:t xml:space="preserve"> </w:t>
      </w:r>
      <w:r w:rsidRPr="006F0F59">
        <w:rPr>
          <w:rFonts w:cstheme="minorHAnsi"/>
          <w:sz w:val="24"/>
          <w:szCs w:val="24"/>
          <w:lang w:val="en-GB"/>
        </w:rPr>
        <w:t xml:space="preserve">of each primer, 1.25 </w:t>
      </w:r>
      <w:r w:rsidRPr="006F0F59">
        <w:rPr>
          <w:rFonts w:cstheme="minorHAnsi"/>
          <w:sz w:val="24"/>
          <w:szCs w:val="24"/>
        </w:rPr>
        <w:t>μ</w:t>
      </w:r>
      <w:r w:rsidRPr="006F0F59">
        <w:rPr>
          <w:rFonts w:cstheme="minorHAnsi"/>
          <w:sz w:val="24"/>
          <w:szCs w:val="24"/>
          <w:lang w:val="en-GB"/>
        </w:rPr>
        <w:t>l of sterile deionized water and 2 </w:t>
      </w:r>
      <w:r w:rsidRPr="006F0F59">
        <w:rPr>
          <w:rFonts w:cstheme="minorHAnsi"/>
          <w:sz w:val="24"/>
          <w:szCs w:val="24"/>
        </w:rPr>
        <w:t>μ</w:t>
      </w:r>
      <w:r w:rsidRPr="006F0F59">
        <w:rPr>
          <w:rFonts w:cstheme="minorHAnsi"/>
          <w:sz w:val="24"/>
          <w:szCs w:val="24"/>
          <w:lang w:val="en-GB"/>
        </w:rPr>
        <w:t xml:space="preserve">l of purified locus‐specific PCR product were mixed. The PCR cycling conditions were similar to those described in </w:t>
      </w:r>
      <w:r w:rsidR="000C348A" w:rsidRPr="00157F85">
        <w:rPr>
          <w:rFonts w:ascii="Times New Roman" w:hAnsi="Times New Roman" w:cs="Times New Roman"/>
          <w:sz w:val="24"/>
          <w:lang w:val="en-GB"/>
        </w:rPr>
        <w:t>[18]</w:t>
      </w:r>
      <w:r w:rsidR="003832EF">
        <w:rPr>
          <w:rFonts w:ascii="Times New Roman" w:hAnsi="Times New Roman" w:cs="Times New Roman"/>
          <w:sz w:val="24"/>
          <w:lang w:val="en-GB"/>
        </w:rPr>
        <w:t xml:space="preserve"> </w:t>
      </w:r>
      <w:r w:rsidRPr="006F0F59">
        <w:rPr>
          <w:rFonts w:cstheme="minorHAnsi"/>
          <w:sz w:val="24"/>
          <w:szCs w:val="24"/>
          <w:lang w:val="en-GB"/>
        </w:rPr>
        <w:t xml:space="preserve">except that the extension step was 20 s. After </w:t>
      </w:r>
      <w:r w:rsidR="00006E7B">
        <w:rPr>
          <w:rFonts w:cstheme="minorHAnsi"/>
          <w:sz w:val="24"/>
          <w:szCs w:val="24"/>
          <w:lang w:val="en-GB"/>
        </w:rPr>
        <w:t xml:space="preserve">the </w:t>
      </w:r>
      <w:r w:rsidR="00C6771C">
        <w:rPr>
          <w:rFonts w:cstheme="minorHAnsi"/>
          <w:sz w:val="24"/>
          <w:szCs w:val="24"/>
          <w:lang w:val="en-GB"/>
        </w:rPr>
        <w:t xml:space="preserve">indexing </w:t>
      </w:r>
      <w:r w:rsidR="00006E7B">
        <w:rPr>
          <w:rFonts w:cstheme="minorHAnsi"/>
          <w:sz w:val="24"/>
          <w:szCs w:val="24"/>
          <w:lang w:val="en-GB"/>
        </w:rPr>
        <w:t>PCR</w:t>
      </w:r>
      <w:r w:rsidRPr="006F0F59">
        <w:rPr>
          <w:rFonts w:cstheme="minorHAnsi"/>
          <w:sz w:val="24"/>
          <w:szCs w:val="24"/>
          <w:lang w:val="en-GB"/>
        </w:rPr>
        <w:t>, 2 </w:t>
      </w:r>
      <w:r w:rsidRPr="006F0F59">
        <w:rPr>
          <w:rFonts w:cstheme="minorHAnsi"/>
          <w:sz w:val="24"/>
          <w:szCs w:val="24"/>
        </w:rPr>
        <w:t>μ</w:t>
      </w:r>
      <w:r w:rsidRPr="006F0F59">
        <w:rPr>
          <w:rFonts w:cstheme="minorHAnsi"/>
          <w:sz w:val="24"/>
          <w:szCs w:val="24"/>
          <w:lang w:val="en-GB"/>
        </w:rPr>
        <w:t xml:space="preserve">l of each indexed sample </w:t>
      </w:r>
      <w:r w:rsidR="00C6771C" w:rsidRPr="006F0F59">
        <w:rPr>
          <w:rFonts w:cstheme="minorHAnsi"/>
          <w:sz w:val="24"/>
          <w:szCs w:val="24"/>
          <w:lang w:val="en-GB"/>
        </w:rPr>
        <w:t>w</w:t>
      </w:r>
      <w:r w:rsidR="00C6771C">
        <w:rPr>
          <w:rFonts w:cstheme="minorHAnsi"/>
          <w:sz w:val="24"/>
          <w:szCs w:val="24"/>
          <w:lang w:val="en-GB"/>
        </w:rPr>
        <w:t>ere</w:t>
      </w:r>
      <w:r w:rsidRPr="006F0F59">
        <w:rPr>
          <w:rFonts w:cstheme="minorHAnsi"/>
          <w:sz w:val="24"/>
          <w:szCs w:val="24"/>
          <w:lang w:val="en-GB"/>
        </w:rPr>
        <w:t>pooled together and purified using SPRI beads.The quality of library pool was ensured using Agilent Bioanalyzer 2100 and the library pool concentration was measured with Qubit DNA HS kit. The samples were sequenced in a single run with Illumina MiSeq instrument (Illumina Inc., San Diego, California, USA) by the Turku Centre for Biotechnology, Turku, Finland, using v3 sequencing chemistry. Paired-end sequencing with 2 x 300 bp read length was used with 8 bp dual index run.</w:t>
      </w:r>
    </w:p>
    <w:p w:rsidR="00AB5E48" w:rsidRPr="006F0F59" w:rsidRDefault="00AB5E48" w:rsidP="007449E2">
      <w:pPr>
        <w:spacing w:line="360" w:lineRule="auto"/>
        <w:contextualSpacing/>
        <w:jc w:val="both"/>
        <w:rPr>
          <w:rFonts w:cstheme="minorHAnsi"/>
          <w:i/>
          <w:sz w:val="24"/>
          <w:szCs w:val="24"/>
          <w:lang w:val="en-GB"/>
        </w:rPr>
      </w:pPr>
    </w:p>
    <w:p w:rsidR="00AB5E48" w:rsidRPr="006F0F59" w:rsidRDefault="00AB5E48" w:rsidP="007449E2">
      <w:pPr>
        <w:spacing w:line="360" w:lineRule="auto"/>
        <w:contextualSpacing/>
        <w:jc w:val="both"/>
        <w:rPr>
          <w:rFonts w:cstheme="minorHAnsi"/>
          <w:i/>
          <w:sz w:val="24"/>
          <w:szCs w:val="24"/>
          <w:lang w:val="en-GB"/>
        </w:rPr>
      </w:pPr>
      <w:r w:rsidRPr="006F0F59">
        <w:rPr>
          <w:rFonts w:cstheme="minorHAnsi"/>
          <w:i/>
          <w:sz w:val="24"/>
          <w:szCs w:val="24"/>
          <w:lang w:val="en-GB"/>
        </w:rPr>
        <w:t>Processing of the COI reads</w:t>
      </w:r>
    </w:p>
    <w:p w:rsidR="00F26FB1" w:rsidRPr="006F0F59" w:rsidRDefault="00AB5E48" w:rsidP="007449E2">
      <w:pPr>
        <w:spacing w:line="360" w:lineRule="auto"/>
        <w:contextualSpacing/>
        <w:jc w:val="both"/>
        <w:rPr>
          <w:rFonts w:cstheme="minorHAnsi"/>
          <w:sz w:val="24"/>
          <w:szCs w:val="24"/>
          <w:lang w:val="en-GB"/>
        </w:rPr>
      </w:pPr>
      <w:r w:rsidRPr="006F0F59">
        <w:rPr>
          <w:rFonts w:cstheme="minorHAnsi"/>
          <w:sz w:val="24"/>
          <w:szCs w:val="24"/>
          <w:lang w:val="en-GB"/>
        </w:rPr>
        <w:t>The demultiplexed paired-end reads were merged using PEAR ver. 0.9.6</w:t>
      </w:r>
      <w:r w:rsidR="000C348A" w:rsidRPr="00157F85">
        <w:rPr>
          <w:rFonts w:ascii="Times New Roman" w:hAnsi="Times New Roman" w:cs="Times New Roman"/>
          <w:sz w:val="24"/>
          <w:lang w:val="en-GB"/>
        </w:rPr>
        <w:t>[20]</w:t>
      </w:r>
      <w:r w:rsidRPr="006F0F59">
        <w:rPr>
          <w:rFonts w:cstheme="minorHAnsi"/>
          <w:sz w:val="24"/>
          <w:szCs w:val="24"/>
          <w:lang w:val="en-GB"/>
        </w:rPr>
        <w:t xml:space="preserve"> with default parameters, except that the assembly range was set between 400 and 600 bp. The merged reads containing non-complete primer tails (~ 12%) were excluded from the following </w:t>
      </w:r>
      <w:r w:rsidR="00F26FB1" w:rsidRPr="006F0F59">
        <w:rPr>
          <w:rFonts w:cstheme="minorHAnsi"/>
          <w:sz w:val="24"/>
          <w:szCs w:val="24"/>
          <w:lang w:val="en-GB"/>
        </w:rPr>
        <w:t>analyses</w:t>
      </w:r>
      <w:r w:rsidRPr="006F0F59">
        <w:rPr>
          <w:rFonts w:cstheme="minorHAnsi"/>
          <w:sz w:val="24"/>
          <w:szCs w:val="24"/>
          <w:lang w:val="en-GB"/>
        </w:rPr>
        <w:t xml:space="preserve"> (Table S</w:t>
      </w:r>
      <w:r w:rsidR="00620860">
        <w:rPr>
          <w:rFonts w:cstheme="minorHAnsi"/>
          <w:sz w:val="24"/>
          <w:szCs w:val="24"/>
          <w:lang w:val="en-GB"/>
        </w:rPr>
        <w:t>2</w:t>
      </w:r>
      <w:r w:rsidRPr="006F0F59">
        <w:rPr>
          <w:rFonts w:cstheme="minorHAnsi"/>
          <w:sz w:val="24"/>
          <w:szCs w:val="24"/>
          <w:lang w:val="en-GB"/>
        </w:rPr>
        <w:t>). The both forward and reverse primer tails were removed from the sequences using cutadapt ver. 1.10</w:t>
      </w:r>
      <w:r w:rsidR="000C348A" w:rsidRPr="00157F85">
        <w:rPr>
          <w:rFonts w:ascii="Times New Roman" w:hAnsi="Times New Roman" w:cs="Times New Roman"/>
          <w:sz w:val="24"/>
          <w:lang w:val="en-GB"/>
        </w:rPr>
        <w:t>[21]</w:t>
      </w:r>
      <w:r w:rsidRPr="006F0F59">
        <w:rPr>
          <w:rFonts w:cstheme="minorHAnsi"/>
          <w:sz w:val="24"/>
          <w:szCs w:val="24"/>
          <w:lang w:val="en-GB"/>
        </w:rPr>
        <w:t xml:space="preserve">with default settings. </w:t>
      </w:r>
      <w:r w:rsidR="00F26FB1" w:rsidRPr="006F0F59" w:rsidDel="00A659C7">
        <w:rPr>
          <w:rFonts w:cstheme="minorHAnsi"/>
          <w:sz w:val="24"/>
          <w:szCs w:val="24"/>
          <w:lang w:val="en-GB"/>
        </w:rPr>
        <w:t xml:space="preserve">For robust downstream analysis only the samples containing ≥1000 </w:t>
      </w:r>
      <w:r w:rsidR="001A34AC">
        <w:rPr>
          <w:rFonts w:cstheme="minorHAnsi"/>
          <w:sz w:val="24"/>
          <w:szCs w:val="24"/>
          <w:lang w:val="en-GB"/>
        </w:rPr>
        <w:t xml:space="preserve">filtered and merged </w:t>
      </w:r>
      <w:r w:rsidR="00F26FB1" w:rsidRPr="006F0F59" w:rsidDel="00A659C7">
        <w:rPr>
          <w:rFonts w:cstheme="minorHAnsi"/>
          <w:sz w:val="24"/>
          <w:szCs w:val="24"/>
          <w:lang w:val="en-GB"/>
        </w:rPr>
        <w:t>sequences</w:t>
      </w:r>
      <w:r w:rsidR="003832EF">
        <w:rPr>
          <w:rFonts w:cstheme="minorHAnsi"/>
          <w:sz w:val="24"/>
          <w:szCs w:val="24"/>
          <w:lang w:val="en-GB"/>
        </w:rPr>
        <w:t xml:space="preserve"> </w:t>
      </w:r>
      <w:r w:rsidR="000C348A" w:rsidRPr="00157F85">
        <w:rPr>
          <w:rFonts w:ascii="Times New Roman" w:hAnsi="Times New Roman" w:cs="Times New Roman"/>
          <w:sz w:val="24"/>
          <w:lang w:val="en-GB"/>
        </w:rPr>
        <w:t>[22]</w:t>
      </w:r>
      <w:r w:rsidR="00F26FB1" w:rsidRPr="006F0F59" w:rsidDel="00A659C7">
        <w:rPr>
          <w:rFonts w:cstheme="minorHAnsi"/>
          <w:sz w:val="24"/>
          <w:szCs w:val="24"/>
          <w:lang w:val="en-GB"/>
        </w:rPr>
        <w:t>were retained (115 of 142; Table S</w:t>
      </w:r>
      <w:r w:rsidR="00620860">
        <w:rPr>
          <w:rFonts w:cstheme="minorHAnsi"/>
          <w:sz w:val="24"/>
          <w:szCs w:val="24"/>
          <w:lang w:val="en-GB"/>
        </w:rPr>
        <w:t>2</w:t>
      </w:r>
      <w:r w:rsidR="00F26FB1" w:rsidRPr="006F0F59" w:rsidDel="00A659C7">
        <w:rPr>
          <w:rFonts w:cstheme="minorHAnsi"/>
          <w:sz w:val="24"/>
          <w:szCs w:val="24"/>
          <w:lang w:val="en-GB"/>
        </w:rPr>
        <w:t>).</w:t>
      </w:r>
    </w:p>
    <w:p w:rsidR="00975CF2" w:rsidRPr="006F0F59" w:rsidRDefault="00F26FB1" w:rsidP="007449E2">
      <w:pPr>
        <w:spacing w:before="100" w:beforeAutospacing="1" w:after="100" w:afterAutospacing="1" w:line="360" w:lineRule="auto"/>
        <w:contextualSpacing/>
        <w:jc w:val="both"/>
        <w:rPr>
          <w:rFonts w:cstheme="minorHAnsi"/>
          <w:sz w:val="24"/>
          <w:szCs w:val="24"/>
          <w:lang w:val="en-US"/>
        </w:rPr>
      </w:pPr>
      <w:r w:rsidRPr="006F0F59">
        <w:rPr>
          <w:rFonts w:cstheme="minorHAnsi"/>
          <w:sz w:val="24"/>
          <w:szCs w:val="24"/>
          <w:lang w:val="en-GB"/>
        </w:rPr>
        <w:t xml:space="preserve">Taxonomic classification </w:t>
      </w:r>
      <w:r w:rsidR="00975CF2" w:rsidRPr="006F0F59">
        <w:rPr>
          <w:rFonts w:cstheme="minorHAnsi"/>
          <w:sz w:val="24"/>
          <w:szCs w:val="24"/>
          <w:lang w:val="en-GB"/>
        </w:rPr>
        <w:t xml:space="preserve">of parasite sequences </w:t>
      </w:r>
      <w:r w:rsidRPr="006F0F59">
        <w:rPr>
          <w:rFonts w:cstheme="minorHAnsi"/>
          <w:sz w:val="24"/>
          <w:szCs w:val="24"/>
          <w:lang w:val="en-GB"/>
        </w:rPr>
        <w:t>was performed with Kraken</w:t>
      </w:r>
      <w:r w:rsidR="00B2491D" w:rsidRPr="006F0F59">
        <w:rPr>
          <w:rFonts w:cstheme="minorHAnsi"/>
          <w:sz w:val="24"/>
          <w:szCs w:val="24"/>
          <w:lang w:val="en-GB"/>
        </w:rPr>
        <w:t xml:space="preserve"> ver. 2.0.6-beta </w:t>
      </w:r>
      <w:r w:rsidR="000C348A" w:rsidRPr="00157F85">
        <w:rPr>
          <w:rFonts w:ascii="Times New Roman" w:hAnsi="Times New Roman" w:cs="Times New Roman"/>
          <w:sz w:val="24"/>
          <w:lang w:val="en-GB"/>
        </w:rPr>
        <w:t>[23]</w:t>
      </w:r>
      <w:r w:rsidR="006C2713">
        <w:rPr>
          <w:rFonts w:cstheme="minorHAnsi"/>
          <w:sz w:val="24"/>
          <w:szCs w:val="24"/>
          <w:lang w:val="en-GB"/>
        </w:rPr>
        <w:t xml:space="preserve">, </w:t>
      </w:r>
      <w:r w:rsidR="00F130BA" w:rsidRPr="006F0F59">
        <w:rPr>
          <w:rFonts w:cstheme="minorHAnsi"/>
          <w:sz w:val="24"/>
          <w:szCs w:val="24"/>
          <w:lang w:val="en-GB"/>
        </w:rPr>
        <w:t xml:space="preserve">using a custom database generated from the available COI gene sequences of the phylum Plathyhelmintes. </w:t>
      </w:r>
      <w:r w:rsidR="00975CF2" w:rsidRPr="006F0F59">
        <w:rPr>
          <w:rFonts w:cstheme="minorHAnsi"/>
          <w:sz w:val="24"/>
          <w:szCs w:val="24"/>
          <w:lang w:val="en-GB"/>
        </w:rPr>
        <w:t xml:space="preserve">The </w:t>
      </w:r>
      <w:r w:rsidR="00F130BA" w:rsidRPr="006F0F59">
        <w:rPr>
          <w:rFonts w:cstheme="minorHAnsi"/>
          <w:sz w:val="24"/>
          <w:szCs w:val="24"/>
          <w:lang w:val="en-GB"/>
        </w:rPr>
        <w:t>sequences were extracted from the NCBI</w:t>
      </w:r>
      <w:r w:rsidR="00F84D21" w:rsidRPr="006F0F59">
        <w:rPr>
          <w:rFonts w:cstheme="minorHAnsi"/>
          <w:sz w:val="24"/>
          <w:szCs w:val="24"/>
          <w:lang w:val="en-GB"/>
        </w:rPr>
        <w:t xml:space="preserve">’s </w:t>
      </w:r>
      <w:r w:rsidR="00F130BA" w:rsidRPr="006F0F59">
        <w:rPr>
          <w:rFonts w:cstheme="minorHAnsi"/>
          <w:sz w:val="24"/>
          <w:szCs w:val="24"/>
          <w:lang w:val="en-GB"/>
        </w:rPr>
        <w:t>non-redundant nucleotide database (</w:t>
      </w:r>
      <w:r w:rsidR="00F84D21" w:rsidRPr="006F0F59">
        <w:rPr>
          <w:rFonts w:cstheme="minorHAnsi"/>
          <w:sz w:val="24"/>
          <w:szCs w:val="24"/>
          <w:lang w:val="en-GB"/>
        </w:rPr>
        <w:t xml:space="preserve">ftp://ftp.ncbi.nlm.nih.gov/blast/db/FASTA/nr.gz; downloaded December 2018) and </w:t>
      </w:r>
      <w:r w:rsidR="00697115" w:rsidRPr="006F0F59">
        <w:rPr>
          <w:rFonts w:cstheme="minorHAnsi"/>
          <w:sz w:val="24"/>
          <w:szCs w:val="24"/>
          <w:lang w:val="en-GB"/>
        </w:rPr>
        <w:t>converted</w:t>
      </w:r>
      <w:r w:rsidR="00975CF2" w:rsidRPr="006F0F59">
        <w:rPr>
          <w:rFonts w:cstheme="minorHAnsi"/>
          <w:sz w:val="24"/>
          <w:szCs w:val="24"/>
          <w:lang w:val="en-GB"/>
        </w:rPr>
        <w:t xml:space="preserve"> to a </w:t>
      </w:r>
      <w:r w:rsidR="001A34AC">
        <w:rPr>
          <w:rFonts w:cstheme="minorHAnsi"/>
          <w:sz w:val="24"/>
          <w:szCs w:val="24"/>
          <w:lang w:val="en-GB"/>
        </w:rPr>
        <w:t>K</w:t>
      </w:r>
      <w:r w:rsidR="001A34AC" w:rsidRPr="006F0F59">
        <w:rPr>
          <w:rFonts w:cstheme="minorHAnsi"/>
          <w:sz w:val="24"/>
          <w:szCs w:val="24"/>
          <w:lang w:val="en-GB"/>
        </w:rPr>
        <w:t xml:space="preserve">raken </w:t>
      </w:r>
      <w:r w:rsidR="00975CF2" w:rsidRPr="006F0F59">
        <w:rPr>
          <w:rFonts w:cstheme="minorHAnsi"/>
          <w:sz w:val="24"/>
          <w:szCs w:val="24"/>
          <w:lang w:val="en-GB"/>
        </w:rPr>
        <w:t>database</w:t>
      </w:r>
      <w:r w:rsidR="00697115" w:rsidRPr="006F0F59">
        <w:rPr>
          <w:rFonts w:cstheme="minorHAnsi"/>
          <w:sz w:val="24"/>
          <w:szCs w:val="24"/>
          <w:lang w:val="en-GB"/>
        </w:rPr>
        <w:t xml:space="preserve"> using </w:t>
      </w:r>
      <w:r w:rsidR="00697115" w:rsidRPr="006F0F59">
        <w:rPr>
          <w:rFonts w:cstheme="minorHAnsi"/>
          <w:sz w:val="24"/>
          <w:szCs w:val="24"/>
          <w:lang w:val="en-US"/>
        </w:rPr>
        <w:t>kraken2-build</w:t>
      </w:r>
      <w:r w:rsidR="00F130BA" w:rsidRPr="006F0F59">
        <w:rPr>
          <w:rFonts w:cstheme="minorHAnsi"/>
          <w:sz w:val="24"/>
          <w:szCs w:val="24"/>
          <w:lang w:val="en-GB"/>
        </w:rPr>
        <w:t xml:space="preserve">. </w:t>
      </w:r>
      <w:r w:rsidRPr="006F0F59">
        <w:rPr>
          <w:rFonts w:cstheme="minorHAnsi"/>
          <w:sz w:val="24"/>
          <w:szCs w:val="24"/>
          <w:lang w:val="en-GB"/>
        </w:rPr>
        <w:t>In addition, to validate the Kaken results</w:t>
      </w:r>
      <w:r w:rsidR="00154799">
        <w:rPr>
          <w:rFonts w:cstheme="minorHAnsi"/>
          <w:sz w:val="24"/>
          <w:szCs w:val="24"/>
          <w:lang w:val="en-GB"/>
        </w:rPr>
        <w:t xml:space="preserve"> with probabilistic approach</w:t>
      </w:r>
      <w:r w:rsidRPr="006F0F59">
        <w:rPr>
          <w:rFonts w:cstheme="minorHAnsi"/>
          <w:sz w:val="24"/>
          <w:szCs w:val="24"/>
          <w:lang w:val="en-GB"/>
        </w:rPr>
        <w:t xml:space="preserve">, the </w:t>
      </w:r>
      <w:r w:rsidR="00975CF2" w:rsidRPr="006F0F59">
        <w:rPr>
          <w:rFonts w:cstheme="minorHAnsi"/>
          <w:sz w:val="24"/>
          <w:szCs w:val="24"/>
          <w:lang w:val="en-GB"/>
        </w:rPr>
        <w:t xml:space="preserve">parasite </w:t>
      </w:r>
      <w:r w:rsidRPr="006F0F59">
        <w:rPr>
          <w:rFonts w:cstheme="minorHAnsi"/>
          <w:sz w:val="24"/>
          <w:szCs w:val="24"/>
          <w:lang w:val="en-GB"/>
        </w:rPr>
        <w:t xml:space="preserve">sequences were classified </w:t>
      </w:r>
      <w:r w:rsidR="00154799">
        <w:rPr>
          <w:rFonts w:cstheme="minorHAnsi"/>
          <w:sz w:val="24"/>
          <w:szCs w:val="24"/>
          <w:lang w:val="en-GB"/>
        </w:rPr>
        <w:t xml:space="preserve">by applying </w:t>
      </w:r>
      <w:r w:rsidR="00154799">
        <w:rPr>
          <w:rFonts w:cstheme="minorHAnsi"/>
          <w:sz w:val="24"/>
          <w:szCs w:val="24"/>
          <w:lang w:val="en-GB"/>
        </w:rPr>
        <w:lastRenderedPageBreak/>
        <w:t xml:space="preserve">a naïve Bayesian classifier using </w:t>
      </w:r>
      <w:r w:rsidRPr="006F0F59">
        <w:rPr>
          <w:rFonts w:cstheme="minorHAnsi"/>
          <w:sz w:val="24"/>
          <w:szCs w:val="24"/>
          <w:lang w:val="en-GB"/>
        </w:rPr>
        <w:t xml:space="preserve">RPD ver. 11.5 </w:t>
      </w:r>
      <w:r w:rsidR="000C348A" w:rsidRPr="00157F85">
        <w:rPr>
          <w:rFonts w:ascii="Times New Roman" w:hAnsi="Times New Roman" w:cs="Times New Roman"/>
          <w:sz w:val="24"/>
          <w:lang w:val="en-GB"/>
        </w:rPr>
        <w:t>[24]</w:t>
      </w:r>
      <w:r w:rsidR="005B6759">
        <w:rPr>
          <w:rFonts w:cstheme="minorHAnsi"/>
          <w:sz w:val="24"/>
          <w:szCs w:val="24"/>
          <w:lang w:val="en-GB"/>
        </w:rPr>
        <w:t>as described in</w:t>
      </w:r>
      <w:r w:rsidR="000C348A" w:rsidRPr="00157F85">
        <w:rPr>
          <w:rFonts w:ascii="Times New Roman" w:hAnsi="Times New Roman" w:cs="Times New Roman"/>
          <w:sz w:val="24"/>
          <w:lang w:val="en-GB"/>
        </w:rPr>
        <w:t>[25]</w:t>
      </w:r>
      <w:r w:rsidRPr="006F0F59">
        <w:rPr>
          <w:rFonts w:cstheme="minorHAnsi"/>
          <w:sz w:val="24"/>
          <w:szCs w:val="24"/>
          <w:lang w:val="en-GB"/>
        </w:rPr>
        <w:t xml:space="preserve">. </w:t>
      </w:r>
      <w:r w:rsidR="00975CF2" w:rsidRPr="006F0F59">
        <w:rPr>
          <w:rFonts w:cstheme="minorHAnsi"/>
          <w:sz w:val="24"/>
          <w:szCs w:val="24"/>
          <w:lang w:val="en-GB"/>
        </w:rPr>
        <w:t xml:space="preserve">The RDP database was generated from the same Plathyhelmintes NCBI sequences after adding full taxonomy path in Geneious Prime </w:t>
      </w:r>
      <w:r w:rsidR="008D32A5">
        <w:rPr>
          <w:rFonts w:cstheme="minorHAnsi"/>
          <w:sz w:val="24"/>
          <w:szCs w:val="24"/>
          <w:lang w:val="en-GB"/>
        </w:rPr>
        <w:t xml:space="preserve">ver. </w:t>
      </w:r>
      <w:r w:rsidR="00C20CB4" w:rsidRPr="00C20CB4">
        <w:rPr>
          <w:rFonts w:cstheme="minorHAnsi"/>
          <w:sz w:val="24"/>
          <w:szCs w:val="24"/>
          <w:lang w:val="en-GB"/>
        </w:rPr>
        <w:t>2019.2</w:t>
      </w:r>
      <w:r w:rsidR="000C348A" w:rsidRPr="00157F85">
        <w:rPr>
          <w:rFonts w:ascii="Times New Roman" w:hAnsi="Times New Roman" w:cs="Times New Roman"/>
          <w:sz w:val="24"/>
          <w:lang w:val="en-GB"/>
        </w:rPr>
        <w:t>[26]</w:t>
      </w:r>
      <w:r w:rsidR="006C2713">
        <w:rPr>
          <w:rFonts w:cstheme="minorHAnsi"/>
          <w:sz w:val="24"/>
          <w:szCs w:val="24"/>
          <w:lang w:val="en-GB"/>
        </w:rPr>
        <w:t xml:space="preserve">. </w:t>
      </w:r>
      <w:r w:rsidR="00BB3280">
        <w:rPr>
          <w:rFonts w:cstheme="minorHAnsi"/>
          <w:sz w:val="24"/>
          <w:szCs w:val="24"/>
          <w:lang w:val="en-GB"/>
        </w:rPr>
        <w:t>A 95% probability cu</w:t>
      </w:r>
      <w:r w:rsidR="004E68B2">
        <w:rPr>
          <w:rFonts w:cstheme="minorHAnsi"/>
          <w:sz w:val="24"/>
          <w:szCs w:val="24"/>
          <w:lang w:val="en-GB"/>
        </w:rPr>
        <w:t>t-off was applied for RDP results</w:t>
      </w:r>
      <w:r w:rsidR="00BB3280">
        <w:rPr>
          <w:rFonts w:cstheme="minorHAnsi"/>
          <w:sz w:val="24"/>
          <w:szCs w:val="24"/>
          <w:lang w:val="en-GB"/>
        </w:rPr>
        <w:t xml:space="preserve"> to assign parasite sequences to a genus/spe</w:t>
      </w:r>
      <w:r w:rsidR="004E68B2">
        <w:rPr>
          <w:rFonts w:cstheme="minorHAnsi"/>
          <w:sz w:val="24"/>
          <w:szCs w:val="24"/>
          <w:lang w:val="en-GB"/>
        </w:rPr>
        <w:t>c</w:t>
      </w:r>
      <w:r w:rsidR="00BB3280">
        <w:rPr>
          <w:rFonts w:cstheme="minorHAnsi"/>
          <w:sz w:val="24"/>
          <w:szCs w:val="24"/>
          <w:lang w:val="en-GB"/>
        </w:rPr>
        <w:t>ies.</w:t>
      </w:r>
    </w:p>
    <w:p w:rsidR="005D2E58" w:rsidRDefault="00F26FB1" w:rsidP="007449E2">
      <w:pPr>
        <w:spacing w:line="360" w:lineRule="auto"/>
        <w:contextualSpacing/>
        <w:jc w:val="both"/>
        <w:rPr>
          <w:rFonts w:cstheme="minorHAnsi"/>
          <w:sz w:val="24"/>
          <w:szCs w:val="24"/>
          <w:lang w:val="en-GB"/>
        </w:rPr>
      </w:pPr>
      <w:r w:rsidRPr="006F0F59">
        <w:rPr>
          <w:rFonts w:cstheme="minorHAnsi"/>
          <w:sz w:val="24"/>
          <w:szCs w:val="24"/>
          <w:lang w:val="en-GB"/>
        </w:rPr>
        <w:t xml:space="preserve">As both taxonomic classifiers showed consistent results, the further analyses </w:t>
      </w:r>
      <w:r w:rsidR="004F74C8">
        <w:rPr>
          <w:rFonts w:cstheme="minorHAnsi"/>
          <w:sz w:val="24"/>
          <w:szCs w:val="24"/>
          <w:lang w:val="en-GB"/>
        </w:rPr>
        <w:t>was</w:t>
      </w:r>
      <w:r w:rsidRPr="006F0F59">
        <w:rPr>
          <w:rFonts w:cstheme="minorHAnsi"/>
          <w:sz w:val="24"/>
          <w:szCs w:val="24"/>
          <w:lang w:val="en-GB"/>
        </w:rPr>
        <w:t xml:space="preserve">based </w:t>
      </w:r>
      <w:r w:rsidR="004F74C8">
        <w:rPr>
          <w:rFonts w:cstheme="minorHAnsi"/>
          <w:sz w:val="24"/>
          <w:szCs w:val="24"/>
          <w:lang w:val="en-GB"/>
        </w:rPr>
        <w:t xml:space="preserve">only </w:t>
      </w:r>
      <w:r w:rsidRPr="006F0F59">
        <w:rPr>
          <w:rFonts w:cstheme="minorHAnsi"/>
          <w:sz w:val="24"/>
          <w:szCs w:val="24"/>
          <w:lang w:val="en-GB"/>
        </w:rPr>
        <w:t xml:space="preserve">on Kraken classification. To avoid biases related to unequal number of reads per sample </w:t>
      </w:r>
      <w:r w:rsidR="000C348A" w:rsidRPr="00157F85">
        <w:rPr>
          <w:rFonts w:ascii="Times New Roman" w:hAnsi="Times New Roman" w:cs="Times New Roman"/>
          <w:sz w:val="24"/>
          <w:lang w:val="en-GB"/>
        </w:rPr>
        <w:t>[27]</w:t>
      </w:r>
      <w:r w:rsidRPr="006F0F59">
        <w:rPr>
          <w:rFonts w:cstheme="minorHAnsi"/>
          <w:sz w:val="24"/>
          <w:szCs w:val="24"/>
          <w:lang w:val="en-GB"/>
        </w:rPr>
        <w:t>, the evidence of the presence of a particular parasite genus/species in a sample was considered highly supported if ≥ 5% of the sequences were assigned to a parasite genus/species per eye sample.</w:t>
      </w:r>
      <w:r w:rsidR="005D2E58">
        <w:rPr>
          <w:rFonts w:cstheme="minorHAnsi"/>
          <w:sz w:val="24"/>
          <w:szCs w:val="24"/>
          <w:lang w:val="en-GB"/>
        </w:rPr>
        <w:t>Inevitably, t</w:t>
      </w:r>
      <w:r w:rsidR="004F74C8">
        <w:rPr>
          <w:rFonts w:cstheme="minorHAnsi"/>
          <w:sz w:val="24"/>
          <w:szCs w:val="24"/>
          <w:lang w:val="en-GB"/>
        </w:rPr>
        <w:t>his threshold represents a trade-off between maximizing inclusion of real species and excluding low-level background noise</w:t>
      </w:r>
      <w:r w:rsidR="005D2E58">
        <w:rPr>
          <w:rFonts w:cstheme="minorHAnsi"/>
          <w:sz w:val="24"/>
          <w:szCs w:val="24"/>
          <w:lang w:val="en-GB"/>
        </w:rPr>
        <w:t>. Here, we chose a conservative threshold to avoid incorrect assignments butthis may, in theory, exclude rare taxa.</w:t>
      </w:r>
    </w:p>
    <w:p w:rsidR="00C44F0F" w:rsidRPr="006F0F59" w:rsidRDefault="00AB5E48" w:rsidP="007449E2">
      <w:pPr>
        <w:spacing w:after="0" w:line="360" w:lineRule="auto"/>
        <w:contextualSpacing/>
        <w:jc w:val="both"/>
        <w:rPr>
          <w:rFonts w:cstheme="minorHAnsi"/>
          <w:sz w:val="24"/>
          <w:szCs w:val="24"/>
          <w:lang w:val="en-GB"/>
        </w:rPr>
      </w:pPr>
      <w:r w:rsidRPr="006F0F59">
        <w:rPr>
          <w:rFonts w:cstheme="minorHAnsi"/>
          <w:sz w:val="24"/>
          <w:szCs w:val="24"/>
          <w:lang w:val="en-GB"/>
        </w:rPr>
        <w:t>As the analyses of Kraken results (Fig.1; Table S</w:t>
      </w:r>
      <w:r w:rsidR="00620860">
        <w:rPr>
          <w:rFonts w:cstheme="minorHAnsi"/>
          <w:sz w:val="24"/>
          <w:szCs w:val="24"/>
          <w:lang w:val="en-GB"/>
        </w:rPr>
        <w:t>2</w:t>
      </w:r>
      <w:r w:rsidRPr="006F0F59">
        <w:rPr>
          <w:rFonts w:cstheme="minorHAnsi"/>
          <w:sz w:val="24"/>
          <w:szCs w:val="24"/>
          <w:lang w:val="en-GB"/>
        </w:rPr>
        <w:t xml:space="preserve">) revealed that the most of parasite sequences </w:t>
      </w:r>
      <w:r w:rsidR="005D2E58">
        <w:rPr>
          <w:rFonts w:cstheme="minorHAnsi"/>
          <w:sz w:val="24"/>
          <w:szCs w:val="24"/>
          <w:lang w:val="en-GB"/>
        </w:rPr>
        <w:t>came from</w:t>
      </w:r>
      <w:r w:rsidR="003832EF">
        <w:rPr>
          <w:rFonts w:cstheme="minorHAnsi"/>
          <w:sz w:val="24"/>
          <w:szCs w:val="24"/>
          <w:lang w:val="en-GB"/>
        </w:rPr>
        <w:t xml:space="preserve"> </w:t>
      </w:r>
      <w:r w:rsidRPr="006F0F59">
        <w:rPr>
          <w:rFonts w:cstheme="minorHAnsi"/>
          <w:i/>
          <w:sz w:val="24"/>
          <w:szCs w:val="24"/>
          <w:lang w:val="en-GB"/>
        </w:rPr>
        <w:t>Tylodelphys</w:t>
      </w:r>
      <w:r w:rsidR="003832EF">
        <w:rPr>
          <w:rFonts w:cstheme="minorHAnsi"/>
          <w:i/>
          <w:sz w:val="24"/>
          <w:szCs w:val="24"/>
          <w:lang w:val="en-GB"/>
        </w:rPr>
        <w:t xml:space="preserve"> </w:t>
      </w:r>
      <w:r w:rsidRPr="006F0F59">
        <w:rPr>
          <w:rFonts w:cstheme="minorHAnsi"/>
          <w:i/>
          <w:sz w:val="24"/>
          <w:szCs w:val="24"/>
          <w:lang w:val="en-GB"/>
        </w:rPr>
        <w:t>clavata</w:t>
      </w:r>
      <w:r w:rsidR="003832EF">
        <w:rPr>
          <w:rFonts w:cstheme="minorHAnsi"/>
          <w:i/>
          <w:sz w:val="24"/>
          <w:szCs w:val="24"/>
          <w:lang w:val="en-GB"/>
        </w:rPr>
        <w:t xml:space="preserve"> </w:t>
      </w:r>
      <w:r w:rsidRPr="006F0F59">
        <w:rPr>
          <w:rFonts w:cstheme="minorHAnsi"/>
          <w:sz w:val="24"/>
          <w:szCs w:val="24"/>
          <w:lang w:val="en-GB"/>
        </w:rPr>
        <w:t>(mean=82.7%; median</w:t>
      </w:r>
      <w:r w:rsidR="00975CF2" w:rsidRPr="006F0F59">
        <w:rPr>
          <w:rFonts w:cstheme="minorHAnsi"/>
          <w:sz w:val="24"/>
          <w:szCs w:val="24"/>
          <w:lang w:val="en-GB"/>
        </w:rPr>
        <w:t>=</w:t>
      </w:r>
      <w:r w:rsidRPr="006F0F59">
        <w:rPr>
          <w:rFonts w:cstheme="minorHAnsi"/>
          <w:sz w:val="24"/>
          <w:szCs w:val="24"/>
          <w:lang w:val="en-GB"/>
        </w:rPr>
        <w:t xml:space="preserve">93.9%), the </w:t>
      </w:r>
      <w:r w:rsidR="00396A47" w:rsidRPr="006F0F59">
        <w:rPr>
          <w:rFonts w:cstheme="minorHAnsi"/>
          <w:sz w:val="24"/>
          <w:szCs w:val="24"/>
          <w:lang w:val="en-GB"/>
        </w:rPr>
        <w:t xml:space="preserve">intraspecific </w:t>
      </w:r>
      <w:r w:rsidRPr="006F0F59">
        <w:rPr>
          <w:rFonts w:cstheme="minorHAnsi"/>
          <w:sz w:val="24"/>
          <w:szCs w:val="24"/>
          <w:lang w:val="en-GB"/>
        </w:rPr>
        <w:t xml:space="preserve">diversity of this parasite species was investigated further. First, for each eye sample we extracted all the sequences assigned to </w:t>
      </w:r>
      <w:r w:rsidRPr="006F0F59">
        <w:rPr>
          <w:rFonts w:cstheme="minorHAnsi"/>
          <w:i/>
          <w:sz w:val="24"/>
          <w:szCs w:val="24"/>
          <w:lang w:val="en-GB"/>
        </w:rPr>
        <w:t>T. clavata</w:t>
      </w:r>
      <w:r w:rsidRPr="006F0F59">
        <w:rPr>
          <w:rFonts w:cstheme="minorHAnsi"/>
          <w:sz w:val="24"/>
          <w:szCs w:val="24"/>
          <w:lang w:val="en-GB"/>
        </w:rPr>
        <w:t>. All the sequences containing unknown bases were excluded.</w:t>
      </w:r>
      <w:r w:rsidR="003832EF">
        <w:rPr>
          <w:rFonts w:cstheme="minorHAnsi"/>
          <w:sz w:val="24"/>
          <w:szCs w:val="24"/>
          <w:lang w:val="en-GB"/>
        </w:rPr>
        <w:t xml:space="preserve"> </w:t>
      </w:r>
      <w:r w:rsidRPr="006F0F59">
        <w:rPr>
          <w:rFonts w:cstheme="minorHAnsi"/>
          <w:sz w:val="24"/>
          <w:szCs w:val="24"/>
          <w:lang w:val="en-GB"/>
        </w:rPr>
        <w:t xml:space="preserve">Next, sequences were clustered with cd-hit ver. 4.7 </w:t>
      </w:r>
      <w:r w:rsidR="000C348A" w:rsidRPr="00157F85">
        <w:rPr>
          <w:rFonts w:ascii="Times New Roman" w:hAnsi="Times New Roman" w:cs="Times New Roman"/>
          <w:sz w:val="24"/>
          <w:lang w:val="en-GB"/>
        </w:rPr>
        <w:t>[12,13]</w:t>
      </w:r>
      <w:r w:rsidRPr="006F0F59">
        <w:rPr>
          <w:rFonts w:cstheme="minorHAnsi"/>
          <w:sz w:val="24"/>
          <w:szCs w:val="24"/>
          <w:lang w:val="en-GB"/>
        </w:rPr>
        <w:t xml:space="preserve">using 100% similarity (-c 1) to remove redundancy and exclude unique sequences, as the latter could appear due to technical PCR or sequencing errors. For the subsequent analyses we used only representative sequences of the </w:t>
      </w:r>
      <w:r w:rsidR="00975CF2" w:rsidRPr="006F0F59">
        <w:rPr>
          <w:rFonts w:cstheme="minorHAnsi"/>
          <w:sz w:val="24"/>
          <w:szCs w:val="24"/>
          <w:lang w:val="en-GB"/>
        </w:rPr>
        <w:t xml:space="preserve">cd-hit </w:t>
      </w:r>
      <w:r w:rsidRPr="006F0F59">
        <w:rPr>
          <w:rFonts w:cstheme="minorHAnsi"/>
          <w:sz w:val="24"/>
          <w:szCs w:val="24"/>
          <w:lang w:val="en-GB"/>
        </w:rPr>
        <w:t xml:space="preserve">clusters with more than 2.5% of the total number of sequences (excluding singletons) </w:t>
      </w:r>
      <w:r w:rsidR="009419A3" w:rsidRPr="006F0F59">
        <w:rPr>
          <w:rFonts w:cstheme="minorHAnsi"/>
          <w:sz w:val="24"/>
          <w:szCs w:val="24"/>
          <w:lang w:val="en-GB"/>
        </w:rPr>
        <w:t xml:space="preserve">per sample </w:t>
      </w:r>
      <w:r w:rsidRPr="006F0F59">
        <w:rPr>
          <w:rFonts w:cstheme="minorHAnsi"/>
          <w:sz w:val="24"/>
          <w:szCs w:val="24"/>
          <w:lang w:val="en-GB"/>
        </w:rPr>
        <w:t xml:space="preserve">assigned to </w:t>
      </w:r>
      <w:r w:rsidRPr="006F0F59">
        <w:rPr>
          <w:rFonts w:cstheme="minorHAnsi"/>
          <w:i/>
          <w:sz w:val="24"/>
          <w:szCs w:val="24"/>
          <w:lang w:val="en-GB"/>
        </w:rPr>
        <w:t>T.clavata</w:t>
      </w:r>
      <w:r w:rsidRPr="006F0F59">
        <w:rPr>
          <w:rFonts w:cstheme="minorHAnsi"/>
          <w:sz w:val="24"/>
          <w:szCs w:val="24"/>
          <w:lang w:val="en-GB"/>
        </w:rPr>
        <w:t xml:space="preserve">. </w:t>
      </w:r>
      <w:r w:rsidR="00425FDB">
        <w:rPr>
          <w:rFonts w:cstheme="minorHAnsi"/>
          <w:sz w:val="24"/>
          <w:szCs w:val="24"/>
          <w:lang w:val="en-GB"/>
        </w:rPr>
        <w:t>We also excluded haplotypes that here observed only in a single sample, as these may represent sequencing artefacts. On the other hand, this procedure potentially eliminated rare haplotypes from subsequent analysis.</w:t>
      </w:r>
      <w:r w:rsidR="003832EF">
        <w:rPr>
          <w:rFonts w:cstheme="minorHAnsi"/>
          <w:sz w:val="24"/>
          <w:szCs w:val="24"/>
          <w:lang w:val="en-GB"/>
        </w:rPr>
        <w:t xml:space="preserve"> The final dataset contain</w:t>
      </w:r>
      <w:r w:rsidRPr="006F0F59">
        <w:rPr>
          <w:rFonts w:cstheme="minorHAnsi"/>
          <w:sz w:val="24"/>
          <w:szCs w:val="24"/>
          <w:lang w:val="en-GB"/>
        </w:rPr>
        <w:t xml:space="preserve">ed 348 </w:t>
      </w:r>
      <w:r w:rsidRPr="006F0F59">
        <w:rPr>
          <w:rFonts w:cstheme="minorHAnsi"/>
          <w:i/>
          <w:sz w:val="24"/>
          <w:szCs w:val="24"/>
          <w:lang w:val="en-GB"/>
        </w:rPr>
        <w:t>T. clavata</w:t>
      </w:r>
      <w:r w:rsidRPr="006F0F59">
        <w:rPr>
          <w:rFonts w:cstheme="minorHAnsi"/>
          <w:sz w:val="24"/>
          <w:szCs w:val="24"/>
          <w:lang w:val="en-GB"/>
        </w:rPr>
        <w:t xml:space="preserve"> sequences from 113 eye samples. For comparative purpose we added 7 partial sequences of </w:t>
      </w:r>
      <w:r w:rsidRPr="006F0F59">
        <w:rPr>
          <w:rFonts w:cstheme="minorHAnsi"/>
          <w:i/>
          <w:sz w:val="24"/>
          <w:szCs w:val="24"/>
          <w:lang w:val="en-GB"/>
        </w:rPr>
        <w:t>T. clavata</w:t>
      </w:r>
      <w:r w:rsidRPr="006F0F59">
        <w:rPr>
          <w:rFonts w:cstheme="minorHAnsi"/>
          <w:sz w:val="24"/>
          <w:szCs w:val="24"/>
          <w:lang w:val="en-GB"/>
        </w:rPr>
        <w:t xml:space="preserve"> COI gene deposited in GenBank (accession numbers: KR271473.1, KR271475.1, KR271480.1, KT751175.1, KT768015.1, KT961707.1, KY271544.1). All the sequences were aligned using Muscle v</w:t>
      </w:r>
      <w:r w:rsidR="008D32A5">
        <w:rPr>
          <w:rFonts w:cstheme="minorHAnsi"/>
          <w:sz w:val="24"/>
          <w:szCs w:val="24"/>
          <w:lang w:val="en-GB"/>
        </w:rPr>
        <w:t>er</w:t>
      </w:r>
      <w:r w:rsidRPr="006F0F59">
        <w:rPr>
          <w:rFonts w:cstheme="minorHAnsi"/>
          <w:sz w:val="24"/>
          <w:szCs w:val="24"/>
          <w:lang w:val="en-GB"/>
        </w:rPr>
        <w:t>.3.8.31</w:t>
      </w:r>
      <w:r w:rsidR="007211ED" w:rsidRPr="00157F85">
        <w:rPr>
          <w:rFonts w:ascii="Times New Roman" w:hAnsi="Times New Roman" w:cs="Times New Roman"/>
          <w:sz w:val="24"/>
          <w:lang w:val="en-GB"/>
        </w:rPr>
        <w:t>[28]</w:t>
      </w:r>
      <w:r w:rsidRPr="006F0F59">
        <w:rPr>
          <w:rFonts w:cstheme="minorHAnsi"/>
          <w:sz w:val="24"/>
          <w:szCs w:val="24"/>
          <w:lang w:val="en-GB"/>
        </w:rPr>
        <w:t>and NCBI sequences were trimmed using BioEdit v</w:t>
      </w:r>
      <w:r w:rsidR="008D32A5">
        <w:rPr>
          <w:rFonts w:cstheme="minorHAnsi"/>
          <w:sz w:val="24"/>
          <w:szCs w:val="24"/>
          <w:lang w:val="en-GB"/>
        </w:rPr>
        <w:t>er</w:t>
      </w:r>
      <w:r w:rsidRPr="006F0F59">
        <w:rPr>
          <w:rFonts w:cstheme="minorHAnsi"/>
          <w:sz w:val="24"/>
          <w:szCs w:val="24"/>
          <w:lang w:val="en-GB"/>
        </w:rPr>
        <w:t xml:space="preserve">.7.2.5 </w:t>
      </w:r>
      <w:r w:rsidR="007211ED" w:rsidRPr="00157F85">
        <w:rPr>
          <w:rFonts w:ascii="Times New Roman" w:hAnsi="Times New Roman" w:cs="Times New Roman"/>
          <w:sz w:val="24"/>
          <w:lang w:val="en-GB"/>
        </w:rPr>
        <w:t>[29]</w:t>
      </w:r>
      <w:r w:rsidRPr="006F0F59">
        <w:rPr>
          <w:rFonts w:cstheme="minorHAnsi"/>
          <w:sz w:val="24"/>
          <w:szCs w:val="24"/>
          <w:lang w:val="en-GB"/>
        </w:rPr>
        <w:t xml:space="preserve"> to correspond the size of the COI fragments </w:t>
      </w:r>
      <w:r w:rsidR="009419A3">
        <w:rPr>
          <w:rFonts w:cstheme="minorHAnsi"/>
          <w:sz w:val="24"/>
          <w:szCs w:val="24"/>
          <w:lang w:val="en-GB"/>
        </w:rPr>
        <w:t>from</w:t>
      </w:r>
      <w:r w:rsidR="003832EF">
        <w:rPr>
          <w:rFonts w:cstheme="minorHAnsi"/>
          <w:sz w:val="24"/>
          <w:szCs w:val="24"/>
          <w:lang w:val="en-GB"/>
        </w:rPr>
        <w:t xml:space="preserve"> </w:t>
      </w:r>
      <w:r w:rsidR="009419A3" w:rsidRPr="006F0F59">
        <w:rPr>
          <w:rFonts w:cstheme="minorHAnsi"/>
          <w:sz w:val="24"/>
          <w:szCs w:val="24"/>
          <w:lang w:val="en-GB"/>
        </w:rPr>
        <w:t>MiSeq</w:t>
      </w:r>
      <w:r w:rsidR="003832EF">
        <w:rPr>
          <w:rFonts w:cstheme="minorHAnsi"/>
          <w:sz w:val="24"/>
          <w:szCs w:val="24"/>
          <w:lang w:val="en-GB"/>
        </w:rPr>
        <w:t xml:space="preserve"> </w:t>
      </w:r>
      <w:r w:rsidR="00454ECD" w:rsidRPr="006F0F59">
        <w:rPr>
          <w:rFonts w:cstheme="minorHAnsi"/>
          <w:sz w:val="24"/>
          <w:szCs w:val="24"/>
          <w:lang w:val="en-GB"/>
        </w:rPr>
        <w:t>(462 bp)</w:t>
      </w:r>
      <w:r w:rsidRPr="006F0F59">
        <w:rPr>
          <w:rFonts w:cstheme="minorHAnsi"/>
          <w:sz w:val="24"/>
          <w:szCs w:val="24"/>
          <w:lang w:val="en-GB"/>
        </w:rPr>
        <w:t xml:space="preserve">. To visualize the relationships among haplotypes the TCS </w:t>
      </w:r>
      <w:r w:rsidR="007211ED" w:rsidRPr="00157F85">
        <w:rPr>
          <w:rFonts w:ascii="Times New Roman" w:hAnsi="Times New Roman" w:cs="Times New Roman"/>
          <w:sz w:val="24"/>
          <w:lang w:val="en-GB"/>
        </w:rPr>
        <w:t>[30]</w:t>
      </w:r>
      <w:r w:rsidRPr="006F0F59">
        <w:rPr>
          <w:rFonts w:cstheme="minorHAnsi"/>
          <w:sz w:val="24"/>
          <w:szCs w:val="24"/>
          <w:lang w:val="en-GB"/>
        </w:rPr>
        <w:t>haplotype network was generated using PopART</w:t>
      </w:r>
      <w:r w:rsidR="00393B17">
        <w:rPr>
          <w:rFonts w:cstheme="minorHAnsi"/>
          <w:sz w:val="24"/>
          <w:szCs w:val="24"/>
          <w:lang w:val="en-GB"/>
        </w:rPr>
        <w:t xml:space="preserve">ver. </w:t>
      </w:r>
      <w:r w:rsidRPr="006F0F59">
        <w:rPr>
          <w:rFonts w:cstheme="minorHAnsi"/>
          <w:sz w:val="24"/>
          <w:szCs w:val="24"/>
          <w:lang w:val="en-GB"/>
        </w:rPr>
        <w:t>1.7 (http://popart.otago.ac.nz).</w:t>
      </w:r>
    </w:p>
    <w:p w:rsidR="00975CF2" w:rsidRPr="00E53E3A" w:rsidRDefault="00975CF2" w:rsidP="007449E2">
      <w:pPr>
        <w:spacing w:before="100" w:beforeAutospacing="1" w:after="100" w:afterAutospacing="1" w:line="360" w:lineRule="auto"/>
        <w:contextualSpacing/>
        <w:jc w:val="both"/>
        <w:rPr>
          <w:color w:val="ED7D31"/>
          <w:lang w:val="en-US"/>
        </w:rPr>
      </w:pPr>
    </w:p>
    <w:p w:rsidR="007211ED" w:rsidRDefault="00975CF2" w:rsidP="007449E2">
      <w:pPr>
        <w:spacing w:before="100" w:beforeAutospacing="1" w:after="100" w:afterAutospacing="1" w:line="360" w:lineRule="auto"/>
        <w:contextualSpacing/>
        <w:jc w:val="both"/>
        <w:rPr>
          <w:b/>
          <w:sz w:val="24"/>
          <w:szCs w:val="24"/>
          <w:lang w:val="en-US"/>
        </w:rPr>
      </w:pPr>
      <w:r w:rsidRPr="00D92E59">
        <w:rPr>
          <w:b/>
          <w:sz w:val="24"/>
          <w:szCs w:val="24"/>
          <w:lang w:val="en-US"/>
        </w:rPr>
        <w:t>References</w:t>
      </w:r>
    </w:p>
    <w:p w:rsidR="007211ED" w:rsidRPr="00157F85" w:rsidRDefault="007211ED" w:rsidP="007211ED">
      <w:pPr>
        <w:pStyle w:val="Bibliography"/>
        <w:rPr>
          <w:rFonts w:ascii="Times New Roman" w:hAnsi="Times New Roman" w:cs="Times New Roman"/>
          <w:sz w:val="24"/>
          <w:lang w:val="en-GB"/>
        </w:rPr>
      </w:pPr>
      <w:r w:rsidRPr="00157F85">
        <w:rPr>
          <w:rFonts w:ascii="Times New Roman" w:hAnsi="Times New Roman" w:cs="Times New Roman"/>
          <w:sz w:val="24"/>
          <w:lang w:val="en-GB"/>
        </w:rPr>
        <w:lastRenderedPageBreak/>
        <w:t>1.</w:t>
      </w:r>
      <w:r w:rsidRPr="00157F85">
        <w:rPr>
          <w:rFonts w:ascii="Times New Roman" w:hAnsi="Times New Roman" w:cs="Times New Roman"/>
          <w:sz w:val="24"/>
          <w:lang w:val="en-GB"/>
        </w:rPr>
        <w:tab/>
        <w:t xml:space="preserve">Sepp M, Kõiv T, Nõges P, Nõges T. 2019 The role of catchment soils and land cover on dissolved organic matter (DOM) properties in temperate lakes. </w:t>
      </w:r>
      <w:r w:rsidRPr="00157F85">
        <w:rPr>
          <w:rFonts w:ascii="Times New Roman" w:hAnsi="Times New Roman" w:cs="Times New Roman"/>
          <w:i/>
          <w:iCs/>
          <w:sz w:val="24"/>
          <w:lang w:val="en-GB"/>
        </w:rPr>
        <w:t>J. Hydrol.</w:t>
      </w:r>
      <w:r w:rsidRPr="00157F85">
        <w:rPr>
          <w:rFonts w:ascii="Times New Roman" w:hAnsi="Times New Roman" w:cs="Times New Roman"/>
          <w:b/>
          <w:bCs/>
          <w:sz w:val="24"/>
          <w:lang w:val="en-GB"/>
        </w:rPr>
        <w:t>570</w:t>
      </w:r>
      <w:r w:rsidRPr="00157F85">
        <w:rPr>
          <w:rFonts w:ascii="Times New Roman" w:hAnsi="Times New Roman" w:cs="Times New Roman"/>
          <w:sz w:val="24"/>
          <w:lang w:val="en-GB"/>
        </w:rPr>
        <w:t>, 281–291. (doi:10.1016/j.jhydrol.2019.01.012)</w:t>
      </w:r>
    </w:p>
    <w:p w:rsidR="007211ED" w:rsidRPr="00157F85" w:rsidRDefault="007211ED" w:rsidP="007211ED">
      <w:pPr>
        <w:pStyle w:val="Bibliography"/>
        <w:rPr>
          <w:rFonts w:ascii="Times New Roman" w:hAnsi="Times New Roman" w:cs="Times New Roman"/>
          <w:sz w:val="24"/>
          <w:lang w:val="en-GB"/>
        </w:rPr>
      </w:pPr>
      <w:r w:rsidRPr="00157F85">
        <w:rPr>
          <w:rFonts w:ascii="Times New Roman" w:hAnsi="Times New Roman" w:cs="Times New Roman"/>
          <w:sz w:val="24"/>
          <w:lang w:val="en-GB"/>
        </w:rPr>
        <w:t>2.</w:t>
      </w:r>
      <w:r w:rsidRPr="00157F85">
        <w:rPr>
          <w:rFonts w:ascii="Times New Roman" w:hAnsi="Times New Roman" w:cs="Times New Roman"/>
          <w:sz w:val="24"/>
          <w:lang w:val="en-GB"/>
        </w:rPr>
        <w:tab/>
        <w:t xml:space="preserve">Andrews S. 2018 </w:t>
      </w:r>
      <w:r w:rsidRPr="00157F85">
        <w:rPr>
          <w:rFonts w:ascii="Times New Roman" w:hAnsi="Times New Roman" w:cs="Times New Roman"/>
          <w:i/>
          <w:iCs/>
          <w:sz w:val="24"/>
          <w:lang w:val="en-GB"/>
        </w:rPr>
        <w:t>FastQC: a quality control tool for high throughput sequence data</w:t>
      </w:r>
      <w:r w:rsidRPr="00157F85">
        <w:rPr>
          <w:rFonts w:ascii="Times New Roman" w:hAnsi="Times New Roman" w:cs="Times New Roman"/>
          <w:sz w:val="24"/>
          <w:lang w:val="en-GB"/>
        </w:rPr>
        <w:t>. See https://www.bioinformatics.babraham.ac.uk/projects/fastqc/.</w:t>
      </w:r>
    </w:p>
    <w:p w:rsidR="007211ED" w:rsidRPr="00157F85" w:rsidRDefault="007211ED" w:rsidP="007211ED">
      <w:pPr>
        <w:pStyle w:val="Bibliography"/>
        <w:rPr>
          <w:rFonts w:ascii="Times New Roman" w:hAnsi="Times New Roman" w:cs="Times New Roman"/>
          <w:sz w:val="24"/>
          <w:lang w:val="en-GB"/>
        </w:rPr>
      </w:pPr>
      <w:r w:rsidRPr="00157F85">
        <w:rPr>
          <w:rFonts w:ascii="Times New Roman" w:hAnsi="Times New Roman" w:cs="Times New Roman"/>
          <w:sz w:val="24"/>
          <w:lang w:val="en-GB"/>
        </w:rPr>
        <w:t>3.</w:t>
      </w:r>
      <w:r w:rsidRPr="00157F85">
        <w:rPr>
          <w:rFonts w:ascii="Times New Roman" w:hAnsi="Times New Roman" w:cs="Times New Roman"/>
          <w:sz w:val="24"/>
          <w:lang w:val="en-GB"/>
        </w:rPr>
        <w:tab/>
        <w:t xml:space="preserve">Bolger AM, Lohse M, Usadel B. 2014 Trimmomatic: a flexible trimmer for Illumina sequence data. </w:t>
      </w:r>
      <w:r w:rsidRPr="00157F85">
        <w:rPr>
          <w:rFonts w:ascii="Times New Roman" w:hAnsi="Times New Roman" w:cs="Times New Roman"/>
          <w:i/>
          <w:iCs/>
          <w:sz w:val="24"/>
          <w:lang w:val="en-GB"/>
        </w:rPr>
        <w:t>Bioinformatics</w:t>
      </w:r>
      <w:r w:rsidRPr="00157F85">
        <w:rPr>
          <w:rFonts w:ascii="Times New Roman" w:hAnsi="Times New Roman" w:cs="Times New Roman"/>
          <w:b/>
          <w:bCs/>
          <w:sz w:val="24"/>
          <w:lang w:val="en-GB"/>
        </w:rPr>
        <w:t>30</w:t>
      </w:r>
      <w:r w:rsidRPr="00157F85">
        <w:rPr>
          <w:rFonts w:ascii="Times New Roman" w:hAnsi="Times New Roman" w:cs="Times New Roman"/>
          <w:sz w:val="24"/>
          <w:lang w:val="en-GB"/>
        </w:rPr>
        <w:t>, 2114–2120. (doi:10.1093/bioinformatics/btu170)</w:t>
      </w:r>
    </w:p>
    <w:p w:rsidR="007211ED" w:rsidRPr="00157F85" w:rsidRDefault="007211ED" w:rsidP="007211ED">
      <w:pPr>
        <w:pStyle w:val="Bibliography"/>
        <w:rPr>
          <w:rFonts w:ascii="Times New Roman" w:hAnsi="Times New Roman" w:cs="Times New Roman"/>
          <w:sz w:val="24"/>
          <w:lang w:val="en-GB"/>
        </w:rPr>
      </w:pPr>
      <w:r w:rsidRPr="00157F85">
        <w:rPr>
          <w:rFonts w:ascii="Times New Roman" w:hAnsi="Times New Roman" w:cs="Times New Roman"/>
          <w:sz w:val="24"/>
          <w:lang w:val="en-GB"/>
        </w:rPr>
        <w:t>4.</w:t>
      </w:r>
      <w:r w:rsidRPr="00157F85">
        <w:rPr>
          <w:rFonts w:ascii="Times New Roman" w:hAnsi="Times New Roman" w:cs="Times New Roman"/>
          <w:sz w:val="24"/>
          <w:lang w:val="en-GB"/>
        </w:rPr>
        <w:tab/>
        <w:t xml:space="preserve">Ozerov MY, Ahmad F, Gross R, Pukk L, Kahar S, Kisand V, Vasemägi A. 2018 Highly </w:t>
      </w:r>
      <w:r w:rsidR="001B0C70">
        <w:rPr>
          <w:rFonts w:ascii="Times New Roman" w:hAnsi="Times New Roman" w:cs="Times New Roman"/>
          <w:sz w:val="24"/>
          <w:lang w:val="en-GB"/>
        </w:rPr>
        <w:t>c</w:t>
      </w:r>
      <w:r w:rsidR="001B0C70" w:rsidRPr="00157F85">
        <w:rPr>
          <w:rFonts w:ascii="Times New Roman" w:hAnsi="Times New Roman" w:cs="Times New Roman"/>
          <w:sz w:val="24"/>
          <w:lang w:val="en-GB"/>
        </w:rPr>
        <w:t xml:space="preserve">ontinuous </w:t>
      </w:r>
      <w:r w:rsidR="001B0C70">
        <w:rPr>
          <w:rFonts w:ascii="Times New Roman" w:hAnsi="Times New Roman" w:cs="Times New Roman"/>
          <w:sz w:val="24"/>
          <w:lang w:val="en-GB"/>
        </w:rPr>
        <w:t>g</w:t>
      </w:r>
      <w:r w:rsidR="001B0C70" w:rsidRPr="00157F85">
        <w:rPr>
          <w:rFonts w:ascii="Times New Roman" w:hAnsi="Times New Roman" w:cs="Times New Roman"/>
          <w:sz w:val="24"/>
          <w:lang w:val="en-GB"/>
        </w:rPr>
        <w:t xml:space="preserve">enome </w:t>
      </w:r>
      <w:r w:rsidR="001B0C70">
        <w:rPr>
          <w:rFonts w:ascii="Times New Roman" w:hAnsi="Times New Roman" w:cs="Times New Roman"/>
          <w:sz w:val="24"/>
          <w:lang w:val="en-GB"/>
        </w:rPr>
        <w:t>a</w:t>
      </w:r>
      <w:r w:rsidR="001B0C70" w:rsidRPr="00157F85">
        <w:rPr>
          <w:rFonts w:ascii="Times New Roman" w:hAnsi="Times New Roman" w:cs="Times New Roman"/>
          <w:sz w:val="24"/>
          <w:lang w:val="en-GB"/>
        </w:rPr>
        <w:t xml:space="preserve">ssembly </w:t>
      </w:r>
      <w:r w:rsidRPr="00157F85">
        <w:rPr>
          <w:rFonts w:ascii="Times New Roman" w:hAnsi="Times New Roman" w:cs="Times New Roman"/>
          <w:sz w:val="24"/>
          <w:lang w:val="en-GB"/>
        </w:rPr>
        <w:t xml:space="preserve">of Eurasian </w:t>
      </w:r>
      <w:r w:rsidR="001B0C70">
        <w:rPr>
          <w:rFonts w:ascii="Times New Roman" w:hAnsi="Times New Roman" w:cs="Times New Roman"/>
          <w:sz w:val="24"/>
          <w:lang w:val="en-GB"/>
        </w:rPr>
        <w:t>p</w:t>
      </w:r>
      <w:r w:rsidR="001B0C70" w:rsidRPr="00157F85">
        <w:rPr>
          <w:rFonts w:ascii="Times New Roman" w:hAnsi="Times New Roman" w:cs="Times New Roman"/>
          <w:sz w:val="24"/>
          <w:lang w:val="en-GB"/>
        </w:rPr>
        <w:t xml:space="preserve">erch </w:t>
      </w:r>
      <w:r w:rsidRPr="00157F85">
        <w:rPr>
          <w:rFonts w:ascii="Times New Roman" w:hAnsi="Times New Roman" w:cs="Times New Roman"/>
          <w:sz w:val="24"/>
          <w:lang w:val="en-GB"/>
        </w:rPr>
        <w:t>(</w:t>
      </w:r>
      <w:r w:rsidRPr="004578D0">
        <w:rPr>
          <w:rFonts w:ascii="Times New Roman" w:hAnsi="Times New Roman" w:cs="Times New Roman"/>
          <w:i/>
          <w:sz w:val="24"/>
          <w:lang w:val="en-GB"/>
        </w:rPr>
        <w:t>Percafluviatilis</w:t>
      </w:r>
      <w:r w:rsidRPr="00157F85">
        <w:rPr>
          <w:rFonts w:ascii="Times New Roman" w:hAnsi="Times New Roman" w:cs="Times New Roman"/>
          <w:sz w:val="24"/>
          <w:lang w:val="en-GB"/>
        </w:rPr>
        <w:t xml:space="preserve">) </w:t>
      </w:r>
      <w:r w:rsidR="001B0C70">
        <w:rPr>
          <w:rFonts w:ascii="Times New Roman" w:hAnsi="Times New Roman" w:cs="Times New Roman"/>
          <w:sz w:val="24"/>
          <w:lang w:val="en-GB"/>
        </w:rPr>
        <w:t>u</w:t>
      </w:r>
      <w:r w:rsidR="001B0C70" w:rsidRPr="00157F85">
        <w:rPr>
          <w:rFonts w:ascii="Times New Roman" w:hAnsi="Times New Roman" w:cs="Times New Roman"/>
          <w:sz w:val="24"/>
          <w:lang w:val="en-GB"/>
        </w:rPr>
        <w:t xml:space="preserve">sing </w:t>
      </w:r>
      <w:r w:rsidR="001B0C70">
        <w:rPr>
          <w:rFonts w:ascii="Times New Roman" w:hAnsi="Times New Roman" w:cs="Times New Roman"/>
          <w:sz w:val="24"/>
          <w:lang w:val="en-GB"/>
        </w:rPr>
        <w:t>l</w:t>
      </w:r>
      <w:r w:rsidR="001B0C70" w:rsidRPr="00157F85">
        <w:rPr>
          <w:rFonts w:ascii="Times New Roman" w:hAnsi="Times New Roman" w:cs="Times New Roman"/>
          <w:sz w:val="24"/>
          <w:lang w:val="en-GB"/>
        </w:rPr>
        <w:t>inked</w:t>
      </w:r>
      <w:r w:rsidRPr="00157F85">
        <w:rPr>
          <w:rFonts w:ascii="Times New Roman" w:hAnsi="Times New Roman" w:cs="Times New Roman"/>
          <w:sz w:val="24"/>
          <w:lang w:val="en-GB"/>
        </w:rPr>
        <w:t>-</w:t>
      </w:r>
      <w:r w:rsidR="001B0C70">
        <w:rPr>
          <w:rFonts w:ascii="Times New Roman" w:hAnsi="Times New Roman" w:cs="Times New Roman"/>
          <w:sz w:val="24"/>
          <w:lang w:val="en-GB"/>
        </w:rPr>
        <w:t>r</w:t>
      </w:r>
      <w:r w:rsidR="001B0C70" w:rsidRPr="00157F85">
        <w:rPr>
          <w:rFonts w:ascii="Times New Roman" w:hAnsi="Times New Roman" w:cs="Times New Roman"/>
          <w:sz w:val="24"/>
          <w:lang w:val="en-GB"/>
        </w:rPr>
        <w:t xml:space="preserve">ead </w:t>
      </w:r>
      <w:r w:rsidR="001B0C70">
        <w:rPr>
          <w:rFonts w:ascii="Times New Roman" w:hAnsi="Times New Roman" w:cs="Times New Roman"/>
          <w:sz w:val="24"/>
          <w:lang w:val="en-GB"/>
        </w:rPr>
        <w:t>s</w:t>
      </w:r>
      <w:r w:rsidR="001B0C70" w:rsidRPr="00157F85">
        <w:rPr>
          <w:rFonts w:ascii="Times New Roman" w:hAnsi="Times New Roman" w:cs="Times New Roman"/>
          <w:sz w:val="24"/>
          <w:lang w:val="en-GB"/>
        </w:rPr>
        <w:t>equencing</w:t>
      </w:r>
      <w:r w:rsidRPr="00157F85">
        <w:rPr>
          <w:rFonts w:ascii="Times New Roman" w:hAnsi="Times New Roman" w:cs="Times New Roman"/>
          <w:sz w:val="24"/>
          <w:lang w:val="en-GB"/>
        </w:rPr>
        <w:t xml:space="preserve">. </w:t>
      </w:r>
      <w:r w:rsidRPr="00157F85">
        <w:rPr>
          <w:rFonts w:ascii="Times New Roman" w:hAnsi="Times New Roman" w:cs="Times New Roman"/>
          <w:i/>
          <w:iCs/>
          <w:sz w:val="24"/>
          <w:lang w:val="en-GB"/>
        </w:rPr>
        <w:t>G3 Genes Genomes Genet.</w:t>
      </w:r>
      <w:r w:rsidRPr="00157F85">
        <w:rPr>
          <w:rFonts w:ascii="Times New Roman" w:hAnsi="Times New Roman" w:cs="Times New Roman"/>
          <w:b/>
          <w:bCs/>
          <w:sz w:val="24"/>
          <w:lang w:val="en-GB"/>
        </w:rPr>
        <w:t>8</w:t>
      </w:r>
      <w:r w:rsidRPr="00157F85">
        <w:rPr>
          <w:rFonts w:ascii="Times New Roman" w:hAnsi="Times New Roman" w:cs="Times New Roman"/>
          <w:sz w:val="24"/>
          <w:lang w:val="en-GB"/>
        </w:rPr>
        <w:t>, 3737–3743. (doi:10.1534/g3.118.200768)</w:t>
      </w:r>
    </w:p>
    <w:p w:rsidR="007211ED" w:rsidRPr="00157F85" w:rsidRDefault="007211ED" w:rsidP="007211ED">
      <w:pPr>
        <w:pStyle w:val="Bibliography"/>
        <w:rPr>
          <w:rFonts w:ascii="Times New Roman" w:hAnsi="Times New Roman" w:cs="Times New Roman"/>
          <w:sz w:val="24"/>
          <w:lang w:val="en-GB"/>
        </w:rPr>
      </w:pPr>
      <w:r w:rsidRPr="00157F85">
        <w:rPr>
          <w:rFonts w:ascii="Times New Roman" w:hAnsi="Times New Roman" w:cs="Times New Roman"/>
          <w:sz w:val="24"/>
          <w:lang w:val="en-GB"/>
        </w:rPr>
        <w:t>5.</w:t>
      </w:r>
      <w:r w:rsidRPr="00157F85">
        <w:rPr>
          <w:rFonts w:ascii="Times New Roman" w:hAnsi="Times New Roman" w:cs="Times New Roman"/>
          <w:sz w:val="24"/>
          <w:lang w:val="en-GB"/>
        </w:rPr>
        <w:tab/>
        <w:t xml:space="preserve">Kim D, Langmead B, Salzberg SL. 2015 HISAT: a fast spliced aligner with low memory requirements. </w:t>
      </w:r>
      <w:r w:rsidRPr="00157F85">
        <w:rPr>
          <w:rFonts w:ascii="Times New Roman" w:hAnsi="Times New Roman" w:cs="Times New Roman"/>
          <w:i/>
          <w:iCs/>
          <w:sz w:val="24"/>
          <w:lang w:val="en-GB"/>
        </w:rPr>
        <w:t>Nat. Methods</w:t>
      </w:r>
      <w:r w:rsidRPr="00157F85">
        <w:rPr>
          <w:rFonts w:ascii="Times New Roman" w:hAnsi="Times New Roman" w:cs="Times New Roman"/>
          <w:b/>
          <w:bCs/>
          <w:sz w:val="24"/>
          <w:lang w:val="en-GB"/>
        </w:rPr>
        <w:t>12</w:t>
      </w:r>
      <w:r w:rsidRPr="00157F85">
        <w:rPr>
          <w:rFonts w:ascii="Times New Roman" w:hAnsi="Times New Roman" w:cs="Times New Roman"/>
          <w:sz w:val="24"/>
          <w:lang w:val="en-GB"/>
        </w:rPr>
        <w:t>, 357–360. (doi:10.1038/nmeth.3317)</w:t>
      </w:r>
    </w:p>
    <w:p w:rsidR="007211ED" w:rsidRPr="00157F85" w:rsidRDefault="007211ED" w:rsidP="007211ED">
      <w:pPr>
        <w:pStyle w:val="Bibliography"/>
        <w:rPr>
          <w:rFonts w:ascii="Times New Roman" w:hAnsi="Times New Roman" w:cs="Times New Roman"/>
          <w:sz w:val="24"/>
          <w:lang w:val="en-GB"/>
        </w:rPr>
      </w:pPr>
      <w:r w:rsidRPr="00157F85">
        <w:rPr>
          <w:rFonts w:ascii="Times New Roman" w:hAnsi="Times New Roman" w:cs="Times New Roman"/>
          <w:sz w:val="24"/>
          <w:lang w:val="en-GB"/>
        </w:rPr>
        <w:t>6.</w:t>
      </w:r>
      <w:r w:rsidRPr="00157F85">
        <w:rPr>
          <w:rFonts w:ascii="Times New Roman" w:hAnsi="Times New Roman" w:cs="Times New Roman"/>
          <w:sz w:val="24"/>
          <w:lang w:val="en-GB"/>
        </w:rPr>
        <w:tab/>
        <w:t xml:space="preserve">Li H </w:t>
      </w:r>
      <w:r w:rsidRPr="00157F85">
        <w:rPr>
          <w:rFonts w:ascii="Times New Roman" w:hAnsi="Times New Roman" w:cs="Times New Roman"/>
          <w:i/>
          <w:iCs/>
          <w:sz w:val="24"/>
          <w:lang w:val="en-GB"/>
        </w:rPr>
        <w:t>et al.</w:t>
      </w:r>
      <w:r w:rsidRPr="00157F85">
        <w:rPr>
          <w:rFonts w:ascii="Times New Roman" w:hAnsi="Times New Roman" w:cs="Times New Roman"/>
          <w:sz w:val="24"/>
          <w:lang w:val="en-GB"/>
        </w:rPr>
        <w:t xml:space="preserve"> 2009 The Sequence Alignment/Map format and SAMtools. </w:t>
      </w:r>
      <w:r w:rsidRPr="00157F85">
        <w:rPr>
          <w:rFonts w:ascii="Times New Roman" w:hAnsi="Times New Roman" w:cs="Times New Roman"/>
          <w:i/>
          <w:iCs/>
          <w:sz w:val="24"/>
          <w:lang w:val="en-GB"/>
        </w:rPr>
        <w:t>Bioinforma. Oxf. Engl.</w:t>
      </w:r>
      <w:r w:rsidRPr="00157F85">
        <w:rPr>
          <w:rFonts w:ascii="Times New Roman" w:hAnsi="Times New Roman" w:cs="Times New Roman"/>
          <w:b/>
          <w:bCs/>
          <w:sz w:val="24"/>
          <w:lang w:val="en-GB"/>
        </w:rPr>
        <w:t>25</w:t>
      </w:r>
      <w:r w:rsidRPr="00157F85">
        <w:rPr>
          <w:rFonts w:ascii="Times New Roman" w:hAnsi="Times New Roman" w:cs="Times New Roman"/>
          <w:sz w:val="24"/>
          <w:lang w:val="en-GB"/>
        </w:rPr>
        <w:t>, 2078–2079. (doi:10.1093/bioinformatics/btp352)</w:t>
      </w:r>
    </w:p>
    <w:p w:rsidR="007211ED" w:rsidRPr="00157F85" w:rsidRDefault="007211ED" w:rsidP="007211ED">
      <w:pPr>
        <w:pStyle w:val="Bibliography"/>
        <w:rPr>
          <w:rFonts w:ascii="Times New Roman" w:hAnsi="Times New Roman" w:cs="Times New Roman"/>
          <w:sz w:val="24"/>
          <w:lang w:val="en-GB"/>
        </w:rPr>
      </w:pPr>
      <w:r w:rsidRPr="00157F85">
        <w:rPr>
          <w:rFonts w:ascii="Times New Roman" w:hAnsi="Times New Roman" w:cs="Times New Roman"/>
          <w:sz w:val="24"/>
          <w:lang w:val="en-GB"/>
        </w:rPr>
        <w:t>7.</w:t>
      </w:r>
      <w:r w:rsidRPr="00157F85">
        <w:rPr>
          <w:rFonts w:ascii="Times New Roman" w:hAnsi="Times New Roman" w:cs="Times New Roman"/>
          <w:sz w:val="24"/>
          <w:lang w:val="en-GB"/>
        </w:rPr>
        <w:tab/>
        <w:t xml:space="preserve">Lawrence M, Huber W, Pagès H, Aboyoun P, Carlson M, Gentleman R, Morgan MT, Carey VJ. 2013 Software for computing and annotating genomic ranges. </w:t>
      </w:r>
      <w:r w:rsidRPr="00157F85">
        <w:rPr>
          <w:rFonts w:ascii="Times New Roman" w:hAnsi="Times New Roman" w:cs="Times New Roman"/>
          <w:i/>
          <w:iCs/>
          <w:sz w:val="24"/>
          <w:lang w:val="en-GB"/>
        </w:rPr>
        <w:t>PLoSComput. Biol.</w:t>
      </w:r>
      <w:r w:rsidRPr="00157F85">
        <w:rPr>
          <w:rFonts w:ascii="Times New Roman" w:hAnsi="Times New Roman" w:cs="Times New Roman"/>
          <w:b/>
          <w:bCs/>
          <w:sz w:val="24"/>
          <w:lang w:val="en-GB"/>
        </w:rPr>
        <w:t>9</w:t>
      </w:r>
      <w:r w:rsidRPr="00157F85">
        <w:rPr>
          <w:rFonts w:ascii="Times New Roman" w:hAnsi="Times New Roman" w:cs="Times New Roman"/>
          <w:sz w:val="24"/>
          <w:lang w:val="en-GB"/>
        </w:rPr>
        <w:t>, e1003118. (doi:10.1371/journal.pcbi.1003118)</w:t>
      </w:r>
    </w:p>
    <w:p w:rsidR="007211ED" w:rsidRPr="00157F85" w:rsidRDefault="007211ED" w:rsidP="007211ED">
      <w:pPr>
        <w:pStyle w:val="Bibliography"/>
        <w:rPr>
          <w:rFonts w:ascii="Times New Roman" w:hAnsi="Times New Roman" w:cs="Times New Roman"/>
          <w:sz w:val="24"/>
          <w:lang w:val="en-GB"/>
        </w:rPr>
      </w:pPr>
      <w:r w:rsidRPr="00157F85">
        <w:rPr>
          <w:rFonts w:ascii="Times New Roman" w:hAnsi="Times New Roman" w:cs="Times New Roman"/>
          <w:sz w:val="24"/>
          <w:lang w:val="en-GB"/>
        </w:rPr>
        <w:t>8.</w:t>
      </w:r>
      <w:r w:rsidRPr="00157F85">
        <w:rPr>
          <w:rFonts w:ascii="Times New Roman" w:hAnsi="Times New Roman" w:cs="Times New Roman"/>
          <w:sz w:val="24"/>
          <w:lang w:val="en-GB"/>
        </w:rPr>
        <w:tab/>
        <w:t xml:space="preserve">R Core Team. 2018 </w:t>
      </w:r>
      <w:r w:rsidRPr="00157F85">
        <w:rPr>
          <w:rFonts w:ascii="Times New Roman" w:hAnsi="Times New Roman" w:cs="Times New Roman"/>
          <w:i/>
          <w:iCs/>
          <w:sz w:val="24"/>
          <w:lang w:val="en-GB"/>
        </w:rPr>
        <w:t>R: A Language and Environment for Statistical Computing.</w:t>
      </w:r>
      <w:r w:rsidRPr="00157F85">
        <w:rPr>
          <w:rFonts w:ascii="Times New Roman" w:hAnsi="Times New Roman" w:cs="Times New Roman"/>
          <w:sz w:val="24"/>
          <w:lang w:val="en-GB"/>
        </w:rPr>
        <w:t xml:space="preserve"> Vienna: R Foundation for Statistical Computing. </w:t>
      </w:r>
    </w:p>
    <w:p w:rsidR="007211ED" w:rsidRPr="00157F85" w:rsidRDefault="007211ED" w:rsidP="007211ED">
      <w:pPr>
        <w:pStyle w:val="Bibliography"/>
        <w:rPr>
          <w:rFonts w:ascii="Times New Roman" w:hAnsi="Times New Roman" w:cs="Times New Roman"/>
          <w:sz w:val="24"/>
          <w:lang w:val="en-GB"/>
        </w:rPr>
      </w:pPr>
      <w:r w:rsidRPr="00157F85">
        <w:rPr>
          <w:rFonts w:ascii="Times New Roman" w:hAnsi="Times New Roman" w:cs="Times New Roman"/>
          <w:sz w:val="24"/>
          <w:lang w:val="en-GB"/>
        </w:rPr>
        <w:t>9.</w:t>
      </w:r>
      <w:r w:rsidRPr="00157F85">
        <w:rPr>
          <w:rFonts w:ascii="Times New Roman" w:hAnsi="Times New Roman" w:cs="Times New Roman"/>
          <w:sz w:val="24"/>
          <w:lang w:val="en-GB"/>
        </w:rPr>
        <w:tab/>
        <w:t xml:space="preserve">Love MI, Huber W, Anders S. 2014 Moderated estimation of fold change and  dispersion for RNA-seq data with DESeq2. </w:t>
      </w:r>
      <w:r w:rsidRPr="00157F85">
        <w:rPr>
          <w:rFonts w:ascii="Times New Roman" w:hAnsi="Times New Roman" w:cs="Times New Roman"/>
          <w:i/>
          <w:iCs/>
          <w:sz w:val="24"/>
          <w:lang w:val="en-GB"/>
        </w:rPr>
        <w:t>Genome Biol.</w:t>
      </w:r>
      <w:r w:rsidRPr="00157F85">
        <w:rPr>
          <w:rFonts w:ascii="Times New Roman" w:hAnsi="Times New Roman" w:cs="Times New Roman"/>
          <w:b/>
          <w:bCs/>
          <w:sz w:val="24"/>
          <w:lang w:val="en-GB"/>
        </w:rPr>
        <w:t>15</w:t>
      </w:r>
      <w:r w:rsidRPr="00157F85">
        <w:rPr>
          <w:rFonts w:ascii="Times New Roman" w:hAnsi="Times New Roman" w:cs="Times New Roman"/>
          <w:sz w:val="24"/>
          <w:lang w:val="en-GB"/>
        </w:rPr>
        <w:t>, 550. (doi:10.1186/s13059-014-0550-8)</w:t>
      </w:r>
    </w:p>
    <w:p w:rsidR="007211ED" w:rsidRPr="00157F85" w:rsidRDefault="007211ED" w:rsidP="007211ED">
      <w:pPr>
        <w:pStyle w:val="Bibliography"/>
        <w:rPr>
          <w:rFonts w:ascii="Times New Roman" w:hAnsi="Times New Roman" w:cs="Times New Roman"/>
          <w:sz w:val="24"/>
          <w:lang w:val="en-GB"/>
        </w:rPr>
      </w:pPr>
      <w:r w:rsidRPr="00157F85">
        <w:rPr>
          <w:rFonts w:ascii="Times New Roman" w:hAnsi="Times New Roman" w:cs="Times New Roman"/>
          <w:sz w:val="24"/>
          <w:lang w:val="en-GB"/>
        </w:rPr>
        <w:t>10.</w:t>
      </w:r>
      <w:r w:rsidRPr="00157F85">
        <w:rPr>
          <w:rFonts w:ascii="Times New Roman" w:hAnsi="Times New Roman" w:cs="Times New Roman"/>
          <w:sz w:val="24"/>
          <w:lang w:val="en-GB"/>
        </w:rPr>
        <w:tab/>
        <w:t xml:space="preserve">Benjamini Y, Hochberg Y. 1995 Controlling the </w:t>
      </w:r>
      <w:r w:rsidR="001B0C70">
        <w:rPr>
          <w:rFonts w:ascii="Times New Roman" w:hAnsi="Times New Roman" w:cs="Times New Roman"/>
          <w:sz w:val="24"/>
          <w:lang w:val="en-GB"/>
        </w:rPr>
        <w:t>f</w:t>
      </w:r>
      <w:r w:rsidR="001B0C70" w:rsidRPr="00157F85">
        <w:rPr>
          <w:rFonts w:ascii="Times New Roman" w:hAnsi="Times New Roman" w:cs="Times New Roman"/>
          <w:sz w:val="24"/>
          <w:lang w:val="en-GB"/>
        </w:rPr>
        <w:t xml:space="preserve">alse </w:t>
      </w:r>
      <w:r w:rsidR="001B0C70">
        <w:rPr>
          <w:rFonts w:ascii="Times New Roman" w:hAnsi="Times New Roman" w:cs="Times New Roman"/>
          <w:sz w:val="24"/>
          <w:lang w:val="en-GB"/>
        </w:rPr>
        <w:t>d</w:t>
      </w:r>
      <w:r w:rsidR="001B0C70" w:rsidRPr="00157F85">
        <w:rPr>
          <w:rFonts w:ascii="Times New Roman" w:hAnsi="Times New Roman" w:cs="Times New Roman"/>
          <w:sz w:val="24"/>
          <w:lang w:val="en-GB"/>
        </w:rPr>
        <w:t xml:space="preserve">iscovery </w:t>
      </w:r>
      <w:r w:rsidR="001B0C70">
        <w:rPr>
          <w:rFonts w:ascii="Times New Roman" w:hAnsi="Times New Roman" w:cs="Times New Roman"/>
          <w:sz w:val="24"/>
          <w:lang w:val="en-GB"/>
        </w:rPr>
        <w:t>r</w:t>
      </w:r>
      <w:r w:rsidR="001B0C70" w:rsidRPr="00157F85">
        <w:rPr>
          <w:rFonts w:ascii="Times New Roman" w:hAnsi="Times New Roman" w:cs="Times New Roman"/>
          <w:sz w:val="24"/>
          <w:lang w:val="en-GB"/>
        </w:rPr>
        <w:t>ate</w:t>
      </w:r>
      <w:r w:rsidRPr="00157F85">
        <w:rPr>
          <w:rFonts w:ascii="Times New Roman" w:hAnsi="Times New Roman" w:cs="Times New Roman"/>
          <w:sz w:val="24"/>
          <w:lang w:val="en-GB"/>
        </w:rPr>
        <w:t xml:space="preserve">: a </w:t>
      </w:r>
      <w:r w:rsidR="001B0C70">
        <w:rPr>
          <w:rFonts w:ascii="Times New Roman" w:hAnsi="Times New Roman" w:cs="Times New Roman"/>
          <w:sz w:val="24"/>
          <w:lang w:val="en-GB"/>
        </w:rPr>
        <w:t>p</w:t>
      </w:r>
      <w:r w:rsidR="001B0C70" w:rsidRPr="00157F85">
        <w:rPr>
          <w:rFonts w:ascii="Times New Roman" w:hAnsi="Times New Roman" w:cs="Times New Roman"/>
          <w:sz w:val="24"/>
          <w:lang w:val="en-GB"/>
        </w:rPr>
        <w:t xml:space="preserve">ractical </w:t>
      </w:r>
      <w:r w:rsidRPr="00157F85">
        <w:rPr>
          <w:rFonts w:ascii="Times New Roman" w:hAnsi="Times New Roman" w:cs="Times New Roman"/>
          <w:sz w:val="24"/>
          <w:lang w:val="en-GB"/>
        </w:rPr>
        <w:t xml:space="preserve">and </w:t>
      </w:r>
      <w:r w:rsidR="001B0C70">
        <w:rPr>
          <w:rFonts w:ascii="Times New Roman" w:hAnsi="Times New Roman" w:cs="Times New Roman"/>
          <w:sz w:val="24"/>
          <w:lang w:val="en-GB"/>
        </w:rPr>
        <w:t>p</w:t>
      </w:r>
      <w:r w:rsidR="001B0C70" w:rsidRPr="00157F85">
        <w:rPr>
          <w:rFonts w:ascii="Times New Roman" w:hAnsi="Times New Roman" w:cs="Times New Roman"/>
          <w:sz w:val="24"/>
          <w:lang w:val="en-GB"/>
        </w:rPr>
        <w:t xml:space="preserve">owerful </w:t>
      </w:r>
      <w:r w:rsidR="001B0C70">
        <w:rPr>
          <w:rFonts w:ascii="Times New Roman" w:hAnsi="Times New Roman" w:cs="Times New Roman"/>
          <w:sz w:val="24"/>
          <w:lang w:val="en-GB"/>
        </w:rPr>
        <w:t>a</w:t>
      </w:r>
      <w:r w:rsidR="001B0C70" w:rsidRPr="00157F85">
        <w:rPr>
          <w:rFonts w:ascii="Times New Roman" w:hAnsi="Times New Roman" w:cs="Times New Roman"/>
          <w:sz w:val="24"/>
          <w:lang w:val="en-GB"/>
        </w:rPr>
        <w:t xml:space="preserve">pproach </w:t>
      </w:r>
      <w:r w:rsidRPr="00157F85">
        <w:rPr>
          <w:rFonts w:ascii="Times New Roman" w:hAnsi="Times New Roman" w:cs="Times New Roman"/>
          <w:sz w:val="24"/>
          <w:lang w:val="en-GB"/>
        </w:rPr>
        <w:t xml:space="preserve">to </w:t>
      </w:r>
      <w:r w:rsidR="001B0C70">
        <w:rPr>
          <w:rFonts w:ascii="Times New Roman" w:hAnsi="Times New Roman" w:cs="Times New Roman"/>
          <w:sz w:val="24"/>
          <w:lang w:val="en-GB"/>
        </w:rPr>
        <w:t>m</w:t>
      </w:r>
      <w:r w:rsidR="001B0C70" w:rsidRPr="00157F85">
        <w:rPr>
          <w:rFonts w:ascii="Times New Roman" w:hAnsi="Times New Roman" w:cs="Times New Roman"/>
          <w:sz w:val="24"/>
          <w:lang w:val="en-GB"/>
        </w:rPr>
        <w:t xml:space="preserve">ultiple </w:t>
      </w:r>
      <w:r w:rsidR="001B0C70">
        <w:rPr>
          <w:rFonts w:ascii="Times New Roman" w:hAnsi="Times New Roman" w:cs="Times New Roman"/>
          <w:sz w:val="24"/>
          <w:lang w:val="en-GB"/>
        </w:rPr>
        <w:t>t</w:t>
      </w:r>
      <w:r w:rsidR="001B0C70" w:rsidRPr="00157F85">
        <w:rPr>
          <w:rFonts w:ascii="Times New Roman" w:hAnsi="Times New Roman" w:cs="Times New Roman"/>
          <w:sz w:val="24"/>
          <w:lang w:val="en-GB"/>
        </w:rPr>
        <w:t>esting</w:t>
      </w:r>
      <w:r w:rsidRPr="00157F85">
        <w:rPr>
          <w:rFonts w:ascii="Times New Roman" w:hAnsi="Times New Roman" w:cs="Times New Roman"/>
          <w:sz w:val="24"/>
          <w:lang w:val="en-GB"/>
        </w:rPr>
        <w:t>. (doi:10.1111/j.2517-6161.1995.tb02031.x)</w:t>
      </w:r>
    </w:p>
    <w:p w:rsidR="007211ED" w:rsidRPr="00157F85" w:rsidRDefault="007211ED" w:rsidP="007211ED">
      <w:pPr>
        <w:pStyle w:val="Bibliography"/>
        <w:rPr>
          <w:rFonts w:ascii="Times New Roman" w:hAnsi="Times New Roman" w:cs="Times New Roman"/>
          <w:sz w:val="24"/>
          <w:lang w:val="en-GB"/>
        </w:rPr>
      </w:pPr>
      <w:r w:rsidRPr="00157F85">
        <w:rPr>
          <w:rFonts w:ascii="Times New Roman" w:hAnsi="Times New Roman" w:cs="Times New Roman"/>
          <w:sz w:val="24"/>
          <w:lang w:val="en-GB"/>
        </w:rPr>
        <w:t>11.</w:t>
      </w:r>
      <w:r w:rsidRPr="00157F85">
        <w:rPr>
          <w:rFonts w:ascii="Times New Roman" w:hAnsi="Times New Roman" w:cs="Times New Roman"/>
          <w:sz w:val="24"/>
          <w:lang w:val="en-GB"/>
        </w:rPr>
        <w:tab/>
        <w:t xml:space="preserve">Eden E, Navon R, Steinfeld I, Lipson D, Yakhini Z. 2009 GOrilla: a tool for discovery and visualization of enriched GO terms in ranked gene lists. </w:t>
      </w:r>
      <w:r w:rsidRPr="00157F85">
        <w:rPr>
          <w:rFonts w:ascii="Times New Roman" w:hAnsi="Times New Roman" w:cs="Times New Roman"/>
          <w:i/>
          <w:iCs/>
          <w:sz w:val="24"/>
          <w:lang w:val="en-GB"/>
        </w:rPr>
        <w:t>BMC Bioinformatics</w:t>
      </w:r>
      <w:r w:rsidRPr="00157F85">
        <w:rPr>
          <w:rFonts w:ascii="Times New Roman" w:hAnsi="Times New Roman" w:cs="Times New Roman"/>
          <w:b/>
          <w:bCs/>
          <w:sz w:val="24"/>
          <w:lang w:val="en-GB"/>
        </w:rPr>
        <w:t>10</w:t>
      </w:r>
      <w:r w:rsidRPr="00157F85">
        <w:rPr>
          <w:rFonts w:ascii="Times New Roman" w:hAnsi="Times New Roman" w:cs="Times New Roman"/>
          <w:sz w:val="24"/>
          <w:lang w:val="en-GB"/>
        </w:rPr>
        <w:t>, 48. (doi:10.1186/1471-2105-10-48)</w:t>
      </w:r>
    </w:p>
    <w:p w:rsidR="007211ED" w:rsidRPr="00157F85" w:rsidRDefault="007211ED" w:rsidP="007211ED">
      <w:pPr>
        <w:pStyle w:val="Bibliography"/>
        <w:rPr>
          <w:rFonts w:ascii="Times New Roman" w:hAnsi="Times New Roman" w:cs="Times New Roman"/>
          <w:sz w:val="24"/>
          <w:lang w:val="en-GB"/>
        </w:rPr>
      </w:pPr>
      <w:r w:rsidRPr="00157F85">
        <w:rPr>
          <w:rFonts w:ascii="Times New Roman" w:hAnsi="Times New Roman" w:cs="Times New Roman"/>
          <w:sz w:val="24"/>
          <w:lang w:val="en-GB"/>
        </w:rPr>
        <w:t>12.</w:t>
      </w:r>
      <w:r w:rsidRPr="00157F85">
        <w:rPr>
          <w:rFonts w:ascii="Times New Roman" w:hAnsi="Times New Roman" w:cs="Times New Roman"/>
          <w:sz w:val="24"/>
          <w:lang w:val="en-GB"/>
        </w:rPr>
        <w:tab/>
        <w:t xml:space="preserve">Fu L, Niu B, Zhu Z, Wu S, Li W. 2012 CD-HIT: accelerated for clustering the next-generation sequencing data. </w:t>
      </w:r>
      <w:r w:rsidRPr="00157F85">
        <w:rPr>
          <w:rFonts w:ascii="Times New Roman" w:hAnsi="Times New Roman" w:cs="Times New Roman"/>
          <w:i/>
          <w:iCs/>
          <w:sz w:val="24"/>
          <w:lang w:val="en-GB"/>
        </w:rPr>
        <w:t>Bioinforma. Oxf. Engl.</w:t>
      </w:r>
      <w:r w:rsidRPr="00157F85">
        <w:rPr>
          <w:rFonts w:ascii="Times New Roman" w:hAnsi="Times New Roman" w:cs="Times New Roman"/>
          <w:b/>
          <w:bCs/>
          <w:sz w:val="24"/>
          <w:lang w:val="en-GB"/>
        </w:rPr>
        <w:t>28</w:t>
      </w:r>
      <w:r w:rsidRPr="00157F85">
        <w:rPr>
          <w:rFonts w:ascii="Times New Roman" w:hAnsi="Times New Roman" w:cs="Times New Roman"/>
          <w:sz w:val="24"/>
          <w:lang w:val="en-GB"/>
        </w:rPr>
        <w:t>, 3150–3152. (doi:10.1093/bioinformatics/bts565)</w:t>
      </w:r>
    </w:p>
    <w:p w:rsidR="007211ED" w:rsidRPr="00157F85" w:rsidRDefault="007211ED" w:rsidP="007211ED">
      <w:pPr>
        <w:pStyle w:val="Bibliography"/>
        <w:rPr>
          <w:rFonts w:ascii="Times New Roman" w:hAnsi="Times New Roman" w:cs="Times New Roman"/>
          <w:sz w:val="24"/>
          <w:lang w:val="en-GB"/>
        </w:rPr>
      </w:pPr>
      <w:r w:rsidRPr="00157F85">
        <w:rPr>
          <w:rFonts w:ascii="Times New Roman" w:hAnsi="Times New Roman" w:cs="Times New Roman"/>
          <w:sz w:val="24"/>
          <w:lang w:val="en-GB"/>
        </w:rPr>
        <w:t>13.</w:t>
      </w:r>
      <w:r w:rsidRPr="00157F85">
        <w:rPr>
          <w:rFonts w:ascii="Times New Roman" w:hAnsi="Times New Roman" w:cs="Times New Roman"/>
          <w:sz w:val="24"/>
          <w:lang w:val="en-GB"/>
        </w:rPr>
        <w:tab/>
        <w:t xml:space="preserve">Li W, Godzik A. 2006 Cd-hit: a fast program for clustering and comparing large sets of protein or nucleotide sequences. </w:t>
      </w:r>
      <w:r w:rsidRPr="00157F85">
        <w:rPr>
          <w:rFonts w:ascii="Times New Roman" w:hAnsi="Times New Roman" w:cs="Times New Roman"/>
          <w:i/>
          <w:iCs/>
          <w:sz w:val="24"/>
          <w:lang w:val="en-GB"/>
        </w:rPr>
        <w:t>Bioinforma. Oxf. Engl.</w:t>
      </w:r>
      <w:r w:rsidRPr="00157F85">
        <w:rPr>
          <w:rFonts w:ascii="Times New Roman" w:hAnsi="Times New Roman" w:cs="Times New Roman"/>
          <w:b/>
          <w:bCs/>
          <w:sz w:val="24"/>
          <w:lang w:val="en-GB"/>
        </w:rPr>
        <w:t>22</w:t>
      </w:r>
      <w:r w:rsidRPr="00157F85">
        <w:rPr>
          <w:rFonts w:ascii="Times New Roman" w:hAnsi="Times New Roman" w:cs="Times New Roman"/>
          <w:sz w:val="24"/>
          <w:lang w:val="en-GB"/>
        </w:rPr>
        <w:t>, 1658–1659. (doi:10.1093/bioinformatics/btl158)</w:t>
      </w:r>
    </w:p>
    <w:p w:rsidR="007211ED" w:rsidRPr="00157F85" w:rsidRDefault="007211ED" w:rsidP="007211ED">
      <w:pPr>
        <w:pStyle w:val="Bibliography"/>
        <w:rPr>
          <w:rFonts w:ascii="Times New Roman" w:hAnsi="Times New Roman" w:cs="Times New Roman"/>
          <w:sz w:val="24"/>
          <w:lang w:val="en-GB"/>
        </w:rPr>
      </w:pPr>
      <w:r w:rsidRPr="00157F85">
        <w:rPr>
          <w:rFonts w:ascii="Times New Roman" w:hAnsi="Times New Roman" w:cs="Times New Roman"/>
          <w:sz w:val="24"/>
          <w:lang w:val="en-GB"/>
        </w:rPr>
        <w:t>14.</w:t>
      </w:r>
      <w:r w:rsidRPr="00157F85">
        <w:rPr>
          <w:rFonts w:ascii="Times New Roman" w:hAnsi="Times New Roman" w:cs="Times New Roman"/>
          <w:sz w:val="24"/>
          <w:lang w:val="en-GB"/>
        </w:rPr>
        <w:tab/>
        <w:t xml:space="preserve">Boratyn GM </w:t>
      </w:r>
      <w:r w:rsidRPr="00157F85">
        <w:rPr>
          <w:rFonts w:ascii="Times New Roman" w:hAnsi="Times New Roman" w:cs="Times New Roman"/>
          <w:i/>
          <w:iCs/>
          <w:sz w:val="24"/>
          <w:lang w:val="en-GB"/>
        </w:rPr>
        <w:t>et al.</w:t>
      </w:r>
      <w:r w:rsidRPr="00157F85">
        <w:rPr>
          <w:rFonts w:ascii="Times New Roman" w:hAnsi="Times New Roman" w:cs="Times New Roman"/>
          <w:sz w:val="24"/>
          <w:lang w:val="en-GB"/>
        </w:rPr>
        <w:t xml:space="preserve"> 2013 BLAST: a more efficient report with usability improvements. </w:t>
      </w:r>
      <w:r w:rsidRPr="00157F85">
        <w:rPr>
          <w:rFonts w:ascii="Times New Roman" w:hAnsi="Times New Roman" w:cs="Times New Roman"/>
          <w:i/>
          <w:iCs/>
          <w:sz w:val="24"/>
          <w:lang w:val="en-GB"/>
        </w:rPr>
        <w:t>Nucleic Acids Res.</w:t>
      </w:r>
      <w:r w:rsidRPr="00157F85">
        <w:rPr>
          <w:rFonts w:ascii="Times New Roman" w:hAnsi="Times New Roman" w:cs="Times New Roman"/>
          <w:b/>
          <w:bCs/>
          <w:sz w:val="24"/>
          <w:lang w:val="en-GB"/>
        </w:rPr>
        <w:t>41</w:t>
      </w:r>
      <w:r w:rsidRPr="00157F85">
        <w:rPr>
          <w:rFonts w:ascii="Times New Roman" w:hAnsi="Times New Roman" w:cs="Times New Roman"/>
          <w:sz w:val="24"/>
          <w:lang w:val="en-GB"/>
        </w:rPr>
        <w:t>, W29-33. (doi:10.1093/nar/gkt282)</w:t>
      </w:r>
    </w:p>
    <w:p w:rsidR="007211ED" w:rsidRPr="00157F85" w:rsidRDefault="007211ED" w:rsidP="007211ED">
      <w:pPr>
        <w:pStyle w:val="Bibliography"/>
        <w:rPr>
          <w:rFonts w:ascii="Times New Roman" w:hAnsi="Times New Roman" w:cs="Times New Roman"/>
          <w:sz w:val="24"/>
          <w:lang w:val="en-GB"/>
        </w:rPr>
      </w:pPr>
      <w:r w:rsidRPr="00157F85">
        <w:rPr>
          <w:rFonts w:ascii="Times New Roman" w:hAnsi="Times New Roman" w:cs="Times New Roman"/>
          <w:sz w:val="24"/>
          <w:lang w:val="en-GB"/>
        </w:rPr>
        <w:t>15.</w:t>
      </w:r>
      <w:r w:rsidRPr="00157F85">
        <w:rPr>
          <w:rFonts w:ascii="Times New Roman" w:hAnsi="Times New Roman" w:cs="Times New Roman"/>
          <w:sz w:val="24"/>
          <w:lang w:val="en-GB"/>
        </w:rPr>
        <w:tab/>
        <w:t xml:space="preserve">Huson DH, Beier S, Flade I, Górska A, El-Hadidi M, Mitra S, Ruscheweyh H-J, Tappu R. 2016 MEGAN </w:t>
      </w:r>
      <w:r w:rsidR="001B0C70">
        <w:rPr>
          <w:rFonts w:ascii="Times New Roman" w:hAnsi="Times New Roman" w:cs="Times New Roman"/>
          <w:sz w:val="24"/>
          <w:lang w:val="en-GB"/>
        </w:rPr>
        <w:t>c</w:t>
      </w:r>
      <w:r w:rsidR="001B0C70" w:rsidRPr="00157F85">
        <w:rPr>
          <w:rFonts w:ascii="Times New Roman" w:hAnsi="Times New Roman" w:cs="Times New Roman"/>
          <w:sz w:val="24"/>
          <w:lang w:val="en-GB"/>
        </w:rPr>
        <w:t xml:space="preserve">ommunity </w:t>
      </w:r>
      <w:r w:rsidR="001B0C70">
        <w:rPr>
          <w:rFonts w:ascii="Times New Roman" w:hAnsi="Times New Roman" w:cs="Times New Roman"/>
          <w:sz w:val="24"/>
          <w:lang w:val="en-GB"/>
        </w:rPr>
        <w:t>e</w:t>
      </w:r>
      <w:r w:rsidR="001B0C70" w:rsidRPr="00157F85">
        <w:rPr>
          <w:rFonts w:ascii="Times New Roman" w:hAnsi="Times New Roman" w:cs="Times New Roman"/>
          <w:sz w:val="24"/>
          <w:lang w:val="en-GB"/>
        </w:rPr>
        <w:t xml:space="preserve">dition </w:t>
      </w:r>
      <w:r w:rsidRPr="00157F85">
        <w:rPr>
          <w:rFonts w:ascii="Times New Roman" w:hAnsi="Times New Roman" w:cs="Times New Roman"/>
          <w:sz w:val="24"/>
          <w:lang w:val="en-GB"/>
        </w:rPr>
        <w:t xml:space="preserve">- </w:t>
      </w:r>
      <w:r w:rsidR="001B0C70">
        <w:rPr>
          <w:rFonts w:ascii="Times New Roman" w:hAnsi="Times New Roman" w:cs="Times New Roman"/>
          <w:sz w:val="24"/>
          <w:lang w:val="en-GB"/>
        </w:rPr>
        <w:t>i</w:t>
      </w:r>
      <w:r w:rsidR="001B0C70" w:rsidRPr="00157F85">
        <w:rPr>
          <w:rFonts w:ascii="Times New Roman" w:hAnsi="Times New Roman" w:cs="Times New Roman"/>
          <w:sz w:val="24"/>
          <w:lang w:val="en-GB"/>
        </w:rPr>
        <w:t xml:space="preserve">nteractive </w:t>
      </w:r>
      <w:r w:rsidR="001B0C70">
        <w:rPr>
          <w:rFonts w:ascii="Times New Roman" w:hAnsi="Times New Roman" w:cs="Times New Roman"/>
          <w:sz w:val="24"/>
          <w:lang w:val="en-GB"/>
        </w:rPr>
        <w:t>e</w:t>
      </w:r>
      <w:r w:rsidR="001B0C70" w:rsidRPr="00157F85">
        <w:rPr>
          <w:rFonts w:ascii="Times New Roman" w:hAnsi="Times New Roman" w:cs="Times New Roman"/>
          <w:sz w:val="24"/>
          <w:lang w:val="en-GB"/>
        </w:rPr>
        <w:t xml:space="preserve">xploration </w:t>
      </w:r>
      <w:r w:rsidRPr="00157F85">
        <w:rPr>
          <w:rFonts w:ascii="Times New Roman" w:hAnsi="Times New Roman" w:cs="Times New Roman"/>
          <w:sz w:val="24"/>
          <w:lang w:val="en-GB"/>
        </w:rPr>
        <w:t xml:space="preserve">and </w:t>
      </w:r>
      <w:r w:rsidR="001B0C70">
        <w:rPr>
          <w:rFonts w:ascii="Times New Roman" w:hAnsi="Times New Roman" w:cs="Times New Roman"/>
          <w:sz w:val="24"/>
          <w:lang w:val="en-GB"/>
        </w:rPr>
        <w:t>a</w:t>
      </w:r>
      <w:r w:rsidR="001B0C70" w:rsidRPr="00157F85">
        <w:rPr>
          <w:rFonts w:ascii="Times New Roman" w:hAnsi="Times New Roman" w:cs="Times New Roman"/>
          <w:sz w:val="24"/>
          <w:lang w:val="en-GB"/>
        </w:rPr>
        <w:t xml:space="preserve">nalysis </w:t>
      </w:r>
      <w:r w:rsidRPr="00157F85">
        <w:rPr>
          <w:rFonts w:ascii="Times New Roman" w:hAnsi="Times New Roman" w:cs="Times New Roman"/>
          <w:sz w:val="24"/>
          <w:lang w:val="en-GB"/>
        </w:rPr>
        <w:t xml:space="preserve">of </w:t>
      </w:r>
      <w:r w:rsidR="001B0C70">
        <w:rPr>
          <w:rFonts w:ascii="Times New Roman" w:hAnsi="Times New Roman" w:cs="Times New Roman"/>
          <w:sz w:val="24"/>
          <w:lang w:val="en-GB"/>
        </w:rPr>
        <w:t>l</w:t>
      </w:r>
      <w:r w:rsidR="001B0C70" w:rsidRPr="00157F85">
        <w:rPr>
          <w:rFonts w:ascii="Times New Roman" w:hAnsi="Times New Roman" w:cs="Times New Roman"/>
          <w:sz w:val="24"/>
          <w:lang w:val="en-GB"/>
        </w:rPr>
        <w:t>arge</w:t>
      </w:r>
      <w:r w:rsidRPr="00157F85">
        <w:rPr>
          <w:rFonts w:ascii="Times New Roman" w:hAnsi="Times New Roman" w:cs="Times New Roman"/>
          <w:sz w:val="24"/>
          <w:lang w:val="en-GB"/>
        </w:rPr>
        <w:t>-</w:t>
      </w:r>
      <w:r w:rsidR="001B0C70">
        <w:rPr>
          <w:rFonts w:ascii="Times New Roman" w:hAnsi="Times New Roman" w:cs="Times New Roman"/>
          <w:sz w:val="24"/>
          <w:lang w:val="en-GB"/>
        </w:rPr>
        <w:t>s</w:t>
      </w:r>
      <w:r w:rsidR="001B0C70" w:rsidRPr="00157F85">
        <w:rPr>
          <w:rFonts w:ascii="Times New Roman" w:hAnsi="Times New Roman" w:cs="Times New Roman"/>
          <w:sz w:val="24"/>
          <w:lang w:val="en-GB"/>
        </w:rPr>
        <w:t xml:space="preserve">cale </w:t>
      </w:r>
      <w:r w:rsidR="001B0C70">
        <w:rPr>
          <w:rFonts w:ascii="Times New Roman" w:hAnsi="Times New Roman" w:cs="Times New Roman"/>
          <w:sz w:val="24"/>
          <w:lang w:val="en-GB"/>
        </w:rPr>
        <w:t>m</w:t>
      </w:r>
      <w:r w:rsidR="001B0C70" w:rsidRPr="00157F85">
        <w:rPr>
          <w:rFonts w:ascii="Times New Roman" w:hAnsi="Times New Roman" w:cs="Times New Roman"/>
          <w:sz w:val="24"/>
          <w:lang w:val="en-GB"/>
        </w:rPr>
        <w:t xml:space="preserve">icrobiome </w:t>
      </w:r>
      <w:r w:rsidR="001B0C70">
        <w:rPr>
          <w:rFonts w:ascii="Times New Roman" w:hAnsi="Times New Roman" w:cs="Times New Roman"/>
          <w:sz w:val="24"/>
          <w:lang w:val="en-GB"/>
        </w:rPr>
        <w:t>s</w:t>
      </w:r>
      <w:r w:rsidR="001B0C70" w:rsidRPr="00157F85">
        <w:rPr>
          <w:rFonts w:ascii="Times New Roman" w:hAnsi="Times New Roman" w:cs="Times New Roman"/>
          <w:sz w:val="24"/>
          <w:lang w:val="en-GB"/>
        </w:rPr>
        <w:t xml:space="preserve">equencing </w:t>
      </w:r>
      <w:r w:rsidR="001B0C70">
        <w:rPr>
          <w:rFonts w:ascii="Times New Roman" w:hAnsi="Times New Roman" w:cs="Times New Roman"/>
          <w:sz w:val="24"/>
          <w:lang w:val="en-GB"/>
        </w:rPr>
        <w:t>d</w:t>
      </w:r>
      <w:r w:rsidR="001B0C70" w:rsidRPr="00157F85">
        <w:rPr>
          <w:rFonts w:ascii="Times New Roman" w:hAnsi="Times New Roman" w:cs="Times New Roman"/>
          <w:sz w:val="24"/>
          <w:lang w:val="en-GB"/>
        </w:rPr>
        <w:t>ata</w:t>
      </w:r>
      <w:r w:rsidRPr="00157F85">
        <w:rPr>
          <w:rFonts w:ascii="Times New Roman" w:hAnsi="Times New Roman" w:cs="Times New Roman"/>
          <w:sz w:val="24"/>
          <w:lang w:val="en-GB"/>
        </w:rPr>
        <w:t xml:space="preserve">. </w:t>
      </w:r>
      <w:r w:rsidRPr="00157F85">
        <w:rPr>
          <w:rFonts w:ascii="Times New Roman" w:hAnsi="Times New Roman" w:cs="Times New Roman"/>
          <w:i/>
          <w:iCs/>
          <w:sz w:val="24"/>
          <w:lang w:val="en-GB"/>
        </w:rPr>
        <w:t>PLoSComput. Biol.</w:t>
      </w:r>
      <w:r w:rsidRPr="00157F85">
        <w:rPr>
          <w:rFonts w:ascii="Times New Roman" w:hAnsi="Times New Roman" w:cs="Times New Roman"/>
          <w:b/>
          <w:bCs/>
          <w:sz w:val="24"/>
          <w:lang w:val="en-GB"/>
        </w:rPr>
        <w:t>12</w:t>
      </w:r>
      <w:r w:rsidRPr="00157F85">
        <w:rPr>
          <w:rFonts w:ascii="Times New Roman" w:hAnsi="Times New Roman" w:cs="Times New Roman"/>
          <w:sz w:val="24"/>
          <w:lang w:val="en-GB"/>
        </w:rPr>
        <w:t>, e1004957. (doi:10.1371/journal.pcbi.1004957)</w:t>
      </w:r>
    </w:p>
    <w:p w:rsidR="007211ED" w:rsidRPr="00157F85" w:rsidRDefault="007211ED" w:rsidP="007211ED">
      <w:pPr>
        <w:pStyle w:val="Bibliography"/>
        <w:rPr>
          <w:rFonts w:ascii="Times New Roman" w:hAnsi="Times New Roman" w:cs="Times New Roman"/>
          <w:sz w:val="24"/>
          <w:lang w:val="en-GB"/>
        </w:rPr>
      </w:pPr>
      <w:r w:rsidRPr="00157F85">
        <w:rPr>
          <w:rFonts w:ascii="Times New Roman" w:hAnsi="Times New Roman" w:cs="Times New Roman"/>
          <w:sz w:val="24"/>
          <w:lang w:val="en-GB"/>
        </w:rPr>
        <w:lastRenderedPageBreak/>
        <w:t>16.</w:t>
      </w:r>
      <w:r w:rsidRPr="00157F85">
        <w:rPr>
          <w:rFonts w:ascii="Times New Roman" w:hAnsi="Times New Roman" w:cs="Times New Roman"/>
          <w:sz w:val="24"/>
          <w:lang w:val="en-GB"/>
        </w:rPr>
        <w:tab/>
        <w:t xml:space="preserve">Moszczynska A, Locke SA, McLaughlin JD, Marcogliese DJ, Crease TJ. 2009 Development of primers for the mitochondrial cytochrome c oxidase I gene in digenetic trematodes (Platyhelminthes) illustrates the challenge of barcoding parasitic helminths. </w:t>
      </w:r>
      <w:r w:rsidRPr="00157F85">
        <w:rPr>
          <w:rFonts w:ascii="Times New Roman" w:hAnsi="Times New Roman" w:cs="Times New Roman"/>
          <w:i/>
          <w:iCs/>
          <w:sz w:val="24"/>
          <w:lang w:val="en-GB"/>
        </w:rPr>
        <w:t>Mol. Ecol. Resour.</w:t>
      </w:r>
      <w:r w:rsidRPr="00157F85">
        <w:rPr>
          <w:rFonts w:ascii="Times New Roman" w:hAnsi="Times New Roman" w:cs="Times New Roman"/>
          <w:b/>
          <w:bCs/>
          <w:sz w:val="24"/>
          <w:lang w:val="en-GB"/>
        </w:rPr>
        <w:t>9 Suppl s1</w:t>
      </w:r>
      <w:r w:rsidRPr="00157F85">
        <w:rPr>
          <w:rFonts w:ascii="Times New Roman" w:hAnsi="Times New Roman" w:cs="Times New Roman"/>
          <w:sz w:val="24"/>
          <w:lang w:val="en-GB"/>
        </w:rPr>
        <w:t>, 75–82. (doi:10.1111/j.1755-0998.2009.02634.x)</w:t>
      </w:r>
    </w:p>
    <w:p w:rsidR="007211ED" w:rsidRPr="00157F85" w:rsidRDefault="007211ED" w:rsidP="007211ED">
      <w:pPr>
        <w:pStyle w:val="Bibliography"/>
        <w:rPr>
          <w:rFonts w:ascii="Times New Roman" w:hAnsi="Times New Roman" w:cs="Times New Roman"/>
          <w:sz w:val="24"/>
          <w:lang w:val="en-GB"/>
        </w:rPr>
      </w:pPr>
      <w:r w:rsidRPr="00157F85">
        <w:rPr>
          <w:rFonts w:ascii="Times New Roman" w:hAnsi="Times New Roman" w:cs="Times New Roman"/>
          <w:sz w:val="24"/>
          <w:lang w:val="en-GB"/>
        </w:rPr>
        <w:t>17.</w:t>
      </w:r>
      <w:r w:rsidRPr="00157F85">
        <w:rPr>
          <w:rFonts w:ascii="Times New Roman" w:hAnsi="Times New Roman" w:cs="Times New Roman"/>
          <w:sz w:val="24"/>
          <w:lang w:val="en-GB"/>
        </w:rPr>
        <w:tab/>
        <w:t xml:space="preserve">Clarke LJ, Czechowski P, Soubrier J, Stevens MI, Cooper A. 2014 Modular tagging of amplicons using a single PCR for high-throughput sequencing. </w:t>
      </w:r>
      <w:r w:rsidRPr="00157F85">
        <w:rPr>
          <w:rFonts w:ascii="Times New Roman" w:hAnsi="Times New Roman" w:cs="Times New Roman"/>
          <w:i/>
          <w:iCs/>
          <w:sz w:val="24"/>
          <w:lang w:val="en-GB"/>
        </w:rPr>
        <w:t>Mol. Ecol. Resour.</w:t>
      </w:r>
      <w:r w:rsidRPr="00157F85">
        <w:rPr>
          <w:rFonts w:ascii="Times New Roman" w:hAnsi="Times New Roman" w:cs="Times New Roman"/>
          <w:b/>
          <w:bCs/>
          <w:sz w:val="24"/>
          <w:lang w:val="en-GB"/>
        </w:rPr>
        <w:t>14</w:t>
      </w:r>
      <w:r w:rsidRPr="00157F85">
        <w:rPr>
          <w:rFonts w:ascii="Times New Roman" w:hAnsi="Times New Roman" w:cs="Times New Roman"/>
          <w:sz w:val="24"/>
          <w:lang w:val="en-GB"/>
        </w:rPr>
        <w:t>, 117–121. (doi:10.1111/1755-0998.12162)</w:t>
      </w:r>
    </w:p>
    <w:p w:rsidR="007211ED" w:rsidRPr="00157F85" w:rsidRDefault="007211ED" w:rsidP="007211ED">
      <w:pPr>
        <w:pStyle w:val="Bibliography"/>
        <w:rPr>
          <w:rFonts w:ascii="Times New Roman" w:hAnsi="Times New Roman" w:cs="Times New Roman"/>
          <w:sz w:val="24"/>
          <w:lang w:val="en-GB"/>
        </w:rPr>
      </w:pPr>
      <w:r w:rsidRPr="00157F85">
        <w:rPr>
          <w:rFonts w:ascii="Times New Roman" w:hAnsi="Times New Roman" w:cs="Times New Roman"/>
          <w:sz w:val="24"/>
          <w:lang w:val="en-GB"/>
        </w:rPr>
        <w:t>18.</w:t>
      </w:r>
      <w:r w:rsidRPr="00157F85">
        <w:rPr>
          <w:rFonts w:ascii="Times New Roman" w:hAnsi="Times New Roman" w:cs="Times New Roman"/>
          <w:sz w:val="24"/>
          <w:lang w:val="en-GB"/>
        </w:rPr>
        <w:tab/>
        <w:t xml:space="preserve">Kaunisto KM, Roslin T, Sääksjärvi IE, Vesterinen EJ. 2017 Pellets of proof: First glimpse of the dietary composition of adult odonates as revealed by metabarcoding of feces. </w:t>
      </w:r>
      <w:r w:rsidRPr="00157F85">
        <w:rPr>
          <w:rFonts w:ascii="Times New Roman" w:hAnsi="Times New Roman" w:cs="Times New Roman"/>
          <w:i/>
          <w:iCs/>
          <w:sz w:val="24"/>
          <w:lang w:val="en-GB"/>
        </w:rPr>
        <w:t>Ecol. Evol.</w:t>
      </w:r>
      <w:r w:rsidRPr="00157F85">
        <w:rPr>
          <w:rFonts w:ascii="Times New Roman" w:hAnsi="Times New Roman" w:cs="Times New Roman"/>
          <w:b/>
          <w:bCs/>
          <w:sz w:val="24"/>
          <w:lang w:val="en-GB"/>
        </w:rPr>
        <w:t>7</w:t>
      </w:r>
      <w:r w:rsidRPr="00157F85">
        <w:rPr>
          <w:rFonts w:ascii="Times New Roman" w:hAnsi="Times New Roman" w:cs="Times New Roman"/>
          <w:sz w:val="24"/>
          <w:lang w:val="en-GB"/>
        </w:rPr>
        <w:t>, 8588–8598. (doi:10.1002/ece3.3404)</w:t>
      </w:r>
    </w:p>
    <w:p w:rsidR="007211ED" w:rsidRPr="00157F85" w:rsidRDefault="007211ED" w:rsidP="007211ED">
      <w:pPr>
        <w:pStyle w:val="Bibliography"/>
        <w:rPr>
          <w:rFonts w:ascii="Times New Roman" w:hAnsi="Times New Roman" w:cs="Times New Roman"/>
          <w:sz w:val="24"/>
          <w:lang w:val="en-GB"/>
        </w:rPr>
      </w:pPr>
      <w:r w:rsidRPr="00157F85">
        <w:rPr>
          <w:rFonts w:ascii="Times New Roman" w:hAnsi="Times New Roman" w:cs="Times New Roman"/>
          <w:sz w:val="24"/>
          <w:lang w:val="en-GB"/>
        </w:rPr>
        <w:t>19.</w:t>
      </w:r>
      <w:r w:rsidRPr="00157F85">
        <w:rPr>
          <w:rFonts w:ascii="Times New Roman" w:hAnsi="Times New Roman" w:cs="Times New Roman"/>
          <w:sz w:val="24"/>
          <w:lang w:val="en-GB"/>
        </w:rPr>
        <w:tab/>
        <w:t xml:space="preserve">Aljanabi SM, Martinez I. 1997 Universal and rapid salt-extraction of high quality genomic DNA for PCR-based techniques. </w:t>
      </w:r>
      <w:r w:rsidRPr="00157F85">
        <w:rPr>
          <w:rFonts w:ascii="Times New Roman" w:hAnsi="Times New Roman" w:cs="Times New Roman"/>
          <w:i/>
          <w:iCs/>
          <w:sz w:val="24"/>
          <w:lang w:val="en-GB"/>
        </w:rPr>
        <w:t>Nucleic Acids Res.</w:t>
      </w:r>
      <w:r w:rsidRPr="00157F85">
        <w:rPr>
          <w:rFonts w:ascii="Times New Roman" w:hAnsi="Times New Roman" w:cs="Times New Roman"/>
          <w:b/>
          <w:bCs/>
          <w:sz w:val="24"/>
          <w:lang w:val="en-GB"/>
        </w:rPr>
        <w:t>25</w:t>
      </w:r>
      <w:r w:rsidRPr="00157F85">
        <w:rPr>
          <w:rFonts w:ascii="Times New Roman" w:hAnsi="Times New Roman" w:cs="Times New Roman"/>
          <w:sz w:val="24"/>
          <w:lang w:val="en-GB"/>
        </w:rPr>
        <w:t>, 4692–4693.</w:t>
      </w:r>
    </w:p>
    <w:p w:rsidR="007211ED" w:rsidRPr="00157F85" w:rsidRDefault="007211ED" w:rsidP="007211ED">
      <w:pPr>
        <w:pStyle w:val="Bibliography"/>
        <w:rPr>
          <w:rFonts w:ascii="Times New Roman" w:hAnsi="Times New Roman" w:cs="Times New Roman"/>
          <w:sz w:val="24"/>
          <w:lang w:val="en-GB"/>
        </w:rPr>
      </w:pPr>
      <w:r w:rsidRPr="00157F85">
        <w:rPr>
          <w:rFonts w:ascii="Times New Roman" w:hAnsi="Times New Roman" w:cs="Times New Roman"/>
          <w:sz w:val="24"/>
          <w:lang w:val="en-GB"/>
        </w:rPr>
        <w:t>20.</w:t>
      </w:r>
      <w:r w:rsidRPr="00157F85">
        <w:rPr>
          <w:rFonts w:ascii="Times New Roman" w:hAnsi="Times New Roman" w:cs="Times New Roman"/>
          <w:sz w:val="24"/>
          <w:lang w:val="en-GB"/>
        </w:rPr>
        <w:tab/>
        <w:t xml:space="preserve">Zhang J, Kobert K, Flouri T, Stamatakis A. 2014 PEAR: a fast and accurate Illumina Paired-End reAdmergeR. </w:t>
      </w:r>
      <w:r w:rsidRPr="00157F85">
        <w:rPr>
          <w:rFonts w:ascii="Times New Roman" w:hAnsi="Times New Roman" w:cs="Times New Roman"/>
          <w:i/>
          <w:iCs/>
          <w:sz w:val="24"/>
          <w:lang w:val="en-GB"/>
        </w:rPr>
        <w:t>Bioinforma. Oxf. Engl.</w:t>
      </w:r>
      <w:r w:rsidRPr="00157F85">
        <w:rPr>
          <w:rFonts w:ascii="Times New Roman" w:hAnsi="Times New Roman" w:cs="Times New Roman"/>
          <w:b/>
          <w:bCs/>
          <w:sz w:val="24"/>
          <w:lang w:val="en-GB"/>
        </w:rPr>
        <w:t>30</w:t>
      </w:r>
      <w:r w:rsidRPr="00157F85">
        <w:rPr>
          <w:rFonts w:ascii="Times New Roman" w:hAnsi="Times New Roman" w:cs="Times New Roman"/>
          <w:sz w:val="24"/>
          <w:lang w:val="en-GB"/>
        </w:rPr>
        <w:t>, 614–620. (doi:10.1093/bioinformatics/btt593)</w:t>
      </w:r>
    </w:p>
    <w:p w:rsidR="007211ED" w:rsidRPr="00157F85" w:rsidRDefault="007211ED" w:rsidP="007211ED">
      <w:pPr>
        <w:pStyle w:val="Bibliography"/>
        <w:rPr>
          <w:rFonts w:ascii="Times New Roman" w:hAnsi="Times New Roman" w:cs="Times New Roman"/>
          <w:sz w:val="24"/>
          <w:lang w:val="en-GB"/>
        </w:rPr>
      </w:pPr>
      <w:r w:rsidRPr="00157F85">
        <w:rPr>
          <w:rFonts w:ascii="Times New Roman" w:hAnsi="Times New Roman" w:cs="Times New Roman"/>
          <w:sz w:val="24"/>
          <w:lang w:val="en-GB"/>
        </w:rPr>
        <w:t>21.</w:t>
      </w:r>
      <w:r w:rsidRPr="00157F85">
        <w:rPr>
          <w:rFonts w:ascii="Times New Roman" w:hAnsi="Times New Roman" w:cs="Times New Roman"/>
          <w:sz w:val="24"/>
          <w:lang w:val="en-GB"/>
        </w:rPr>
        <w:tab/>
        <w:t xml:space="preserve">Martin M. 2011 Cutadapt removes adapter sequences from high-throughput sequencing reads. </w:t>
      </w:r>
      <w:r w:rsidRPr="00157F85">
        <w:rPr>
          <w:rFonts w:ascii="Times New Roman" w:hAnsi="Times New Roman" w:cs="Times New Roman"/>
          <w:i/>
          <w:iCs/>
          <w:sz w:val="24"/>
          <w:lang w:val="en-GB"/>
        </w:rPr>
        <w:t>EMBnet.journal</w:t>
      </w:r>
      <w:r w:rsidRPr="00157F85">
        <w:rPr>
          <w:rFonts w:ascii="Times New Roman" w:hAnsi="Times New Roman" w:cs="Times New Roman"/>
          <w:b/>
          <w:bCs/>
          <w:sz w:val="24"/>
          <w:lang w:val="en-GB"/>
        </w:rPr>
        <w:t>17</w:t>
      </w:r>
      <w:r w:rsidRPr="00157F85">
        <w:rPr>
          <w:rFonts w:ascii="Times New Roman" w:hAnsi="Times New Roman" w:cs="Times New Roman"/>
          <w:sz w:val="24"/>
          <w:lang w:val="en-GB"/>
        </w:rPr>
        <w:t>, 10–12. (doi:10.14806/ej.17.1.200)</w:t>
      </w:r>
    </w:p>
    <w:p w:rsidR="007211ED" w:rsidRPr="00157F85" w:rsidRDefault="007211ED" w:rsidP="007211ED">
      <w:pPr>
        <w:pStyle w:val="Bibliography"/>
        <w:rPr>
          <w:rFonts w:ascii="Times New Roman" w:hAnsi="Times New Roman" w:cs="Times New Roman"/>
          <w:sz w:val="24"/>
          <w:lang w:val="en-GB"/>
        </w:rPr>
      </w:pPr>
      <w:r w:rsidRPr="00157F85">
        <w:rPr>
          <w:rFonts w:ascii="Times New Roman" w:hAnsi="Times New Roman" w:cs="Times New Roman"/>
          <w:sz w:val="24"/>
          <w:lang w:val="en-GB"/>
        </w:rPr>
        <w:t>22.</w:t>
      </w:r>
      <w:r w:rsidRPr="00157F85">
        <w:rPr>
          <w:rFonts w:ascii="Times New Roman" w:hAnsi="Times New Roman" w:cs="Times New Roman"/>
          <w:sz w:val="24"/>
          <w:lang w:val="en-GB"/>
        </w:rPr>
        <w:tab/>
        <w:t xml:space="preserve">Koskinen J, Roslin T, Nyman T, Abrego N, Michell C, Vesterinen EJ. 2019 Finding flies in the mushroom soup: Host specificity of fungus-associated communities revisited with a novel molecular method. </w:t>
      </w:r>
      <w:r w:rsidRPr="00157F85">
        <w:rPr>
          <w:rFonts w:ascii="Times New Roman" w:hAnsi="Times New Roman" w:cs="Times New Roman"/>
          <w:i/>
          <w:iCs/>
          <w:sz w:val="24"/>
          <w:lang w:val="en-GB"/>
        </w:rPr>
        <w:t>Mol. Ecol.</w:t>
      </w:r>
      <w:r w:rsidRPr="00157F85">
        <w:rPr>
          <w:rFonts w:ascii="Times New Roman" w:hAnsi="Times New Roman" w:cs="Times New Roman"/>
          <w:b/>
          <w:bCs/>
          <w:sz w:val="24"/>
          <w:lang w:val="en-GB"/>
        </w:rPr>
        <w:t>28</w:t>
      </w:r>
      <w:r w:rsidRPr="00157F85">
        <w:rPr>
          <w:rFonts w:ascii="Times New Roman" w:hAnsi="Times New Roman" w:cs="Times New Roman"/>
          <w:sz w:val="24"/>
          <w:lang w:val="en-GB"/>
        </w:rPr>
        <w:t>, 190–202. (doi:10.1111/mec.14810)</w:t>
      </w:r>
    </w:p>
    <w:p w:rsidR="007211ED" w:rsidRPr="00157F85" w:rsidRDefault="007211ED" w:rsidP="007211ED">
      <w:pPr>
        <w:pStyle w:val="Bibliography"/>
        <w:rPr>
          <w:rFonts w:ascii="Times New Roman" w:hAnsi="Times New Roman" w:cs="Times New Roman"/>
          <w:sz w:val="24"/>
          <w:lang w:val="en-GB"/>
        </w:rPr>
      </w:pPr>
      <w:r w:rsidRPr="00157F85">
        <w:rPr>
          <w:rFonts w:ascii="Times New Roman" w:hAnsi="Times New Roman" w:cs="Times New Roman"/>
          <w:sz w:val="24"/>
          <w:lang w:val="en-GB"/>
        </w:rPr>
        <w:t>23.</w:t>
      </w:r>
      <w:r w:rsidRPr="00157F85">
        <w:rPr>
          <w:rFonts w:ascii="Times New Roman" w:hAnsi="Times New Roman" w:cs="Times New Roman"/>
          <w:sz w:val="24"/>
          <w:lang w:val="en-GB"/>
        </w:rPr>
        <w:tab/>
        <w:t xml:space="preserve">Wood DE, Salzberg SL. 2014 Kraken: ultrafast metagenomic sequence classification using exact alignments. </w:t>
      </w:r>
      <w:r w:rsidRPr="00157F85">
        <w:rPr>
          <w:rFonts w:ascii="Times New Roman" w:hAnsi="Times New Roman" w:cs="Times New Roman"/>
          <w:i/>
          <w:iCs/>
          <w:sz w:val="24"/>
          <w:lang w:val="en-GB"/>
        </w:rPr>
        <w:t>Genome Biol.</w:t>
      </w:r>
      <w:r w:rsidRPr="00157F85">
        <w:rPr>
          <w:rFonts w:ascii="Times New Roman" w:hAnsi="Times New Roman" w:cs="Times New Roman"/>
          <w:b/>
          <w:bCs/>
          <w:sz w:val="24"/>
          <w:lang w:val="en-GB"/>
        </w:rPr>
        <w:t>15</w:t>
      </w:r>
      <w:r w:rsidRPr="00157F85">
        <w:rPr>
          <w:rFonts w:ascii="Times New Roman" w:hAnsi="Times New Roman" w:cs="Times New Roman"/>
          <w:sz w:val="24"/>
          <w:lang w:val="en-GB"/>
        </w:rPr>
        <w:t>, R46. (doi:10.1186/gb-2014-15-3-r46)</w:t>
      </w:r>
    </w:p>
    <w:p w:rsidR="007211ED" w:rsidRPr="00157F85" w:rsidRDefault="007211ED" w:rsidP="007211ED">
      <w:pPr>
        <w:pStyle w:val="Bibliography"/>
        <w:rPr>
          <w:rFonts w:ascii="Times New Roman" w:hAnsi="Times New Roman" w:cs="Times New Roman"/>
          <w:sz w:val="24"/>
          <w:lang w:val="en-GB"/>
        </w:rPr>
      </w:pPr>
      <w:r w:rsidRPr="00157F85">
        <w:rPr>
          <w:rFonts w:ascii="Times New Roman" w:hAnsi="Times New Roman" w:cs="Times New Roman"/>
          <w:sz w:val="24"/>
          <w:lang w:val="en-GB"/>
        </w:rPr>
        <w:t>24.</w:t>
      </w:r>
      <w:r w:rsidRPr="00157F85">
        <w:rPr>
          <w:rFonts w:ascii="Times New Roman" w:hAnsi="Times New Roman" w:cs="Times New Roman"/>
          <w:sz w:val="24"/>
          <w:lang w:val="en-GB"/>
        </w:rPr>
        <w:tab/>
        <w:t xml:space="preserve">Wang Q, Garrity GM, Tiedje JM, Cole JR. 2007 Naive Bayesian classifier for rapid assignment of rRNA sequences into the new bacterial taxonomy. </w:t>
      </w:r>
      <w:r w:rsidRPr="00157F85">
        <w:rPr>
          <w:rFonts w:ascii="Times New Roman" w:hAnsi="Times New Roman" w:cs="Times New Roman"/>
          <w:i/>
          <w:iCs/>
          <w:sz w:val="24"/>
          <w:lang w:val="en-GB"/>
        </w:rPr>
        <w:t>Appl. Environ. Microbiol.</w:t>
      </w:r>
      <w:r w:rsidRPr="00157F85">
        <w:rPr>
          <w:rFonts w:ascii="Times New Roman" w:hAnsi="Times New Roman" w:cs="Times New Roman"/>
          <w:b/>
          <w:bCs/>
          <w:sz w:val="24"/>
          <w:lang w:val="en-GB"/>
        </w:rPr>
        <w:t>73</w:t>
      </w:r>
      <w:r w:rsidRPr="00157F85">
        <w:rPr>
          <w:rFonts w:ascii="Times New Roman" w:hAnsi="Times New Roman" w:cs="Times New Roman"/>
          <w:sz w:val="24"/>
          <w:lang w:val="en-GB"/>
        </w:rPr>
        <w:t>, 5261–5267. (doi:10.1128/AEM.00062-07)</w:t>
      </w:r>
    </w:p>
    <w:p w:rsidR="007211ED" w:rsidRPr="00157F85" w:rsidRDefault="007211ED" w:rsidP="007211ED">
      <w:pPr>
        <w:pStyle w:val="Bibliography"/>
        <w:rPr>
          <w:rFonts w:ascii="Times New Roman" w:hAnsi="Times New Roman" w:cs="Times New Roman"/>
          <w:sz w:val="24"/>
          <w:lang w:val="en-GB"/>
        </w:rPr>
      </w:pPr>
      <w:r w:rsidRPr="00157F85">
        <w:rPr>
          <w:rFonts w:ascii="Times New Roman" w:hAnsi="Times New Roman" w:cs="Times New Roman"/>
          <w:sz w:val="24"/>
          <w:lang w:val="en-GB"/>
        </w:rPr>
        <w:t>25.</w:t>
      </w:r>
      <w:r w:rsidRPr="00157F85">
        <w:rPr>
          <w:rFonts w:ascii="Times New Roman" w:hAnsi="Times New Roman" w:cs="Times New Roman"/>
          <w:sz w:val="24"/>
          <w:lang w:val="en-GB"/>
        </w:rPr>
        <w:tab/>
        <w:t xml:space="preserve">Porter TM, Hajibabaei M. 2018 Automated high throughput animal CO1 metabarcode classification. </w:t>
      </w:r>
      <w:r w:rsidRPr="00157F85">
        <w:rPr>
          <w:rFonts w:ascii="Times New Roman" w:hAnsi="Times New Roman" w:cs="Times New Roman"/>
          <w:i/>
          <w:iCs/>
          <w:sz w:val="24"/>
          <w:lang w:val="en-GB"/>
        </w:rPr>
        <w:t>Sci. Rep.</w:t>
      </w:r>
      <w:r w:rsidRPr="00157F85">
        <w:rPr>
          <w:rFonts w:ascii="Times New Roman" w:hAnsi="Times New Roman" w:cs="Times New Roman"/>
          <w:b/>
          <w:bCs/>
          <w:sz w:val="24"/>
          <w:lang w:val="en-GB"/>
        </w:rPr>
        <w:t>8</w:t>
      </w:r>
      <w:r w:rsidRPr="00157F85">
        <w:rPr>
          <w:rFonts w:ascii="Times New Roman" w:hAnsi="Times New Roman" w:cs="Times New Roman"/>
          <w:sz w:val="24"/>
          <w:lang w:val="en-GB"/>
        </w:rPr>
        <w:t>, 1–10. (doi:10.1038/s41598-018-22505-4)</w:t>
      </w:r>
    </w:p>
    <w:p w:rsidR="007211ED" w:rsidRPr="00157F85" w:rsidRDefault="007211ED" w:rsidP="007211ED">
      <w:pPr>
        <w:pStyle w:val="Bibliography"/>
        <w:rPr>
          <w:rFonts w:ascii="Times New Roman" w:hAnsi="Times New Roman" w:cs="Times New Roman"/>
          <w:sz w:val="24"/>
          <w:lang w:val="en-GB"/>
        </w:rPr>
      </w:pPr>
      <w:r w:rsidRPr="00157F85">
        <w:rPr>
          <w:rFonts w:ascii="Times New Roman" w:hAnsi="Times New Roman" w:cs="Times New Roman"/>
          <w:sz w:val="24"/>
          <w:lang w:val="en-GB"/>
        </w:rPr>
        <w:t>26.</w:t>
      </w:r>
      <w:r w:rsidRPr="00157F85">
        <w:rPr>
          <w:rFonts w:ascii="Times New Roman" w:hAnsi="Times New Roman" w:cs="Times New Roman"/>
          <w:sz w:val="24"/>
          <w:lang w:val="en-GB"/>
        </w:rPr>
        <w:tab/>
      </w:r>
      <w:r w:rsidRPr="00B853BC">
        <w:rPr>
          <w:rFonts w:ascii="Times New Roman" w:hAnsi="Times New Roman" w:cs="Times New Roman"/>
          <w:sz w:val="24"/>
          <w:lang w:val="en-GB"/>
        </w:rPr>
        <w:t xml:space="preserve">Kearse M </w:t>
      </w:r>
      <w:r w:rsidRPr="00B853BC">
        <w:rPr>
          <w:rFonts w:ascii="Times New Roman" w:hAnsi="Times New Roman" w:cs="Times New Roman"/>
          <w:i/>
          <w:iCs/>
          <w:sz w:val="24"/>
          <w:lang w:val="en-GB"/>
        </w:rPr>
        <w:t>et al.</w:t>
      </w:r>
      <w:r w:rsidRPr="00B853BC">
        <w:rPr>
          <w:rFonts w:ascii="Times New Roman" w:hAnsi="Times New Roman" w:cs="Times New Roman"/>
          <w:sz w:val="24"/>
          <w:lang w:val="en-GB"/>
        </w:rPr>
        <w:t xml:space="preserve"> 2012 Geneious</w:t>
      </w:r>
      <w:r w:rsidRPr="00157F85">
        <w:rPr>
          <w:rFonts w:ascii="Times New Roman" w:hAnsi="Times New Roman" w:cs="Times New Roman"/>
          <w:sz w:val="24"/>
          <w:lang w:val="en-GB"/>
        </w:rPr>
        <w:t xml:space="preserve"> Basic: an integrated and extendable desktop software platform for the organization and analysis of sequence data. </w:t>
      </w:r>
      <w:r w:rsidRPr="00157F85">
        <w:rPr>
          <w:rFonts w:ascii="Times New Roman" w:hAnsi="Times New Roman" w:cs="Times New Roman"/>
          <w:i/>
          <w:iCs/>
          <w:sz w:val="24"/>
          <w:lang w:val="en-GB"/>
        </w:rPr>
        <w:t>Bioinforma. Oxf. Engl.</w:t>
      </w:r>
      <w:r w:rsidRPr="00157F85">
        <w:rPr>
          <w:rFonts w:ascii="Times New Roman" w:hAnsi="Times New Roman" w:cs="Times New Roman"/>
          <w:b/>
          <w:bCs/>
          <w:sz w:val="24"/>
          <w:lang w:val="en-GB"/>
        </w:rPr>
        <w:t>28</w:t>
      </w:r>
      <w:r w:rsidRPr="00157F85">
        <w:rPr>
          <w:rFonts w:ascii="Times New Roman" w:hAnsi="Times New Roman" w:cs="Times New Roman"/>
          <w:sz w:val="24"/>
          <w:lang w:val="en-GB"/>
        </w:rPr>
        <w:t>, 1647–1649. (doi:10.1093/bioinformatics/bts199)</w:t>
      </w:r>
    </w:p>
    <w:p w:rsidR="007211ED" w:rsidRPr="00157F85" w:rsidRDefault="007211ED" w:rsidP="007211ED">
      <w:pPr>
        <w:pStyle w:val="Bibliography"/>
        <w:rPr>
          <w:rFonts w:ascii="Times New Roman" w:hAnsi="Times New Roman" w:cs="Times New Roman"/>
          <w:sz w:val="24"/>
          <w:lang w:val="en-GB"/>
        </w:rPr>
      </w:pPr>
      <w:r w:rsidRPr="00157F85">
        <w:rPr>
          <w:rFonts w:ascii="Times New Roman" w:hAnsi="Times New Roman" w:cs="Times New Roman"/>
          <w:sz w:val="24"/>
          <w:lang w:val="en-GB"/>
        </w:rPr>
        <w:t>27.</w:t>
      </w:r>
      <w:r w:rsidRPr="00157F85">
        <w:rPr>
          <w:rFonts w:ascii="Times New Roman" w:hAnsi="Times New Roman" w:cs="Times New Roman"/>
          <w:sz w:val="24"/>
          <w:lang w:val="en-GB"/>
        </w:rPr>
        <w:tab/>
        <w:t xml:space="preserve">Deagle BE, Thomas AC, McInnes JC, Clarke LJ, Vesterinen EJ, Clare EL, Kartzinel TR, Eveson JP. 2019 Counting with DNA in metabarcoding studies: How should we convert sequence reads to dietary data? </w:t>
      </w:r>
      <w:r w:rsidRPr="00157F85">
        <w:rPr>
          <w:rFonts w:ascii="Times New Roman" w:hAnsi="Times New Roman" w:cs="Times New Roman"/>
          <w:i/>
          <w:iCs/>
          <w:sz w:val="24"/>
          <w:lang w:val="en-GB"/>
        </w:rPr>
        <w:t>Mol. Ecol.</w:t>
      </w:r>
      <w:r w:rsidRPr="00157F85">
        <w:rPr>
          <w:rFonts w:ascii="Times New Roman" w:hAnsi="Times New Roman" w:cs="Times New Roman"/>
          <w:b/>
          <w:bCs/>
          <w:sz w:val="24"/>
          <w:lang w:val="en-GB"/>
        </w:rPr>
        <w:t>28</w:t>
      </w:r>
      <w:r w:rsidRPr="00157F85">
        <w:rPr>
          <w:rFonts w:ascii="Times New Roman" w:hAnsi="Times New Roman" w:cs="Times New Roman"/>
          <w:sz w:val="24"/>
          <w:lang w:val="en-GB"/>
        </w:rPr>
        <w:t>, 391–406. (doi:10.1111/mec.14734)</w:t>
      </w:r>
    </w:p>
    <w:p w:rsidR="007211ED" w:rsidRPr="00157F85" w:rsidRDefault="007211ED" w:rsidP="007211ED">
      <w:pPr>
        <w:pStyle w:val="Bibliography"/>
        <w:rPr>
          <w:rFonts w:ascii="Times New Roman" w:hAnsi="Times New Roman" w:cs="Times New Roman"/>
          <w:sz w:val="24"/>
          <w:lang w:val="en-GB"/>
        </w:rPr>
      </w:pPr>
      <w:r w:rsidRPr="00157F85">
        <w:rPr>
          <w:rFonts w:ascii="Times New Roman" w:hAnsi="Times New Roman" w:cs="Times New Roman"/>
          <w:sz w:val="24"/>
          <w:lang w:val="en-GB"/>
        </w:rPr>
        <w:t>28.</w:t>
      </w:r>
      <w:r w:rsidRPr="00157F85">
        <w:rPr>
          <w:rFonts w:ascii="Times New Roman" w:hAnsi="Times New Roman" w:cs="Times New Roman"/>
          <w:sz w:val="24"/>
          <w:lang w:val="en-GB"/>
        </w:rPr>
        <w:tab/>
        <w:t xml:space="preserve">Edgar RC. 2004 MUSCLE: multiple sequence alignment with high accuracy and high throughput. </w:t>
      </w:r>
      <w:r w:rsidRPr="00157F85">
        <w:rPr>
          <w:rFonts w:ascii="Times New Roman" w:hAnsi="Times New Roman" w:cs="Times New Roman"/>
          <w:i/>
          <w:iCs/>
          <w:sz w:val="24"/>
          <w:lang w:val="en-GB"/>
        </w:rPr>
        <w:t>Nucleic Acids Res.</w:t>
      </w:r>
      <w:r w:rsidRPr="00157F85">
        <w:rPr>
          <w:rFonts w:ascii="Times New Roman" w:hAnsi="Times New Roman" w:cs="Times New Roman"/>
          <w:b/>
          <w:bCs/>
          <w:sz w:val="24"/>
          <w:lang w:val="en-GB"/>
        </w:rPr>
        <w:t>32</w:t>
      </w:r>
      <w:r w:rsidRPr="00157F85">
        <w:rPr>
          <w:rFonts w:ascii="Times New Roman" w:hAnsi="Times New Roman" w:cs="Times New Roman"/>
          <w:sz w:val="24"/>
          <w:lang w:val="en-GB"/>
        </w:rPr>
        <w:t>, 1792–1797. (doi:10.1093/nar/gkh340)</w:t>
      </w:r>
    </w:p>
    <w:p w:rsidR="007211ED" w:rsidRPr="00157F85" w:rsidRDefault="007211ED" w:rsidP="007211ED">
      <w:pPr>
        <w:pStyle w:val="Bibliography"/>
        <w:rPr>
          <w:rFonts w:ascii="Times New Roman" w:hAnsi="Times New Roman" w:cs="Times New Roman"/>
          <w:sz w:val="24"/>
          <w:lang w:val="en-GB"/>
        </w:rPr>
      </w:pPr>
      <w:r w:rsidRPr="00157F85">
        <w:rPr>
          <w:rFonts w:ascii="Times New Roman" w:hAnsi="Times New Roman" w:cs="Times New Roman"/>
          <w:sz w:val="24"/>
          <w:lang w:val="en-GB"/>
        </w:rPr>
        <w:t>29.</w:t>
      </w:r>
      <w:r w:rsidRPr="00157F85">
        <w:rPr>
          <w:rFonts w:ascii="Times New Roman" w:hAnsi="Times New Roman" w:cs="Times New Roman"/>
          <w:sz w:val="24"/>
          <w:lang w:val="en-GB"/>
        </w:rPr>
        <w:tab/>
      </w:r>
      <w:r w:rsidRPr="00B853BC">
        <w:rPr>
          <w:rFonts w:ascii="Times New Roman" w:hAnsi="Times New Roman" w:cs="Times New Roman"/>
          <w:sz w:val="24"/>
          <w:lang w:val="en-GB"/>
        </w:rPr>
        <w:t>Hall A 1999 BioEdit: a user-friendly biological sequence alignment editor and analysis program of</w:t>
      </w:r>
      <w:r w:rsidRPr="00157F85">
        <w:rPr>
          <w:rFonts w:ascii="Times New Roman" w:hAnsi="Times New Roman" w:cs="Times New Roman"/>
          <w:sz w:val="24"/>
          <w:lang w:val="en-GB"/>
        </w:rPr>
        <w:t xml:space="preserve"> Windows 95/98/NT. (doi:10.1021/bk-1999-0734.ch008)</w:t>
      </w:r>
    </w:p>
    <w:p w:rsidR="007710AE" w:rsidRPr="00351192" w:rsidRDefault="007211ED" w:rsidP="00351192">
      <w:pPr>
        <w:pStyle w:val="Bibliography"/>
        <w:rPr>
          <w:rFonts w:ascii="Times New Roman" w:hAnsi="Times New Roman" w:cs="Times New Roman"/>
          <w:sz w:val="24"/>
        </w:rPr>
      </w:pPr>
      <w:r w:rsidRPr="00157F85">
        <w:rPr>
          <w:rFonts w:ascii="Times New Roman" w:hAnsi="Times New Roman" w:cs="Times New Roman"/>
          <w:sz w:val="24"/>
          <w:lang w:val="en-GB"/>
        </w:rPr>
        <w:lastRenderedPageBreak/>
        <w:t>30.</w:t>
      </w:r>
      <w:r w:rsidRPr="00157F85">
        <w:rPr>
          <w:rFonts w:ascii="Times New Roman" w:hAnsi="Times New Roman" w:cs="Times New Roman"/>
          <w:sz w:val="24"/>
          <w:lang w:val="en-GB"/>
        </w:rPr>
        <w:tab/>
        <w:t xml:space="preserve">Templeton AR, Crandall KA, Sing CF. 1992 A cladistic analysis of phenotypic associations with haplotypes inferred from restriction endonuclease mapping and DNA sequence data. </w:t>
      </w:r>
      <w:r w:rsidRPr="007211ED">
        <w:rPr>
          <w:rFonts w:ascii="Times New Roman" w:hAnsi="Times New Roman" w:cs="Times New Roman"/>
          <w:sz w:val="24"/>
        </w:rPr>
        <w:t xml:space="preserve">III. Cladogram estimation. </w:t>
      </w:r>
      <w:r w:rsidRPr="007211ED">
        <w:rPr>
          <w:rFonts w:ascii="Times New Roman" w:hAnsi="Times New Roman" w:cs="Times New Roman"/>
          <w:i/>
          <w:iCs/>
          <w:sz w:val="24"/>
        </w:rPr>
        <w:t>Genetics</w:t>
      </w:r>
      <w:r w:rsidRPr="007211ED">
        <w:rPr>
          <w:rFonts w:ascii="Times New Roman" w:hAnsi="Times New Roman" w:cs="Times New Roman"/>
          <w:b/>
          <w:bCs/>
          <w:sz w:val="24"/>
        </w:rPr>
        <w:t>132</w:t>
      </w:r>
      <w:r w:rsidRPr="007211ED">
        <w:rPr>
          <w:rFonts w:ascii="Times New Roman" w:hAnsi="Times New Roman" w:cs="Times New Roman"/>
          <w:sz w:val="24"/>
        </w:rPr>
        <w:t>, 619–633.</w:t>
      </w:r>
      <w:bookmarkStart w:id="0" w:name="_GoBack"/>
      <w:bookmarkEnd w:id="0"/>
    </w:p>
    <w:sectPr w:rsidR="007710AE" w:rsidRPr="00351192" w:rsidSect="007449E2">
      <w:headerReference w:type="even" r:id="rId13"/>
      <w:headerReference w:type="first" r:id="rId14"/>
      <w:pgSz w:w="11906" w:h="16838" w:code="9"/>
      <w:pgMar w:top="1440" w:right="1440" w:bottom="1440" w:left="1440" w:header="851" w:footer="369" w:gutter="0"/>
      <w:lnNumType w:countBy="1" w:restart="continuous"/>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C3BB4" w:rsidRDefault="000C3BB4" w:rsidP="00B65B3A">
      <w:pPr>
        <w:spacing w:after="0" w:line="240" w:lineRule="auto"/>
      </w:pPr>
      <w:r>
        <w:separator/>
      </w:r>
    </w:p>
    <w:p w:rsidR="000C3BB4" w:rsidRDefault="000C3BB4"/>
  </w:endnote>
  <w:endnote w:type="continuationSeparator" w:id="1">
    <w:p w:rsidR="000C3BB4" w:rsidRDefault="000C3BB4" w:rsidP="00B65B3A">
      <w:pPr>
        <w:spacing w:after="0" w:line="240" w:lineRule="auto"/>
      </w:pPr>
      <w:r>
        <w:continuationSeparator/>
      </w:r>
    </w:p>
    <w:p w:rsidR="000C3BB4" w:rsidRDefault="000C3BB4"/>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ourier New">
    <w:panose1 w:val="02070309020205020404"/>
    <w:charset w:val="BA"/>
    <w:family w:val="modern"/>
    <w:pitch w:val="fixed"/>
    <w:sig w:usb0="E0002E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C3BB4" w:rsidRDefault="000C3BB4" w:rsidP="00B65B3A">
      <w:pPr>
        <w:spacing w:after="0" w:line="240" w:lineRule="auto"/>
      </w:pPr>
      <w:r>
        <w:separator/>
      </w:r>
    </w:p>
  </w:footnote>
  <w:footnote w:type="continuationSeparator" w:id="1">
    <w:p w:rsidR="000C3BB4" w:rsidRDefault="000C3BB4" w:rsidP="00B65B3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212D" w:rsidRDefault="00B7212D" w:rsidP="00B65B3A">
    <w:pPr>
      <w:pStyle w:val="Header"/>
      <w:spacing w:before="240" w:after="276"/>
    </w:pPr>
  </w:p>
  <w:p w:rsidR="00B7212D" w:rsidRDefault="00B7212D" w:rsidP="00B65B3A">
    <w:pPr>
      <w:spacing w:after="276"/>
    </w:pPr>
  </w:p>
  <w:p w:rsidR="00B7212D" w:rsidRDefault="00B7212D"/>
  <w:p w:rsidR="00B7212D" w:rsidRDefault="00B7212D"/>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212D" w:rsidRPr="00B30794" w:rsidRDefault="00B7212D" w:rsidP="0005173A">
    <w:pPr>
      <w:pStyle w:val="Header-info"/>
      <w:spacing w:after="73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8"/>
    <w:multiLevelType w:val="singleLevel"/>
    <w:tmpl w:val="53B83634"/>
    <w:lvl w:ilvl="0">
      <w:start w:val="1"/>
      <w:numFmt w:val="decimal"/>
      <w:pStyle w:val="ListNumber"/>
      <w:lvlText w:val="%1."/>
      <w:lvlJc w:val="left"/>
      <w:pPr>
        <w:tabs>
          <w:tab w:val="num" w:pos="360"/>
        </w:tabs>
        <w:ind w:left="360" w:hanging="360"/>
      </w:pPr>
    </w:lvl>
  </w:abstractNum>
  <w:abstractNum w:abstractNumId="1">
    <w:nsid w:val="FFFFFF89"/>
    <w:multiLevelType w:val="singleLevel"/>
    <w:tmpl w:val="5A027E0A"/>
    <w:lvl w:ilvl="0">
      <w:start w:val="1"/>
      <w:numFmt w:val="bullet"/>
      <w:pStyle w:val="ListBullet"/>
      <w:lvlText w:val=""/>
      <w:lvlJc w:val="left"/>
      <w:pPr>
        <w:tabs>
          <w:tab w:val="num" w:pos="360"/>
        </w:tabs>
        <w:ind w:left="360" w:hanging="360"/>
      </w:pPr>
      <w:rPr>
        <w:rFonts w:ascii="Symbol" w:hAnsi="Symbol" w:hint="default"/>
      </w:rPr>
    </w:lvl>
  </w:abstractNum>
  <w:abstractNum w:abstractNumId="2">
    <w:nsid w:val="0111063F"/>
    <w:multiLevelType w:val="hybridMultilevel"/>
    <w:tmpl w:val="D3061806"/>
    <w:lvl w:ilvl="0" w:tplc="7354C720">
      <w:start w:val="1"/>
      <w:numFmt w:val="lowerLetter"/>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3">
    <w:nsid w:val="49D70570"/>
    <w:multiLevelType w:val="hybridMultilevel"/>
    <w:tmpl w:val="09B0083A"/>
    <w:lvl w:ilvl="0" w:tplc="5AB8C884">
      <w:start w:val="1"/>
      <w:numFmt w:val="decimal"/>
      <w:lvlText w:val="%1."/>
      <w:lvlJc w:val="left"/>
      <w:pPr>
        <w:ind w:left="960" w:hanging="60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4">
    <w:nsid w:val="56E54CAF"/>
    <w:multiLevelType w:val="hybridMultilevel"/>
    <w:tmpl w:val="81D43092"/>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3"/>
  </w:num>
  <w:num w:numId="2">
    <w:abstractNumId w:val="4"/>
  </w:num>
  <w:num w:numId="3">
    <w:abstractNumId w:val="0"/>
  </w:num>
  <w:num w:numId="4">
    <w:abstractNumId w:val="1"/>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linkStyles/>
  <w:stylePaneFormatFilter w:val="D024"/>
  <w:defaultTabStop w:val="1304"/>
  <w:hyphenationZone w:val="425"/>
  <w:characterSpacingControl w:val="doNotCompress"/>
  <w:hdrShapeDefaults>
    <o:shapedefaults v:ext="edit" spidmax="5122"/>
  </w:hdrShapeDefaults>
  <w:footnotePr>
    <w:footnote w:id="0"/>
    <w:footnote w:id="1"/>
  </w:footnotePr>
  <w:endnotePr>
    <w:endnote w:id="0"/>
    <w:endnote w:id="1"/>
  </w:endnotePr>
  <w:compat/>
  <w:rsids>
    <w:rsidRoot w:val="00AB5E48"/>
    <w:rsid w:val="00002EF2"/>
    <w:rsid w:val="00005624"/>
    <w:rsid w:val="00006E7B"/>
    <w:rsid w:val="00013D77"/>
    <w:rsid w:val="00017F5C"/>
    <w:rsid w:val="0002287F"/>
    <w:rsid w:val="0003125C"/>
    <w:rsid w:val="00046C37"/>
    <w:rsid w:val="0005173A"/>
    <w:rsid w:val="00053E90"/>
    <w:rsid w:val="00085634"/>
    <w:rsid w:val="000A74BF"/>
    <w:rsid w:val="000C348A"/>
    <w:rsid w:val="000C3BB4"/>
    <w:rsid w:val="000D0FE3"/>
    <w:rsid w:val="000D1D0B"/>
    <w:rsid w:val="000F5E03"/>
    <w:rsid w:val="000F7D02"/>
    <w:rsid w:val="001231E4"/>
    <w:rsid w:val="001406CC"/>
    <w:rsid w:val="001414D6"/>
    <w:rsid w:val="00147BC2"/>
    <w:rsid w:val="00152C1E"/>
    <w:rsid w:val="00153304"/>
    <w:rsid w:val="00153CC0"/>
    <w:rsid w:val="00154799"/>
    <w:rsid w:val="00157F85"/>
    <w:rsid w:val="00196B58"/>
    <w:rsid w:val="001A1F63"/>
    <w:rsid w:val="001A34AC"/>
    <w:rsid w:val="001A68CC"/>
    <w:rsid w:val="001B0C70"/>
    <w:rsid w:val="001B155A"/>
    <w:rsid w:val="001C3335"/>
    <w:rsid w:val="001E0C17"/>
    <w:rsid w:val="001E7D9F"/>
    <w:rsid w:val="002169D8"/>
    <w:rsid w:val="00217DFF"/>
    <w:rsid w:val="00220F55"/>
    <w:rsid w:val="002472F4"/>
    <w:rsid w:val="002531B3"/>
    <w:rsid w:val="00254101"/>
    <w:rsid w:val="00261B29"/>
    <w:rsid w:val="00262830"/>
    <w:rsid w:val="00265D48"/>
    <w:rsid w:val="00266BE1"/>
    <w:rsid w:val="002817AF"/>
    <w:rsid w:val="00284FA5"/>
    <w:rsid w:val="002E0C5A"/>
    <w:rsid w:val="002E6AE3"/>
    <w:rsid w:val="002F2F3D"/>
    <w:rsid w:val="0031258B"/>
    <w:rsid w:val="003152C4"/>
    <w:rsid w:val="00316A97"/>
    <w:rsid w:val="003378AB"/>
    <w:rsid w:val="00346952"/>
    <w:rsid w:val="00351192"/>
    <w:rsid w:val="00373994"/>
    <w:rsid w:val="003832EF"/>
    <w:rsid w:val="00383EED"/>
    <w:rsid w:val="00384C8B"/>
    <w:rsid w:val="00390433"/>
    <w:rsid w:val="00393B17"/>
    <w:rsid w:val="00396A47"/>
    <w:rsid w:val="003B2F68"/>
    <w:rsid w:val="003E5DF0"/>
    <w:rsid w:val="003F2D91"/>
    <w:rsid w:val="003F7132"/>
    <w:rsid w:val="00417F51"/>
    <w:rsid w:val="004210DE"/>
    <w:rsid w:val="004227D9"/>
    <w:rsid w:val="00425FDB"/>
    <w:rsid w:val="00426CA6"/>
    <w:rsid w:val="00432E9B"/>
    <w:rsid w:val="004332BF"/>
    <w:rsid w:val="004343E5"/>
    <w:rsid w:val="0044037D"/>
    <w:rsid w:val="004404F9"/>
    <w:rsid w:val="0045434E"/>
    <w:rsid w:val="00454ECD"/>
    <w:rsid w:val="004578D0"/>
    <w:rsid w:val="00463513"/>
    <w:rsid w:val="004B6550"/>
    <w:rsid w:val="004D24AF"/>
    <w:rsid w:val="004E68B2"/>
    <w:rsid w:val="004F74C8"/>
    <w:rsid w:val="00504518"/>
    <w:rsid w:val="00505276"/>
    <w:rsid w:val="00521C3B"/>
    <w:rsid w:val="0052484B"/>
    <w:rsid w:val="005267B8"/>
    <w:rsid w:val="00540ECF"/>
    <w:rsid w:val="005504AA"/>
    <w:rsid w:val="00553CFE"/>
    <w:rsid w:val="00574CAE"/>
    <w:rsid w:val="00587758"/>
    <w:rsid w:val="005A6084"/>
    <w:rsid w:val="005B5620"/>
    <w:rsid w:val="005B57A5"/>
    <w:rsid w:val="005B6759"/>
    <w:rsid w:val="005B7E83"/>
    <w:rsid w:val="005D2E58"/>
    <w:rsid w:val="006049CB"/>
    <w:rsid w:val="00605A08"/>
    <w:rsid w:val="0060679E"/>
    <w:rsid w:val="006114A3"/>
    <w:rsid w:val="00620860"/>
    <w:rsid w:val="006323DC"/>
    <w:rsid w:val="00633F86"/>
    <w:rsid w:val="00657911"/>
    <w:rsid w:val="00660441"/>
    <w:rsid w:val="0066721B"/>
    <w:rsid w:val="006744C3"/>
    <w:rsid w:val="00695E24"/>
    <w:rsid w:val="006960FC"/>
    <w:rsid w:val="00697115"/>
    <w:rsid w:val="006A5370"/>
    <w:rsid w:val="006B0A04"/>
    <w:rsid w:val="006C2713"/>
    <w:rsid w:val="006C5E84"/>
    <w:rsid w:val="006C7BA1"/>
    <w:rsid w:val="006C7EEC"/>
    <w:rsid w:val="006C7EF6"/>
    <w:rsid w:val="006D344C"/>
    <w:rsid w:val="006E4110"/>
    <w:rsid w:val="006E4658"/>
    <w:rsid w:val="006F0F59"/>
    <w:rsid w:val="006F223F"/>
    <w:rsid w:val="006F36F1"/>
    <w:rsid w:val="007002D7"/>
    <w:rsid w:val="00704EFA"/>
    <w:rsid w:val="00707ACA"/>
    <w:rsid w:val="0071009B"/>
    <w:rsid w:val="007121F4"/>
    <w:rsid w:val="007211ED"/>
    <w:rsid w:val="007212EF"/>
    <w:rsid w:val="00733C11"/>
    <w:rsid w:val="007449E2"/>
    <w:rsid w:val="007710AE"/>
    <w:rsid w:val="0077745B"/>
    <w:rsid w:val="00796EB5"/>
    <w:rsid w:val="007A73E9"/>
    <w:rsid w:val="007B14B8"/>
    <w:rsid w:val="007B69EA"/>
    <w:rsid w:val="007D4D7A"/>
    <w:rsid w:val="007E4639"/>
    <w:rsid w:val="007E47DA"/>
    <w:rsid w:val="007F3F68"/>
    <w:rsid w:val="007F6F9B"/>
    <w:rsid w:val="00806F8B"/>
    <w:rsid w:val="00843EA7"/>
    <w:rsid w:val="0084674F"/>
    <w:rsid w:val="00862510"/>
    <w:rsid w:val="00864EFB"/>
    <w:rsid w:val="0087611B"/>
    <w:rsid w:val="00890B5B"/>
    <w:rsid w:val="00895D09"/>
    <w:rsid w:val="008A59E2"/>
    <w:rsid w:val="008B35B5"/>
    <w:rsid w:val="008C16FF"/>
    <w:rsid w:val="008C7FA3"/>
    <w:rsid w:val="008D32A5"/>
    <w:rsid w:val="008D5107"/>
    <w:rsid w:val="008E2971"/>
    <w:rsid w:val="008E2C57"/>
    <w:rsid w:val="008E44AF"/>
    <w:rsid w:val="008E724E"/>
    <w:rsid w:val="008F24D9"/>
    <w:rsid w:val="009109E8"/>
    <w:rsid w:val="0092143F"/>
    <w:rsid w:val="009419A3"/>
    <w:rsid w:val="00954B89"/>
    <w:rsid w:val="00960032"/>
    <w:rsid w:val="009662BC"/>
    <w:rsid w:val="00975CF2"/>
    <w:rsid w:val="00A07925"/>
    <w:rsid w:val="00A12279"/>
    <w:rsid w:val="00A22A18"/>
    <w:rsid w:val="00A47A74"/>
    <w:rsid w:val="00A73167"/>
    <w:rsid w:val="00A80B90"/>
    <w:rsid w:val="00A82303"/>
    <w:rsid w:val="00A84892"/>
    <w:rsid w:val="00A8595D"/>
    <w:rsid w:val="00AA31B7"/>
    <w:rsid w:val="00AA5A49"/>
    <w:rsid w:val="00AB5E48"/>
    <w:rsid w:val="00AC0BC2"/>
    <w:rsid w:val="00AD1A0A"/>
    <w:rsid w:val="00AF5948"/>
    <w:rsid w:val="00B2491D"/>
    <w:rsid w:val="00B30794"/>
    <w:rsid w:val="00B36BAE"/>
    <w:rsid w:val="00B50CD1"/>
    <w:rsid w:val="00B54D19"/>
    <w:rsid w:val="00B601CC"/>
    <w:rsid w:val="00B60A2F"/>
    <w:rsid w:val="00B65B3A"/>
    <w:rsid w:val="00B7212D"/>
    <w:rsid w:val="00B83989"/>
    <w:rsid w:val="00B853BC"/>
    <w:rsid w:val="00BA0E41"/>
    <w:rsid w:val="00BB3280"/>
    <w:rsid w:val="00BC72D9"/>
    <w:rsid w:val="00BD0128"/>
    <w:rsid w:val="00BD281F"/>
    <w:rsid w:val="00BF1046"/>
    <w:rsid w:val="00BF5EBE"/>
    <w:rsid w:val="00C07176"/>
    <w:rsid w:val="00C12047"/>
    <w:rsid w:val="00C20CB4"/>
    <w:rsid w:val="00C26923"/>
    <w:rsid w:val="00C305A9"/>
    <w:rsid w:val="00C32E09"/>
    <w:rsid w:val="00C44F0F"/>
    <w:rsid w:val="00C53D4A"/>
    <w:rsid w:val="00C56A02"/>
    <w:rsid w:val="00C56D4E"/>
    <w:rsid w:val="00C62AB9"/>
    <w:rsid w:val="00C6771C"/>
    <w:rsid w:val="00C77D5F"/>
    <w:rsid w:val="00C84100"/>
    <w:rsid w:val="00C84384"/>
    <w:rsid w:val="00C87604"/>
    <w:rsid w:val="00CA0B0A"/>
    <w:rsid w:val="00CB57EA"/>
    <w:rsid w:val="00CC2FD0"/>
    <w:rsid w:val="00CC31D7"/>
    <w:rsid w:val="00CC3DED"/>
    <w:rsid w:val="00CD410A"/>
    <w:rsid w:val="00D00E93"/>
    <w:rsid w:val="00D05A9C"/>
    <w:rsid w:val="00D114A9"/>
    <w:rsid w:val="00D32A35"/>
    <w:rsid w:val="00D41579"/>
    <w:rsid w:val="00D65A45"/>
    <w:rsid w:val="00D677C5"/>
    <w:rsid w:val="00D83999"/>
    <w:rsid w:val="00D85CD4"/>
    <w:rsid w:val="00D92E59"/>
    <w:rsid w:val="00DB02E7"/>
    <w:rsid w:val="00DB7E7E"/>
    <w:rsid w:val="00DC260E"/>
    <w:rsid w:val="00DD59D8"/>
    <w:rsid w:val="00DF14CB"/>
    <w:rsid w:val="00E00700"/>
    <w:rsid w:val="00E01AE2"/>
    <w:rsid w:val="00E032A9"/>
    <w:rsid w:val="00E11BD3"/>
    <w:rsid w:val="00E17891"/>
    <w:rsid w:val="00E26CE4"/>
    <w:rsid w:val="00E311E9"/>
    <w:rsid w:val="00E32A53"/>
    <w:rsid w:val="00E5258F"/>
    <w:rsid w:val="00E53E3A"/>
    <w:rsid w:val="00E80D26"/>
    <w:rsid w:val="00EA7C7E"/>
    <w:rsid w:val="00EC2E74"/>
    <w:rsid w:val="00F05B25"/>
    <w:rsid w:val="00F07F82"/>
    <w:rsid w:val="00F130BA"/>
    <w:rsid w:val="00F171CE"/>
    <w:rsid w:val="00F235ED"/>
    <w:rsid w:val="00F240C5"/>
    <w:rsid w:val="00F26F21"/>
    <w:rsid w:val="00F26FB1"/>
    <w:rsid w:val="00F36535"/>
    <w:rsid w:val="00F370B7"/>
    <w:rsid w:val="00F573F5"/>
    <w:rsid w:val="00F616DB"/>
    <w:rsid w:val="00F7080D"/>
    <w:rsid w:val="00F74F50"/>
    <w:rsid w:val="00F84D21"/>
    <w:rsid w:val="00F86A0A"/>
    <w:rsid w:val="00F96F2A"/>
    <w:rsid w:val="00F97B62"/>
    <w:rsid w:val="00FA7F55"/>
    <w:rsid w:val="00FD0A11"/>
    <w:rsid w:val="00FF7003"/>
    <w:rsid w:val="00FF71BE"/>
  </w:rsids>
  <m:mathPr>
    <m:mathFont m:val="Cambria Math"/>
    <m:brkBin m:val="before"/>
    <m:brkBinSub m:val="--"/>
    <m:smallFrac/>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9"/>
    <w:lsdException w:name="heading 6" w:uiPriority="9" w:qFormat="1"/>
    <w:lsdException w:name="heading 7" w:uiPriority="9" w:qFormat="1"/>
    <w:lsdException w:name="heading 8" w:uiPriority="9" w:qFormat="1"/>
    <w:lsdException w:name="heading 9" w:uiPriority="9" w:qFormat="1"/>
    <w:lsdException w:name="toc 1" w:uiPriority="39"/>
    <w:lsdException w:name="caption" w:uiPriority="35" w:qFormat="1"/>
    <w:lsdException w:name="List Bullet" w:semiHidden="0" w:unhideWhenUsed="0" w:qFormat="1"/>
    <w:lsdException w:name="List Number" w:semiHidden="0" w:unhideWhenUsed="0" w:qFormat="1"/>
    <w:lsdException w:name="Title" w:semiHidden="0" w:unhideWhenUsed="0"/>
    <w:lsdException w:name="Default Paragraph Font" w:uiPriority="1"/>
    <w:lsdException w:name="Subtitle" w:uiPriority="11" w:unhideWhenUsed="0"/>
    <w:lsdException w:name="Hyperlink" w:qFormat="1"/>
    <w:lsdException w:name="Strong" w:semiHidden="0" w:uiPriority="1" w:unhideWhenUsed="0"/>
    <w:lsdException w:name="Emphasis" w:semiHidden="0" w:uiPriority="1" w:unhideWhenUsed="0"/>
    <w:lsdException w:name="Table Grid" w:semiHidden="0" w:uiPriority="59" w:unhideWhenUsed="0"/>
    <w:lsdException w:name="Placeholder Text" w:unhideWhenUsed="0"/>
    <w:lsdException w:name="No Spacing"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10"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qFormat="1"/>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Normal">
    <w:name w:val="Normal"/>
    <w:qFormat/>
    <w:rsid w:val="003832EF"/>
    <w:rPr>
      <w:rFonts w:asciiTheme="minorHAnsi" w:hAnsiTheme="minorHAnsi"/>
      <w:lang w:val="et-EE"/>
    </w:rPr>
  </w:style>
  <w:style w:type="paragraph" w:styleId="Heading1">
    <w:name w:val="heading 1"/>
    <w:basedOn w:val="Normal"/>
    <w:next w:val="Normal"/>
    <w:link w:val="Heading1Char"/>
    <w:uiPriority w:val="9"/>
    <w:qFormat/>
    <w:rsid w:val="00660441"/>
    <w:pPr>
      <w:keepNext/>
      <w:keepLines/>
      <w:suppressAutoHyphens/>
      <w:spacing w:before="600" w:after="100"/>
      <w:outlineLvl w:val="0"/>
    </w:pPr>
    <w:rPr>
      <w:rFonts w:asciiTheme="majorHAnsi" w:eastAsiaTheme="majorEastAsia" w:hAnsiTheme="majorHAnsi" w:cstheme="majorBidi"/>
      <w:bCs/>
      <w:color w:val="000000" w:themeColor="accent1" w:themeShade="BF"/>
      <w:sz w:val="30"/>
      <w:szCs w:val="28"/>
    </w:rPr>
  </w:style>
  <w:style w:type="paragraph" w:styleId="Heading2">
    <w:name w:val="heading 2"/>
    <w:basedOn w:val="Normal"/>
    <w:next w:val="Normal"/>
    <w:link w:val="Heading2Char"/>
    <w:uiPriority w:val="9"/>
    <w:qFormat/>
    <w:rsid w:val="00660441"/>
    <w:pPr>
      <w:keepNext/>
      <w:keepLines/>
      <w:suppressAutoHyphens/>
      <w:spacing w:before="500" w:after="80"/>
      <w:outlineLvl w:val="1"/>
    </w:pPr>
    <w:rPr>
      <w:rFonts w:asciiTheme="majorHAnsi" w:eastAsiaTheme="majorEastAsia" w:hAnsiTheme="majorHAnsi" w:cstheme="majorBidi"/>
      <w:bCs/>
      <w:color w:val="000000" w:themeColor="accent1"/>
      <w:sz w:val="24"/>
      <w:szCs w:val="26"/>
    </w:rPr>
  </w:style>
  <w:style w:type="paragraph" w:styleId="Heading3">
    <w:name w:val="heading 3"/>
    <w:basedOn w:val="Normal"/>
    <w:next w:val="Normal"/>
    <w:link w:val="Heading3Char"/>
    <w:uiPriority w:val="9"/>
    <w:qFormat/>
    <w:rsid w:val="00660441"/>
    <w:pPr>
      <w:keepNext/>
      <w:keepLines/>
      <w:suppressAutoHyphens/>
      <w:spacing w:before="240" w:after="80"/>
      <w:outlineLvl w:val="2"/>
    </w:pPr>
    <w:rPr>
      <w:rFonts w:eastAsiaTheme="majorEastAsia" w:cstheme="majorBidi"/>
      <w:bCs/>
      <w:i/>
      <w:color w:val="000000" w:themeColor="accent1"/>
    </w:rPr>
  </w:style>
  <w:style w:type="paragraph" w:styleId="Heading4">
    <w:name w:val="heading 4"/>
    <w:basedOn w:val="Normal"/>
    <w:next w:val="Normal"/>
    <w:link w:val="Heading4Char"/>
    <w:uiPriority w:val="9"/>
    <w:unhideWhenUsed/>
    <w:rsid w:val="00660441"/>
    <w:pPr>
      <w:keepNext/>
      <w:keepLines/>
      <w:spacing w:before="200" w:after="0"/>
      <w:outlineLvl w:val="3"/>
    </w:pPr>
    <w:rPr>
      <w:rFonts w:asciiTheme="majorHAnsi" w:eastAsiaTheme="majorEastAsia" w:hAnsiTheme="majorHAnsi" w:cstheme="majorBidi"/>
      <w:b/>
      <w:bCs/>
      <w:i/>
      <w:iCs/>
      <w:color w:val="000000" w:themeColor="accent1"/>
    </w:rPr>
  </w:style>
  <w:style w:type="character" w:default="1" w:styleId="DefaultParagraphFont">
    <w:name w:val="Default Paragraph Font"/>
    <w:uiPriority w:val="1"/>
    <w:semiHidden/>
    <w:unhideWhenUsed/>
    <w:rsid w:val="003832EF"/>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rsid w:val="003832EF"/>
  </w:style>
  <w:style w:type="character" w:customStyle="1" w:styleId="Heading1Char">
    <w:name w:val="Heading 1 Char"/>
    <w:basedOn w:val="DefaultParagraphFont"/>
    <w:link w:val="Heading1"/>
    <w:uiPriority w:val="9"/>
    <w:rsid w:val="00660441"/>
    <w:rPr>
      <w:rFonts w:asciiTheme="majorHAnsi" w:eastAsiaTheme="majorEastAsia" w:hAnsiTheme="majorHAnsi" w:cstheme="majorBidi"/>
      <w:bCs/>
      <w:color w:val="000000" w:themeColor="accent1" w:themeShade="BF"/>
      <w:sz w:val="30"/>
      <w:szCs w:val="28"/>
    </w:rPr>
  </w:style>
  <w:style w:type="character" w:customStyle="1" w:styleId="Heading2Char">
    <w:name w:val="Heading 2 Char"/>
    <w:basedOn w:val="DefaultParagraphFont"/>
    <w:link w:val="Heading2"/>
    <w:uiPriority w:val="9"/>
    <w:rsid w:val="00660441"/>
    <w:rPr>
      <w:rFonts w:asciiTheme="majorHAnsi" w:eastAsiaTheme="majorEastAsia" w:hAnsiTheme="majorHAnsi" w:cstheme="majorBidi"/>
      <w:bCs/>
      <w:color w:val="000000" w:themeColor="accent1"/>
      <w:sz w:val="24"/>
      <w:szCs w:val="26"/>
    </w:rPr>
  </w:style>
  <w:style w:type="character" w:customStyle="1" w:styleId="Heading3Char">
    <w:name w:val="Heading 3 Char"/>
    <w:basedOn w:val="DefaultParagraphFont"/>
    <w:link w:val="Heading3"/>
    <w:uiPriority w:val="9"/>
    <w:rsid w:val="00660441"/>
    <w:rPr>
      <w:rFonts w:asciiTheme="minorHAnsi" w:eastAsiaTheme="majorEastAsia" w:hAnsiTheme="minorHAnsi" w:cstheme="majorBidi"/>
      <w:bCs/>
      <w:i/>
      <w:color w:val="000000" w:themeColor="accent1"/>
    </w:rPr>
  </w:style>
  <w:style w:type="paragraph" w:styleId="Title">
    <w:name w:val="Title"/>
    <w:aliases w:val="Titel/Dokumentnamn"/>
    <w:basedOn w:val="Normal"/>
    <w:next w:val="Normal"/>
    <w:link w:val="TitleChar"/>
    <w:uiPriority w:val="99"/>
    <w:rsid w:val="00660441"/>
    <w:pPr>
      <w:keepNext/>
      <w:suppressAutoHyphens/>
      <w:spacing w:before="600" w:after="100" w:line="240" w:lineRule="auto"/>
      <w:contextualSpacing/>
    </w:pPr>
    <w:rPr>
      <w:rFonts w:asciiTheme="majorHAnsi" w:eastAsiaTheme="majorEastAsia" w:hAnsiTheme="majorHAnsi" w:cstheme="majorBidi"/>
      <w:color w:val="000000" w:themeColor="text2" w:themeShade="BF"/>
      <w:spacing w:val="5"/>
      <w:kern w:val="28"/>
      <w:sz w:val="30"/>
      <w:szCs w:val="52"/>
    </w:rPr>
  </w:style>
  <w:style w:type="character" w:customStyle="1" w:styleId="TitleChar">
    <w:name w:val="Title Char"/>
    <w:aliases w:val="Titel/Dokumentnamn Char"/>
    <w:basedOn w:val="DefaultParagraphFont"/>
    <w:link w:val="Title"/>
    <w:uiPriority w:val="99"/>
    <w:rsid w:val="00660441"/>
    <w:rPr>
      <w:rFonts w:asciiTheme="majorHAnsi" w:eastAsiaTheme="majorEastAsia" w:hAnsiTheme="majorHAnsi" w:cstheme="majorBidi"/>
      <w:color w:val="000000" w:themeColor="text2" w:themeShade="BF"/>
      <w:spacing w:val="5"/>
      <w:kern w:val="28"/>
      <w:sz w:val="30"/>
      <w:szCs w:val="52"/>
    </w:rPr>
  </w:style>
  <w:style w:type="paragraph" w:styleId="Header">
    <w:name w:val="header"/>
    <w:basedOn w:val="Normal"/>
    <w:link w:val="HeaderChar"/>
    <w:uiPriority w:val="99"/>
    <w:semiHidden/>
    <w:rsid w:val="00660441"/>
    <w:pPr>
      <w:tabs>
        <w:tab w:val="center" w:pos="3686"/>
        <w:tab w:val="right" w:pos="9072"/>
      </w:tabs>
      <w:spacing w:after="0" w:line="200" w:lineRule="exact"/>
    </w:pPr>
    <w:rPr>
      <w:rFonts w:asciiTheme="majorHAnsi" w:hAnsiTheme="majorHAnsi"/>
      <w:sz w:val="14"/>
    </w:rPr>
  </w:style>
  <w:style w:type="character" w:customStyle="1" w:styleId="HeaderChar">
    <w:name w:val="Header Char"/>
    <w:basedOn w:val="DefaultParagraphFont"/>
    <w:link w:val="Header"/>
    <w:uiPriority w:val="99"/>
    <w:semiHidden/>
    <w:rsid w:val="00660441"/>
    <w:rPr>
      <w:rFonts w:asciiTheme="majorHAnsi" w:hAnsiTheme="majorHAnsi"/>
      <w:sz w:val="14"/>
    </w:rPr>
  </w:style>
  <w:style w:type="paragraph" w:styleId="Footer">
    <w:name w:val="footer"/>
    <w:basedOn w:val="Header"/>
    <w:link w:val="FooterChar"/>
    <w:uiPriority w:val="99"/>
    <w:rsid w:val="00660441"/>
    <w:pPr>
      <w:tabs>
        <w:tab w:val="clear" w:pos="3686"/>
        <w:tab w:val="left" w:pos="4111"/>
      </w:tabs>
    </w:pPr>
    <w:rPr>
      <w:lang w:val="en-GB"/>
    </w:rPr>
  </w:style>
  <w:style w:type="character" w:customStyle="1" w:styleId="FooterChar">
    <w:name w:val="Footer Char"/>
    <w:basedOn w:val="DefaultParagraphFont"/>
    <w:link w:val="Footer"/>
    <w:uiPriority w:val="99"/>
    <w:rsid w:val="00660441"/>
    <w:rPr>
      <w:rFonts w:asciiTheme="majorHAnsi" w:hAnsiTheme="majorHAnsi"/>
      <w:sz w:val="14"/>
      <w:lang w:val="en-GB"/>
    </w:rPr>
  </w:style>
  <w:style w:type="character" w:styleId="PlaceholderText">
    <w:name w:val="Placeholder Text"/>
    <w:basedOn w:val="DefaultParagraphFont"/>
    <w:uiPriority w:val="99"/>
    <w:semiHidden/>
    <w:rsid w:val="00660441"/>
    <w:rPr>
      <w:color w:val="808080"/>
    </w:rPr>
  </w:style>
  <w:style w:type="paragraph" w:styleId="BalloonText">
    <w:name w:val="Balloon Text"/>
    <w:basedOn w:val="Normal"/>
    <w:link w:val="BalloonTextChar"/>
    <w:uiPriority w:val="99"/>
    <w:semiHidden/>
    <w:unhideWhenUsed/>
    <w:rsid w:val="006604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0441"/>
    <w:rPr>
      <w:rFonts w:ascii="Tahoma" w:hAnsi="Tahoma" w:cs="Tahoma"/>
      <w:sz w:val="16"/>
      <w:szCs w:val="16"/>
    </w:rPr>
  </w:style>
  <w:style w:type="table" w:styleId="TableGrid">
    <w:name w:val="Table Grid"/>
    <w:basedOn w:val="TableNormal"/>
    <w:uiPriority w:val="59"/>
    <w:rsid w:val="0066044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Header-info">
    <w:name w:val="Header-info"/>
    <w:basedOn w:val="Header"/>
    <w:uiPriority w:val="99"/>
    <w:semiHidden/>
    <w:rsid w:val="00660441"/>
    <w:pPr>
      <w:tabs>
        <w:tab w:val="clear" w:pos="9072"/>
        <w:tab w:val="right" w:pos="8789"/>
      </w:tabs>
    </w:pPr>
  </w:style>
  <w:style w:type="character" w:styleId="Hyperlink">
    <w:name w:val="Hyperlink"/>
    <w:basedOn w:val="DefaultParagraphFont"/>
    <w:uiPriority w:val="99"/>
    <w:semiHidden/>
    <w:qFormat/>
    <w:rsid w:val="00660441"/>
    <w:rPr>
      <w:color w:val="0000FF"/>
      <w:u w:val="single"/>
    </w:rPr>
  </w:style>
  <w:style w:type="paragraph" w:styleId="TOCHeading">
    <w:name w:val="TOC Heading"/>
    <w:basedOn w:val="Heading1"/>
    <w:next w:val="Normal"/>
    <w:uiPriority w:val="39"/>
    <w:semiHidden/>
    <w:rsid w:val="00660441"/>
    <w:pPr>
      <w:pageBreakBefore/>
      <w:suppressAutoHyphens w:val="0"/>
      <w:outlineLvl w:val="9"/>
    </w:pPr>
    <w:rPr>
      <w:lang w:val="en-US" w:eastAsia="ja-JP"/>
    </w:rPr>
  </w:style>
  <w:style w:type="paragraph" w:styleId="Quote">
    <w:name w:val="Quote"/>
    <w:basedOn w:val="Normal"/>
    <w:link w:val="QuoteChar"/>
    <w:uiPriority w:val="10"/>
    <w:qFormat/>
    <w:rsid w:val="00660441"/>
    <w:pPr>
      <w:spacing w:after="220"/>
      <w:ind w:left="357"/>
    </w:pPr>
    <w:rPr>
      <w:iCs/>
      <w:color w:val="000000" w:themeColor="text1"/>
      <w:sz w:val="20"/>
    </w:rPr>
  </w:style>
  <w:style w:type="character" w:customStyle="1" w:styleId="QuoteChar">
    <w:name w:val="Quote Char"/>
    <w:basedOn w:val="DefaultParagraphFont"/>
    <w:link w:val="Quote"/>
    <w:uiPriority w:val="10"/>
    <w:rsid w:val="00660441"/>
    <w:rPr>
      <w:rFonts w:asciiTheme="minorHAnsi" w:hAnsiTheme="minorHAnsi"/>
      <w:iCs/>
      <w:color w:val="000000" w:themeColor="text1"/>
      <w:sz w:val="20"/>
    </w:rPr>
  </w:style>
  <w:style w:type="paragraph" w:styleId="TOC1">
    <w:name w:val="toc 1"/>
    <w:basedOn w:val="Normal"/>
    <w:next w:val="Normal"/>
    <w:uiPriority w:val="39"/>
    <w:semiHidden/>
    <w:rsid w:val="00660441"/>
    <w:pPr>
      <w:spacing w:beforeLines="100" w:after="0"/>
    </w:pPr>
  </w:style>
  <w:style w:type="paragraph" w:styleId="TOC2">
    <w:name w:val="toc 2"/>
    <w:basedOn w:val="Normal"/>
    <w:next w:val="Normal"/>
    <w:uiPriority w:val="99"/>
    <w:semiHidden/>
    <w:rsid w:val="00660441"/>
    <w:pPr>
      <w:spacing w:after="0"/>
      <w:ind w:left="276"/>
    </w:pPr>
  </w:style>
  <w:style w:type="paragraph" w:styleId="TOC3">
    <w:name w:val="toc 3"/>
    <w:basedOn w:val="Normal"/>
    <w:next w:val="Normal"/>
    <w:uiPriority w:val="99"/>
    <w:semiHidden/>
    <w:rsid w:val="00660441"/>
    <w:pPr>
      <w:spacing w:after="0"/>
      <w:ind w:left="552"/>
    </w:pPr>
  </w:style>
  <w:style w:type="character" w:styleId="Emphasis">
    <w:name w:val="Emphasis"/>
    <w:basedOn w:val="DefaultParagraphFont"/>
    <w:uiPriority w:val="1"/>
    <w:rsid w:val="00660441"/>
    <w:rPr>
      <w:i/>
      <w:iCs/>
    </w:rPr>
  </w:style>
  <w:style w:type="paragraph" w:styleId="TOC4">
    <w:name w:val="toc 4"/>
    <w:basedOn w:val="Normal"/>
    <w:next w:val="Normal"/>
    <w:uiPriority w:val="99"/>
    <w:semiHidden/>
    <w:rsid w:val="00660441"/>
    <w:pPr>
      <w:spacing w:after="100"/>
      <w:ind w:left="660"/>
    </w:pPr>
  </w:style>
  <w:style w:type="paragraph" w:styleId="TOC5">
    <w:name w:val="toc 5"/>
    <w:basedOn w:val="Normal"/>
    <w:next w:val="Normal"/>
    <w:uiPriority w:val="99"/>
    <w:semiHidden/>
    <w:rsid w:val="00660441"/>
    <w:pPr>
      <w:spacing w:after="100"/>
      <w:ind w:left="880"/>
    </w:pPr>
  </w:style>
  <w:style w:type="paragraph" w:styleId="TOC6">
    <w:name w:val="toc 6"/>
    <w:basedOn w:val="Normal"/>
    <w:next w:val="Normal"/>
    <w:uiPriority w:val="99"/>
    <w:semiHidden/>
    <w:rsid w:val="00660441"/>
    <w:pPr>
      <w:spacing w:after="100"/>
      <w:ind w:left="1100"/>
    </w:pPr>
  </w:style>
  <w:style w:type="paragraph" w:styleId="TOC7">
    <w:name w:val="toc 7"/>
    <w:basedOn w:val="Normal"/>
    <w:next w:val="Normal"/>
    <w:uiPriority w:val="99"/>
    <w:semiHidden/>
    <w:rsid w:val="00660441"/>
    <w:pPr>
      <w:spacing w:after="100"/>
      <w:ind w:left="1320"/>
    </w:pPr>
  </w:style>
  <w:style w:type="paragraph" w:styleId="TOC8">
    <w:name w:val="toc 8"/>
    <w:basedOn w:val="Normal"/>
    <w:next w:val="Normal"/>
    <w:uiPriority w:val="99"/>
    <w:semiHidden/>
    <w:rsid w:val="00660441"/>
    <w:pPr>
      <w:spacing w:after="100"/>
      <w:ind w:left="1540"/>
    </w:pPr>
  </w:style>
  <w:style w:type="paragraph" w:styleId="TOC9">
    <w:name w:val="toc 9"/>
    <w:basedOn w:val="Normal"/>
    <w:next w:val="Normal"/>
    <w:uiPriority w:val="99"/>
    <w:semiHidden/>
    <w:rsid w:val="00660441"/>
    <w:pPr>
      <w:spacing w:after="100"/>
      <w:ind w:left="1760"/>
    </w:pPr>
  </w:style>
  <w:style w:type="table" w:customStyle="1" w:styleId="Trelinjerstabell">
    <w:name w:val="Trelinjerstabell"/>
    <w:basedOn w:val="TableNormal"/>
    <w:uiPriority w:val="99"/>
    <w:rsid w:val="00660441"/>
    <w:pPr>
      <w:spacing w:after="0" w:line="240" w:lineRule="auto"/>
      <w:contextualSpacing/>
    </w:pPr>
    <w:rPr>
      <w:rFonts w:asciiTheme="majorHAnsi" w:hAnsiTheme="majorHAnsi"/>
      <w:sz w:val="20"/>
    </w:rPr>
    <w:tblPr>
      <w:tblInd w:w="0" w:type="dxa"/>
      <w:tblBorders>
        <w:top w:val="single" w:sz="4" w:space="0" w:color="auto"/>
        <w:bottom w:val="single" w:sz="4" w:space="0" w:color="auto"/>
      </w:tblBorders>
      <w:tblCellMar>
        <w:top w:w="57" w:type="dxa"/>
        <w:left w:w="0" w:type="dxa"/>
        <w:bottom w:w="57" w:type="dxa"/>
        <w:right w:w="0" w:type="dxa"/>
      </w:tblCellMar>
    </w:tblPr>
    <w:tblStylePr w:type="firstRow">
      <w:rPr>
        <w:b/>
      </w:rPr>
      <w:tblPr/>
      <w:tcPr>
        <w:tcBorders>
          <w:bottom w:val="single" w:sz="4" w:space="0" w:color="auto"/>
        </w:tcBorders>
      </w:tcPr>
    </w:tblStylePr>
    <w:tblStylePr w:type="lastRow">
      <w:tblPr/>
      <w:tcPr>
        <w:tcBorders>
          <w:top w:val="single" w:sz="4" w:space="0" w:color="auto"/>
          <w:left w:val="nil"/>
          <w:bottom w:val="single" w:sz="4" w:space="0" w:color="auto"/>
          <w:right w:val="nil"/>
          <w:insideH w:val="nil"/>
          <w:insideV w:val="nil"/>
          <w:tl2br w:val="nil"/>
          <w:tr2bl w:val="nil"/>
        </w:tcBorders>
      </w:tcPr>
    </w:tblStylePr>
  </w:style>
  <w:style w:type="table" w:styleId="LightShading">
    <w:name w:val="Light Shading"/>
    <w:basedOn w:val="Trelinjerstabell"/>
    <w:uiPriority w:val="60"/>
    <w:rsid w:val="00660441"/>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57" w:type="dxa"/>
        <w:left w:w="0" w:type="dxa"/>
        <w:bottom w:w="57" w:type="dxa"/>
        <w:right w:w="0"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l2br w:val="nil"/>
          <w:tr2bl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2">
    <w:name w:val="Light Shading Accent 2"/>
    <w:basedOn w:val="Trelinjerstabell"/>
    <w:uiPriority w:val="60"/>
    <w:rsid w:val="00660441"/>
    <w:rPr>
      <w:color w:val="9D6900" w:themeColor="accent2" w:themeShade="BF"/>
    </w:rPr>
    <w:tblPr>
      <w:tblStyleRowBandSize w:val="1"/>
      <w:tblStyleColBandSize w:val="1"/>
      <w:tblInd w:w="0" w:type="dxa"/>
      <w:tblBorders>
        <w:top w:val="single" w:sz="8" w:space="0" w:color="D28E00" w:themeColor="accent2"/>
        <w:bottom w:val="single" w:sz="8" w:space="0" w:color="D28E00" w:themeColor="accent2"/>
      </w:tblBorders>
      <w:tblCellMar>
        <w:top w:w="57" w:type="dxa"/>
        <w:left w:w="0" w:type="dxa"/>
        <w:bottom w:w="57" w:type="dxa"/>
        <w:right w:w="0" w:type="dxa"/>
      </w:tblCellMar>
    </w:tblPr>
    <w:tblStylePr w:type="firstRow">
      <w:pPr>
        <w:spacing w:before="0" w:after="0" w:line="240" w:lineRule="auto"/>
      </w:pPr>
      <w:rPr>
        <w:b/>
        <w:bCs/>
      </w:rPr>
      <w:tblPr/>
      <w:tcPr>
        <w:tcBorders>
          <w:top w:val="single" w:sz="8" w:space="0" w:color="D28E00" w:themeColor="accent2"/>
          <w:left w:val="nil"/>
          <w:bottom w:val="single" w:sz="8" w:space="0" w:color="D28E00" w:themeColor="accent2"/>
          <w:right w:val="nil"/>
          <w:insideH w:val="nil"/>
          <w:insideV w:val="nil"/>
        </w:tcBorders>
      </w:tcPr>
    </w:tblStylePr>
    <w:tblStylePr w:type="lastRow">
      <w:pPr>
        <w:spacing w:before="0" w:after="0" w:line="240" w:lineRule="auto"/>
      </w:pPr>
      <w:rPr>
        <w:b/>
        <w:bCs/>
      </w:rPr>
      <w:tblPr/>
      <w:tcPr>
        <w:tcBorders>
          <w:top w:val="single" w:sz="8" w:space="0" w:color="D28E00" w:themeColor="accent2"/>
          <w:left w:val="nil"/>
          <w:bottom w:val="single" w:sz="8" w:space="0" w:color="D28E00" w:themeColor="accent2"/>
          <w:right w:val="nil"/>
          <w:insideH w:val="nil"/>
          <w:insideV w:val="nil"/>
          <w:tl2br w:val="nil"/>
          <w:tr2bl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6B4" w:themeFill="accent2" w:themeFillTint="3F"/>
      </w:tcPr>
    </w:tblStylePr>
    <w:tblStylePr w:type="band1Horz">
      <w:tblPr/>
      <w:tcPr>
        <w:tcBorders>
          <w:left w:val="nil"/>
          <w:right w:val="nil"/>
          <w:insideH w:val="nil"/>
          <w:insideV w:val="nil"/>
        </w:tcBorders>
        <w:shd w:val="clear" w:color="auto" w:fill="FFE6B4" w:themeFill="accent2" w:themeFillTint="3F"/>
      </w:tcPr>
    </w:tblStylePr>
  </w:style>
  <w:style w:type="table" w:styleId="LightShading-Accent1">
    <w:name w:val="Light Shading Accent 1"/>
    <w:basedOn w:val="Trelinjerstabell"/>
    <w:uiPriority w:val="60"/>
    <w:rsid w:val="00660441"/>
    <w:rPr>
      <w:color w:val="000000" w:themeColor="accent1" w:themeShade="BF"/>
    </w:rPr>
    <w:tblPr>
      <w:tblStyleRowBandSize w:val="1"/>
      <w:tblStyleColBandSize w:val="1"/>
      <w:tblInd w:w="0" w:type="dxa"/>
      <w:tblBorders>
        <w:top w:val="single" w:sz="8" w:space="0" w:color="000000" w:themeColor="accent1"/>
        <w:bottom w:val="single" w:sz="8" w:space="0" w:color="000000" w:themeColor="accent1"/>
      </w:tblBorders>
      <w:tblCellMar>
        <w:top w:w="57" w:type="dxa"/>
        <w:left w:w="0" w:type="dxa"/>
        <w:bottom w:w="57" w:type="dxa"/>
        <w:right w:w="0" w:type="dxa"/>
      </w:tblCellMar>
    </w:tblPr>
    <w:tblStylePr w:type="firstRow">
      <w:pPr>
        <w:spacing w:before="0" w:after="0" w:line="240" w:lineRule="auto"/>
      </w:pPr>
      <w:rPr>
        <w:b/>
        <w:bCs/>
      </w:rPr>
      <w:tblPr/>
      <w:tcPr>
        <w:tcBorders>
          <w:top w:val="single" w:sz="8" w:space="0" w:color="000000" w:themeColor="accent1"/>
          <w:left w:val="nil"/>
          <w:bottom w:val="single" w:sz="8" w:space="0" w:color="000000" w:themeColor="accent1"/>
          <w:right w:val="nil"/>
          <w:insideH w:val="nil"/>
          <w:insideV w:val="nil"/>
        </w:tcBorders>
      </w:tcPr>
    </w:tblStylePr>
    <w:tblStylePr w:type="lastRow">
      <w:pPr>
        <w:spacing w:before="0" w:after="0" w:line="240" w:lineRule="auto"/>
      </w:pPr>
      <w:rPr>
        <w:b/>
        <w:bCs/>
      </w:rPr>
      <w:tblPr/>
      <w:tcPr>
        <w:tcBorders>
          <w:top w:val="single" w:sz="8" w:space="0" w:color="000000" w:themeColor="accent1"/>
          <w:left w:val="nil"/>
          <w:bottom w:val="single" w:sz="8" w:space="0" w:color="000000" w:themeColor="accent1"/>
          <w:right w:val="nil"/>
          <w:insideH w:val="nil"/>
          <w:insideV w:val="nil"/>
          <w:tl2br w:val="nil"/>
          <w:tr2bl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accent1" w:themeFillTint="3F"/>
      </w:tcPr>
    </w:tblStylePr>
    <w:tblStylePr w:type="band1Horz">
      <w:tblPr/>
      <w:tcPr>
        <w:tcBorders>
          <w:left w:val="nil"/>
          <w:right w:val="nil"/>
          <w:insideH w:val="nil"/>
          <w:insideV w:val="nil"/>
        </w:tcBorders>
        <w:shd w:val="clear" w:color="auto" w:fill="C0C0C0" w:themeFill="accent1" w:themeFillTint="3F"/>
      </w:tcPr>
    </w:tblStylePr>
  </w:style>
  <w:style w:type="table" w:styleId="LightShading-Accent3">
    <w:name w:val="Light Shading Accent 3"/>
    <w:basedOn w:val="Trelinjerstabell"/>
    <w:uiPriority w:val="60"/>
    <w:rsid w:val="00660441"/>
    <w:rPr>
      <w:color w:val="743C9E" w:themeColor="accent3" w:themeShade="BF"/>
    </w:rPr>
    <w:tblPr>
      <w:tblStyleRowBandSize w:val="1"/>
      <w:tblStyleColBandSize w:val="1"/>
      <w:tblInd w:w="0" w:type="dxa"/>
      <w:tblBorders>
        <w:top w:val="single" w:sz="8" w:space="0" w:color="9961C3" w:themeColor="accent3"/>
        <w:bottom w:val="single" w:sz="8" w:space="0" w:color="9961C3" w:themeColor="accent3"/>
      </w:tblBorders>
      <w:tblCellMar>
        <w:top w:w="57" w:type="dxa"/>
        <w:left w:w="0" w:type="dxa"/>
        <w:bottom w:w="57" w:type="dxa"/>
        <w:right w:w="0" w:type="dxa"/>
      </w:tblCellMar>
    </w:tblPr>
    <w:tblStylePr w:type="firstRow">
      <w:pPr>
        <w:spacing w:before="0" w:after="0" w:line="240" w:lineRule="auto"/>
      </w:pPr>
      <w:rPr>
        <w:b/>
        <w:bCs/>
      </w:rPr>
      <w:tblPr/>
      <w:tcPr>
        <w:tcBorders>
          <w:top w:val="single" w:sz="8" w:space="0" w:color="9961C3" w:themeColor="accent3"/>
          <w:left w:val="nil"/>
          <w:bottom w:val="single" w:sz="8" w:space="0" w:color="9961C3" w:themeColor="accent3"/>
          <w:right w:val="nil"/>
          <w:insideH w:val="nil"/>
          <w:insideV w:val="nil"/>
        </w:tcBorders>
      </w:tcPr>
    </w:tblStylePr>
    <w:tblStylePr w:type="lastRow">
      <w:pPr>
        <w:spacing w:before="0" w:after="0" w:line="240" w:lineRule="auto"/>
      </w:pPr>
      <w:rPr>
        <w:b/>
        <w:bCs/>
      </w:rPr>
      <w:tblPr/>
      <w:tcPr>
        <w:tcBorders>
          <w:top w:val="single" w:sz="8" w:space="0" w:color="9961C3" w:themeColor="accent3"/>
          <w:left w:val="nil"/>
          <w:bottom w:val="single" w:sz="8" w:space="0" w:color="9961C3" w:themeColor="accent3"/>
          <w:right w:val="nil"/>
          <w:insideH w:val="nil"/>
          <w:insideV w:val="nil"/>
          <w:tl2br w:val="nil"/>
          <w:tr2bl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D7F0" w:themeFill="accent3" w:themeFillTint="3F"/>
      </w:tcPr>
    </w:tblStylePr>
    <w:tblStylePr w:type="band1Horz">
      <w:tblPr/>
      <w:tcPr>
        <w:tcBorders>
          <w:left w:val="nil"/>
          <w:right w:val="nil"/>
          <w:insideH w:val="nil"/>
          <w:insideV w:val="nil"/>
        </w:tcBorders>
        <w:shd w:val="clear" w:color="auto" w:fill="E5D7F0" w:themeFill="accent3" w:themeFillTint="3F"/>
      </w:tcPr>
    </w:tblStylePr>
  </w:style>
  <w:style w:type="table" w:styleId="LightShading-Accent4">
    <w:name w:val="Light Shading Accent 4"/>
    <w:basedOn w:val="Trelinjerstabell"/>
    <w:uiPriority w:val="60"/>
    <w:rsid w:val="00660441"/>
    <w:rPr>
      <w:color w:val="419EBC" w:themeColor="accent4" w:themeShade="BF"/>
    </w:rPr>
    <w:tblPr>
      <w:tblStyleRowBandSize w:val="1"/>
      <w:tblStyleColBandSize w:val="1"/>
      <w:tblInd w:w="0" w:type="dxa"/>
      <w:tblBorders>
        <w:top w:val="single" w:sz="8" w:space="0" w:color="80BFD3" w:themeColor="accent4"/>
        <w:bottom w:val="single" w:sz="8" w:space="0" w:color="80BFD3" w:themeColor="accent4"/>
      </w:tblBorders>
      <w:tblCellMar>
        <w:top w:w="57" w:type="dxa"/>
        <w:left w:w="0" w:type="dxa"/>
        <w:bottom w:w="57" w:type="dxa"/>
        <w:right w:w="0" w:type="dxa"/>
      </w:tblCellMar>
    </w:tblPr>
    <w:tblStylePr w:type="firstRow">
      <w:pPr>
        <w:spacing w:before="0" w:after="0" w:line="240" w:lineRule="auto"/>
      </w:pPr>
      <w:rPr>
        <w:b/>
        <w:bCs/>
      </w:rPr>
      <w:tblPr/>
      <w:tcPr>
        <w:tcBorders>
          <w:top w:val="single" w:sz="8" w:space="0" w:color="80BFD3" w:themeColor="accent4"/>
          <w:left w:val="nil"/>
          <w:bottom w:val="single" w:sz="8" w:space="0" w:color="80BFD3" w:themeColor="accent4"/>
          <w:right w:val="nil"/>
          <w:insideH w:val="nil"/>
          <w:insideV w:val="nil"/>
        </w:tcBorders>
      </w:tcPr>
    </w:tblStylePr>
    <w:tblStylePr w:type="lastRow">
      <w:pPr>
        <w:spacing w:before="0" w:after="0" w:line="240" w:lineRule="auto"/>
      </w:pPr>
      <w:rPr>
        <w:b/>
        <w:bCs/>
      </w:rPr>
      <w:tblPr/>
      <w:tcPr>
        <w:tcBorders>
          <w:top w:val="single" w:sz="8" w:space="0" w:color="80BFD3" w:themeColor="accent4"/>
          <w:left w:val="nil"/>
          <w:bottom w:val="single" w:sz="8" w:space="0" w:color="80BFD3" w:themeColor="accent4"/>
          <w:right w:val="nil"/>
          <w:insideH w:val="nil"/>
          <w:insideV w:val="nil"/>
          <w:tl2br w:val="nil"/>
          <w:tr2bl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EFF4" w:themeFill="accent4" w:themeFillTint="3F"/>
      </w:tcPr>
    </w:tblStylePr>
    <w:tblStylePr w:type="band1Horz">
      <w:tblPr/>
      <w:tcPr>
        <w:tcBorders>
          <w:left w:val="nil"/>
          <w:right w:val="nil"/>
          <w:insideH w:val="nil"/>
          <w:insideV w:val="nil"/>
        </w:tcBorders>
        <w:shd w:val="clear" w:color="auto" w:fill="DFEFF4" w:themeFill="accent4" w:themeFillTint="3F"/>
      </w:tcPr>
    </w:tblStylePr>
  </w:style>
  <w:style w:type="table" w:styleId="LightShading-Accent5">
    <w:name w:val="Light Shading Accent 5"/>
    <w:basedOn w:val="Trelinjerstabell"/>
    <w:uiPriority w:val="60"/>
    <w:rsid w:val="00660441"/>
    <w:rPr>
      <w:color w:val="C0BB2E" w:themeColor="accent5" w:themeShade="BF"/>
    </w:rPr>
    <w:tblPr>
      <w:tblStyleRowBandSize w:val="1"/>
      <w:tblStyleColBandSize w:val="1"/>
      <w:tblInd w:w="0" w:type="dxa"/>
      <w:tblBorders>
        <w:top w:val="single" w:sz="8" w:space="0" w:color="DAD666" w:themeColor="accent5"/>
        <w:bottom w:val="single" w:sz="8" w:space="0" w:color="DAD666" w:themeColor="accent5"/>
      </w:tblBorders>
      <w:tblCellMar>
        <w:top w:w="57" w:type="dxa"/>
        <w:left w:w="0" w:type="dxa"/>
        <w:bottom w:w="57" w:type="dxa"/>
        <w:right w:w="0" w:type="dxa"/>
      </w:tblCellMar>
    </w:tblPr>
    <w:tblStylePr w:type="firstRow">
      <w:pPr>
        <w:spacing w:before="0" w:after="0" w:line="240" w:lineRule="auto"/>
      </w:pPr>
      <w:rPr>
        <w:b/>
        <w:bCs/>
      </w:rPr>
      <w:tblPr/>
      <w:tcPr>
        <w:tcBorders>
          <w:top w:val="single" w:sz="8" w:space="0" w:color="DAD666" w:themeColor="accent5"/>
          <w:left w:val="nil"/>
          <w:bottom w:val="single" w:sz="8" w:space="0" w:color="DAD666" w:themeColor="accent5"/>
          <w:right w:val="nil"/>
          <w:insideH w:val="nil"/>
          <w:insideV w:val="nil"/>
        </w:tcBorders>
      </w:tcPr>
    </w:tblStylePr>
    <w:tblStylePr w:type="lastRow">
      <w:pPr>
        <w:spacing w:before="0" w:after="0" w:line="240" w:lineRule="auto"/>
      </w:pPr>
      <w:rPr>
        <w:b/>
        <w:bCs/>
      </w:rPr>
      <w:tblPr/>
      <w:tcPr>
        <w:tcBorders>
          <w:top w:val="single" w:sz="8" w:space="0" w:color="DAD666" w:themeColor="accent5"/>
          <w:left w:val="nil"/>
          <w:bottom w:val="single" w:sz="8" w:space="0" w:color="DAD666" w:themeColor="accent5"/>
          <w:right w:val="nil"/>
          <w:insideH w:val="nil"/>
          <w:insideV w:val="nil"/>
          <w:tl2br w:val="nil"/>
          <w:tr2bl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4D9" w:themeFill="accent5" w:themeFillTint="3F"/>
      </w:tcPr>
    </w:tblStylePr>
    <w:tblStylePr w:type="band1Horz">
      <w:tblPr/>
      <w:tcPr>
        <w:tcBorders>
          <w:left w:val="nil"/>
          <w:right w:val="nil"/>
          <w:insideH w:val="nil"/>
          <w:insideV w:val="nil"/>
        </w:tcBorders>
        <w:shd w:val="clear" w:color="auto" w:fill="F6F4D9" w:themeFill="accent5" w:themeFillTint="3F"/>
      </w:tcPr>
    </w:tblStylePr>
  </w:style>
  <w:style w:type="table" w:styleId="LightShading-Accent6">
    <w:name w:val="Light Shading Accent 6"/>
    <w:basedOn w:val="Trelinjerstabell"/>
    <w:uiPriority w:val="60"/>
    <w:rsid w:val="00660441"/>
    <w:rPr>
      <w:color w:val="48494B" w:themeColor="accent6" w:themeShade="BF"/>
    </w:rPr>
    <w:tblPr>
      <w:tblStyleRowBandSize w:val="1"/>
      <w:tblStyleColBandSize w:val="1"/>
      <w:tblInd w:w="0" w:type="dxa"/>
      <w:tblBorders>
        <w:top w:val="single" w:sz="8" w:space="0" w:color="616265" w:themeColor="accent6"/>
        <w:bottom w:val="single" w:sz="8" w:space="0" w:color="616265" w:themeColor="accent6"/>
      </w:tblBorders>
      <w:tblCellMar>
        <w:top w:w="57" w:type="dxa"/>
        <w:left w:w="0" w:type="dxa"/>
        <w:bottom w:w="57" w:type="dxa"/>
        <w:right w:w="0" w:type="dxa"/>
      </w:tblCellMar>
    </w:tblPr>
    <w:tblStylePr w:type="firstRow">
      <w:pPr>
        <w:spacing w:before="0" w:after="0" w:line="240" w:lineRule="auto"/>
      </w:pPr>
      <w:rPr>
        <w:b/>
        <w:bCs/>
      </w:rPr>
      <w:tblPr/>
      <w:tcPr>
        <w:tcBorders>
          <w:top w:val="single" w:sz="8" w:space="0" w:color="616265" w:themeColor="accent6"/>
          <w:left w:val="nil"/>
          <w:bottom w:val="single" w:sz="8" w:space="0" w:color="616265" w:themeColor="accent6"/>
          <w:right w:val="nil"/>
          <w:insideH w:val="nil"/>
          <w:insideV w:val="nil"/>
        </w:tcBorders>
      </w:tcPr>
    </w:tblStylePr>
    <w:tblStylePr w:type="lastRow">
      <w:pPr>
        <w:spacing w:before="0" w:after="0" w:line="240" w:lineRule="auto"/>
      </w:pPr>
      <w:rPr>
        <w:b/>
        <w:bCs/>
      </w:rPr>
      <w:tblPr/>
      <w:tcPr>
        <w:tcBorders>
          <w:top w:val="single" w:sz="8" w:space="0" w:color="616265" w:themeColor="accent6"/>
          <w:left w:val="nil"/>
          <w:bottom w:val="single" w:sz="8" w:space="0" w:color="616265" w:themeColor="accent6"/>
          <w:right w:val="nil"/>
          <w:insideH w:val="nil"/>
          <w:insideV w:val="nil"/>
          <w:tl2br w:val="nil"/>
          <w:tr2bl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9" w:themeFill="accent6" w:themeFillTint="3F"/>
      </w:tcPr>
    </w:tblStylePr>
    <w:tblStylePr w:type="band1Horz">
      <w:tblPr/>
      <w:tcPr>
        <w:tcBorders>
          <w:left w:val="nil"/>
          <w:right w:val="nil"/>
          <w:insideH w:val="nil"/>
          <w:insideV w:val="nil"/>
        </w:tcBorders>
        <w:shd w:val="clear" w:color="auto" w:fill="D7D7D9" w:themeFill="accent6" w:themeFillTint="3F"/>
      </w:tcPr>
    </w:tblStylePr>
  </w:style>
  <w:style w:type="table" w:styleId="LightList">
    <w:name w:val="Light List"/>
    <w:basedOn w:val="Trelinjerstabell"/>
    <w:uiPriority w:val="61"/>
    <w:rsid w:val="00660441"/>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57" w:type="dxa"/>
        <w:left w:w="0" w:type="dxa"/>
        <w:bottom w:w="57" w:type="dxa"/>
        <w:right w:w="0" w:type="dxa"/>
      </w:tblCellMar>
    </w:tblPr>
    <w:tblStylePr w:type="firstRow">
      <w:pPr>
        <w:spacing w:before="0" w:after="0" w:line="240" w:lineRule="auto"/>
      </w:pPr>
      <w:rPr>
        <w:b/>
        <w:bCs/>
        <w:color w:val="FFFFFF" w:themeColor="background1"/>
      </w:rPr>
      <w:tblPr/>
      <w:tcPr>
        <w:tcBorders>
          <w:bottom w:val="single" w:sz="4" w:space="0" w:color="auto"/>
        </w:tcBorders>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relinjerstabell"/>
    <w:uiPriority w:val="61"/>
    <w:rsid w:val="00660441"/>
    <w:tblPr>
      <w:tblStyleRowBandSize w:val="1"/>
      <w:tblStyleColBandSize w:val="1"/>
      <w:tblInd w:w="0" w:type="dxa"/>
      <w:tblBorders>
        <w:top w:val="single" w:sz="8" w:space="0" w:color="000000" w:themeColor="accent1"/>
        <w:left w:val="single" w:sz="8" w:space="0" w:color="000000" w:themeColor="accent1"/>
        <w:bottom w:val="single" w:sz="8" w:space="0" w:color="000000" w:themeColor="accent1"/>
        <w:right w:val="single" w:sz="8" w:space="0" w:color="000000" w:themeColor="accent1"/>
      </w:tblBorders>
      <w:tblCellMar>
        <w:top w:w="57" w:type="dxa"/>
        <w:left w:w="0" w:type="dxa"/>
        <w:bottom w:w="57" w:type="dxa"/>
        <w:right w:w="0" w:type="dxa"/>
      </w:tblCellMar>
    </w:tblPr>
    <w:tblStylePr w:type="firstRow">
      <w:pPr>
        <w:spacing w:before="0" w:after="0" w:line="240" w:lineRule="auto"/>
      </w:pPr>
      <w:rPr>
        <w:b/>
        <w:bCs/>
        <w:color w:val="FFFFFF" w:themeColor="background1"/>
      </w:rPr>
      <w:tblPr/>
      <w:tcPr>
        <w:tcBorders>
          <w:bottom w:val="single" w:sz="4" w:space="0" w:color="auto"/>
        </w:tcBorders>
        <w:shd w:val="clear" w:color="auto" w:fill="000000" w:themeFill="accent1"/>
      </w:tcPr>
    </w:tblStylePr>
    <w:tblStylePr w:type="lastRow">
      <w:pPr>
        <w:spacing w:before="0" w:after="0" w:line="240" w:lineRule="auto"/>
      </w:pPr>
      <w:rPr>
        <w:b/>
        <w:bCs/>
      </w:rPr>
      <w:tblPr/>
      <w:tcPr>
        <w:tcBorders>
          <w:top w:val="double" w:sz="6" w:space="0" w:color="000000" w:themeColor="accent1"/>
          <w:left w:val="single" w:sz="8" w:space="0" w:color="000000" w:themeColor="accent1"/>
          <w:bottom w:val="single" w:sz="8" w:space="0" w:color="000000" w:themeColor="accent1"/>
          <w:right w:val="single" w:sz="8" w:space="0" w:color="000000" w:themeColor="accent1"/>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000000" w:themeColor="accent1"/>
          <w:left w:val="single" w:sz="8" w:space="0" w:color="000000" w:themeColor="accent1"/>
          <w:bottom w:val="single" w:sz="8" w:space="0" w:color="000000" w:themeColor="accent1"/>
          <w:right w:val="single" w:sz="8" w:space="0" w:color="000000" w:themeColor="accent1"/>
        </w:tcBorders>
      </w:tcPr>
    </w:tblStylePr>
    <w:tblStylePr w:type="band1Horz">
      <w:tblPr/>
      <w:tcPr>
        <w:tcBorders>
          <w:top w:val="single" w:sz="8" w:space="0" w:color="000000" w:themeColor="accent1"/>
          <w:left w:val="single" w:sz="8" w:space="0" w:color="000000" w:themeColor="accent1"/>
          <w:bottom w:val="single" w:sz="8" w:space="0" w:color="000000" w:themeColor="accent1"/>
          <w:right w:val="single" w:sz="8" w:space="0" w:color="000000" w:themeColor="accent1"/>
        </w:tcBorders>
      </w:tcPr>
    </w:tblStylePr>
  </w:style>
  <w:style w:type="table" w:styleId="LightList-Accent2">
    <w:name w:val="Light List Accent 2"/>
    <w:basedOn w:val="Trelinjerstabell"/>
    <w:uiPriority w:val="61"/>
    <w:rsid w:val="00660441"/>
    <w:tblPr>
      <w:tblStyleRowBandSize w:val="1"/>
      <w:tblStyleColBandSize w:val="1"/>
      <w:tblInd w:w="0" w:type="dxa"/>
      <w:tblBorders>
        <w:top w:val="single" w:sz="8" w:space="0" w:color="D28E00" w:themeColor="accent2"/>
        <w:left w:val="single" w:sz="8" w:space="0" w:color="D28E00" w:themeColor="accent2"/>
        <w:bottom w:val="single" w:sz="8" w:space="0" w:color="D28E00" w:themeColor="accent2"/>
        <w:right w:val="single" w:sz="8" w:space="0" w:color="D28E00" w:themeColor="accent2"/>
      </w:tblBorders>
      <w:tblCellMar>
        <w:top w:w="57" w:type="dxa"/>
        <w:left w:w="0" w:type="dxa"/>
        <w:bottom w:w="57" w:type="dxa"/>
        <w:right w:w="0" w:type="dxa"/>
      </w:tblCellMar>
    </w:tblPr>
    <w:tblStylePr w:type="firstRow">
      <w:pPr>
        <w:spacing w:before="0" w:after="0" w:line="240" w:lineRule="auto"/>
      </w:pPr>
      <w:rPr>
        <w:b/>
        <w:bCs/>
        <w:color w:val="FFFFFF" w:themeColor="background1"/>
      </w:rPr>
      <w:tblPr/>
      <w:tcPr>
        <w:tcBorders>
          <w:bottom w:val="single" w:sz="4" w:space="0" w:color="auto"/>
        </w:tcBorders>
        <w:shd w:val="clear" w:color="auto" w:fill="D28E00" w:themeFill="accent2"/>
      </w:tcPr>
    </w:tblStylePr>
    <w:tblStylePr w:type="lastRow">
      <w:pPr>
        <w:spacing w:before="0" w:after="0" w:line="240" w:lineRule="auto"/>
      </w:pPr>
      <w:rPr>
        <w:b/>
        <w:bCs/>
      </w:rPr>
      <w:tblPr/>
      <w:tcPr>
        <w:tcBorders>
          <w:top w:val="double" w:sz="6" w:space="0" w:color="D28E00" w:themeColor="accent2"/>
          <w:left w:val="single" w:sz="8" w:space="0" w:color="D28E00" w:themeColor="accent2"/>
          <w:bottom w:val="single" w:sz="8" w:space="0" w:color="D28E00" w:themeColor="accent2"/>
          <w:right w:val="single" w:sz="8" w:space="0" w:color="D28E00" w:themeColor="accent2"/>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D28E00" w:themeColor="accent2"/>
          <w:left w:val="single" w:sz="8" w:space="0" w:color="D28E00" w:themeColor="accent2"/>
          <w:bottom w:val="single" w:sz="8" w:space="0" w:color="D28E00" w:themeColor="accent2"/>
          <w:right w:val="single" w:sz="8" w:space="0" w:color="D28E00" w:themeColor="accent2"/>
        </w:tcBorders>
      </w:tcPr>
    </w:tblStylePr>
    <w:tblStylePr w:type="band1Horz">
      <w:tblPr/>
      <w:tcPr>
        <w:tcBorders>
          <w:top w:val="single" w:sz="8" w:space="0" w:color="D28E00" w:themeColor="accent2"/>
          <w:left w:val="single" w:sz="8" w:space="0" w:color="D28E00" w:themeColor="accent2"/>
          <w:bottom w:val="single" w:sz="8" w:space="0" w:color="D28E00" w:themeColor="accent2"/>
          <w:right w:val="single" w:sz="8" w:space="0" w:color="D28E00" w:themeColor="accent2"/>
        </w:tcBorders>
      </w:tcPr>
    </w:tblStylePr>
  </w:style>
  <w:style w:type="table" w:styleId="LightList-Accent3">
    <w:name w:val="Light List Accent 3"/>
    <w:basedOn w:val="Trelinjerstabell"/>
    <w:uiPriority w:val="61"/>
    <w:rsid w:val="00660441"/>
    <w:tblPr>
      <w:tblStyleRowBandSize w:val="1"/>
      <w:tblStyleColBandSize w:val="1"/>
      <w:tblInd w:w="0" w:type="dxa"/>
      <w:tblBorders>
        <w:top w:val="single" w:sz="8" w:space="0" w:color="9961C3" w:themeColor="accent3"/>
        <w:left w:val="single" w:sz="8" w:space="0" w:color="9961C3" w:themeColor="accent3"/>
        <w:bottom w:val="single" w:sz="8" w:space="0" w:color="9961C3" w:themeColor="accent3"/>
        <w:right w:val="single" w:sz="8" w:space="0" w:color="9961C3" w:themeColor="accent3"/>
      </w:tblBorders>
      <w:tblCellMar>
        <w:top w:w="57" w:type="dxa"/>
        <w:left w:w="0" w:type="dxa"/>
        <w:bottom w:w="57" w:type="dxa"/>
        <w:right w:w="0" w:type="dxa"/>
      </w:tblCellMar>
    </w:tblPr>
    <w:tblStylePr w:type="firstRow">
      <w:pPr>
        <w:spacing w:before="0" w:after="0" w:line="240" w:lineRule="auto"/>
      </w:pPr>
      <w:rPr>
        <w:b/>
        <w:bCs/>
        <w:color w:val="FFFFFF" w:themeColor="background1"/>
      </w:rPr>
      <w:tblPr/>
      <w:tcPr>
        <w:tcBorders>
          <w:bottom w:val="single" w:sz="4" w:space="0" w:color="auto"/>
        </w:tcBorders>
        <w:shd w:val="clear" w:color="auto" w:fill="9961C3" w:themeFill="accent3"/>
      </w:tcPr>
    </w:tblStylePr>
    <w:tblStylePr w:type="lastRow">
      <w:pPr>
        <w:spacing w:before="0" w:after="0" w:line="240" w:lineRule="auto"/>
      </w:pPr>
      <w:rPr>
        <w:b/>
        <w:bCs/>
      </w:rPr>
      <w:tblPr/>
      <w:tcPr>
        <w:tcBorders>
          <w:top w:val="double" w:sz="6" w:space="0" w:color="9961C3" w:themeColor="accent3"/>
          <w:left w:val="single" w:sz="8" w:space="0" w:color="9961C3" w:themeColor="accent3"/>
          <w:bottom w:val="single" w:sz="8" w:space="0" w:color="9961C3" w:themeColor="accent3"/>
          <w:right w:val="single" w:sz="8" w:space="0" w:color="9961C3" w:themeColor="accent3"/>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961C3" w:themeColor="accent3"/>
          <w:left w:val="single" w:sz="8" w:space="0" w:color="9961C3" w:themeColor="accent3"/>
          <w:bottom w:val="single" w:sz="8" w:space="0" w:color="9961C3" w:themeColor="accent3"/>
          <w:right w:val="single" w:sz="8" w:space="0" w:color="9961C3" w:themeColor="accent3"/>
        </w:tcBorders>
      </w:tcPr>
    </w:tblStylePr>
    <w:tblStylePr w:type="band1Horz">
      <w:tblPr/>
      <w:tcPr>
        <w:tcBorders>
          <w:top w:val="single" w:sz="8" w:space="0" w:color="9961C3" w:themeColor="accent3"/>
          <w:left w:val="single" w:sz="8" w:space="0" w:color="9961C3" w:themeColor="accent3"/>
          <w:bottom w:val="single" w:sz="8" w:space="0" w:color="9961C3" w:themeColor="accent3"/>
          <w:right w:val="single" w:sz="8" w:space="0" w:color="9961C3" w:themeColor="accent3"/>
        </w:tcBorders>
      </w:tcPr>
    </w:tblStylePr>
  </w:style>
  <w:style w:type="table" w:styleId="LightList-Accent4">
    <w:name w:val="Light List Accent 4"/>
    <w:basedOn w:val="Trelinjerstabell"/>
    <w:uiPriority w:val="61"/>
    <w:rsid w:val="00660441"/>
    <w:tblPr>
      <w:tblStyleRowBandSize w:val="1"/>
      <w:tblStyleColBandSize w:val="1"/>
      <w:tblInd w:w="0" w:type="dxa"/>
      <w:tblBorders>
        <w:top w:val="single" w:sz="8" w:space="0" w:color="80BFD3" w:themeColor="accent4"/>
        <w:left w:val="single" w:sz="8" w:space="0" w:color="80BFD3" w:themeColor="accent4"/>
        <w:bottom w:val="single" w:sz="8" w:space="0" w:color="80BFD3" w:themeColor="accent4"/>
        <w:right w:val="single" w:sz="8" w:space="0" w:color="80BFD3" w:themeColor="accent4"/>
      </w:tblBorders>
      <w:tblCellMar>
        <w:top w:w="57" w:type="dxa"/>
        <w:left w:w="0" w:type="dxa"/>
        <w:bottom w:w="57" w:type="dxa"/>
        <w:right w:w="0" w:type="dxa"/>
      </w:tblCellMar>
    </w:tblPr>
    <w:tblStylePr w:type="firstRow">
      <w:pPr>
        <w:spacing w:before="0" w:after="0" w:line="240" w:lineRule="auto"/>
      </w:pPr>
      <w:rPr>
        <w:b/>
        <w:bCs/>
        <w:color w:val="FFFFFF" w:themeColor="background1"/>
      </w:rPr>
      <w:tblPr/>
      <w:tcPr>
        <w:tcBorders>
          <w:bottom w:val="single" w:sz="4" w:space="0" w:color="auto"/>
        </w:tcBorders>
        <w:shd w:val="clear" w:color="auto" w:fill="80BFD3" w:themeFill="accent4"/>
      </w:tcPr>
    </w:tblStylePr>
    <w:tblStylePr w:type="lastRow">
      <w:pPr>
        <w:spacing w:before="0" w:after="0" w:line="240" w:lineRule="auto"/>
      </w:pPr>
      <w:rPr>
        <w:b/>
        <w:bCs/>
      </w:rPr>
      <w:tblPr/>
      <w:tcPr>
        <w:tcBorders>
          <w:top w:val="double" w:sz="6" w:space="0" w:color="80BFD3" w:themeColor="accent4"/>
          <w:left w:val="single" w:sz="8" w:space="0" w:color="80BFD3" w:themeColor="accent4"/>
          <w:bottom w:val="single" w:sz="8" w:space="0" w:color="80BFD3" w:themeColor="accent4"/>
          <w:right w:val="single" w:sz="8" w:space="0" w:color="80BFD3" w:themeColor="accent4"/>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80BFD3" w:themeColor="accent4"/>
          <w:left w:val="single" w:sz="8" w:space="0" w:color="80BFD3" w:themeColor="accent4"/>
          <w:bottom w:val="single" w:sz="8" w:space="0" w:color="80BFD3" w:themeColor="accent4"/>
          <w:right w:val="single" w:sz="8" w:space="0" w:color="80BFD3" w:themeColor="accent4"/>
        </w:tcBorders>
      </w:tcPr>
    </w:tblStylePr>
    <w:tblStylePr w:type="band1Horz">
      <w:tblPr/>
      <w:tcPr>
        <w:tcBorders>
          <w:top w:val="single" w:sz="8" w:space="0" w:color="80BFD3" w:themeColor="accent4"/>
          <w:left w:val="single" w:sz="8" w:space="0" w:color="80BFD3" w:themeColor="accent4"/>
          <w:bottom w:val="single" w:sz="8" w:space="0" w:color="80BFD3" w:themeColor="accent4"/>
          <w:right w:val="single" w:sz="8" w:space="0" w:color="80BFD3" w:themeColor="accent4"/>
        </w:tcBorders>
      </w:tcPr>
    </w:tblStylePr>
  </w:style>
  <w:style w:type="table" w:styleId="LightList-Accent5">
    <w:name w:val="Light List Accent 5"/>
    <w:basedOn w:val="Trelinjerstabell"/>
    <w:uiPriority w:val="61"/>
    <w:rsid w:val="00660441"/>
    <w:tblPr>
      <w:tblStyleRowBandSize w:val="1"/>
      <w:tblStyleColBandSize w:val="1"/>
      <w:tblInd w:w="0" w:type="dxa"/>
      <w:tblBorders>
        <w:top w:val="single" w:sz="8" w:space="0" w:color="DAD666" w:themeColor="accent5"/>
        <w:left w:val="single" w:sz="8" w:space="0" w:color="DAD666" w:themeColor="accent5"/>
        <w:bottom w:val="single" w:sz="8" w:space="0" w:color="DAD666" w:themeColor="accent5"/>
        <w:right w:val="single" w:sz="8" w:space="0" w:color="DAD666" w:themeColor="accent5"/>
      </w:tblBorders>
      <w:tblCellMar>
        <w:top w:w="57" w:type="dxa"/>
        <w:left w:w="0" w:type="dxa"/>
        <w:bottom w:w="57" w:type="dxa"/>
        <w:right w:w="0" w:type="dxa"/>
      </w:tblCellMar>
    </w:tblPr>
    <w:tblStylePr w:type="firstRow">
      <w:pPr>
        <w:spacing w:before="0" w:after="0" w:line="240" w:lineRule="auto"/>
      </w:pPr>
      <w:rPr>
        <w:b/>
        <w:bCs/>
        <w:color w:val="FFFFFF" w:themeColor="background1"/>
      </w:rPr>
      <w:tblPr/>
      <w:tcPr>
        <w:tcBorders>
          <w:bottom w:val="single" w:sz="4" w:space="0" w:color="auto"/>
        </w:tcBorders>
        <w:shd w:val="clear" w:color="auto" w:fill="DAD666" w:themeFill="accent5"/>
      </w:tcPr>
    </w:tblStylePr>
    <w:tblStylePr w:type="lastRow">
      <w:pPr>
        <w:spacing w:before="0" w:after="0" w:line="240" w:lineRule="auto"/>
      </w:pPr>
      <w:rPr>
        <w:b/>
        <w:bCs/>
      </w:rPr>
      <w:tblPr/>
      <w:tcPr>
        <w:tcBorders>
          <w:top w:val="double" w:sz="6" w:space="0" w:color="DAD666" w:themeColor="accent5"/>
          <w:left w:val="single" w:sz="8" w:space="0" w:color="DAD666" w:themeColor="accent5"/>
          <w:bottom w:val="single" w:sz="8" w:space="0" w:color="DAD666" w:themeColor="accent5"/>
          <w:right w:val="single" w:sz="8" w:space="0" w:color="DAD666" w:themeColor="accent5"/>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DAD666" w:themeColor="accent5"/>
          <w:left w:val="single" w:sz="8" w:space="0" w:color="DAD666" w:themeColor="accent5"/>
          <w:bottom w:val="single" w:sz="8" w:space="0" w:color="DAD666" w:themeColor="accent5"/>
          <w:right w:val="single" w:sz="8" w:space="0" w:color="DAD666" w:themeColor="accent5"/>
        </w:tcBorders>
      </w:tcPr>
    </w:tblStylePr>
    <w:tblStylePr w:type="band1Horz">
      <w:tblPr/>
      <w:tcPr>
        <w:tcBorders>
          <w:top w:val="single" w:sz="8" w:space="0" w:color="DAD666" w:themeColor="accent5"/>
          <w:left w:val="single" w:sz="8" w:space="0" w:color="DAD666" w:themeColor="accent5"/>
          <w:bottom w:val="single" w:sz="8" w:space="0" w:color="DAD666" w:themeColor="accent5"/>
          <w:right w:val="single" w:sz="8" w:space="0" w:color="DAD666" w:themeColor="accent5"/>
        </w:tcBorders>
      </w:tcPr>
    </w:tblStylePr>
  </w:style>
  <w:style w:type="table" w:styleId="LightList-Accent6">
    <w:name w:val="Light List Accent 6"/>
    <w:basedOn w:val="Trelinjerstabell"/>
    <w:uiPriority w:val="61"/>
    <w:rsid w:val="00660441"/>
    <w:tblPr>
      <w:tblStyleRowBandSize w:val="1"/>
      <w:tblStyleColBandSize w:val="1"/>
      <w:tblInd w:w="0" w:type="dxa"/>
      <w:tblBorders>
        <w:top w:val="single" w:sz="8" w:space="0" w:color="616265" w:themeColor="accent6"/>
        <w:left w:val="single" w:sz="8" w:space="0" w:color="616265" w:themeColor="accent6"/>
        <w:bottom w:val="single" w:sz="8" w:space="0" w:color="616265" w:themeColor="accent6"/>
        <w:right w:val="single" w:sz="8" w:space="0" w:color="616265" w:themeColor="accent6"/>
      </w:tblBorders>
      <w:tblCellMar>
        <w:top w:w="57" w:type="dxa"/>
        <w:left w:w="0" w:type="dxa"/>
        <w:bottom w:w="57" w:type="dxa"/>
        <w:right w:w="0" w:type="dxa"/>
      </w:tblCellMar>
    </w:tblPr>
    <w:tblStylePr w:type="firstRow">
      <w:pPr>
        <w:spacing w:before="0" w:after="0" w:line="240" w:lineRule="auto"/>
      </w:pPr>
      <w:rPr>
        <w:b/>
        <w:bCs/>
        <w:color w:val="FFFFFF" w:themeColor="background1"/>
      </w:rPr>
      <w:tblPr/>
      <w:tcPr>
        <w:tcBorders>
          <w:bottom w:val="single" w:sz="4" w:space="0" w:color="auto"/>
        </w:tcBorders>
        <w:shd w:val="clear" w:color="auto" w:fill="616265" w:themeFill="accent6"/>
      </w:tcPr>
    </w:tblStylePr>
    <w:tblStylePr w:type="lastRow">
      <w:pPr>
        <w:spacing w:before="0" w:after="0" w:line="240" w:lineRule="auto"/>
      </w:pPr>
      <w:rPr>
        <w:b/>
        <w:bCs/>
      </w:rPr>
      <w:tblPr/>
      <w:tcPr>
        <w:tcBorders>
          <w:top w:val="double" w:sz="6" w:space="0" w:color="616265" w:themeColor="accent6"/>
          <w:left w:val="single" w:sz="8" w:space="0" w:color="616265" w:themeColor="accent6"/>
          <w:bottom w:val="single" w:sz="8" w:space="0" w:color="616265" w:themeColor="accent6"/>
          <w:right w:val="single" w:sz="8" w:space="0" w:color="616265" w:themeColor="accent6"/>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616265" w:themeColor="accent6"/>
          <w:left w:val="single" w:sz="8" w:space="0" w:color="616265" w:themeColor="accent6"/>
          <w:bottom w:val="single" w:sz="8" w:space="0" w:color="616265" w:themeColor="accent6"/>
          <w:right w:val="single" w:sz="8" w:space="0" w:color="616265" w:themeColor="accent6"/>
        </w:tcBorders>
      </w:tcPr>
    </w:tblStylePr>
    <w:tblStylePr w:type="band1Horz">
      <w:tblPr/>
      <w:tcPr>
        <w:tcBorders>
          <w:top w:val="single" w:sz="8" w:space="0" w:color="616265" w:themeColor="accent6"/>
          <w:left w:val="single" w:sz="8" w:space="0" w:color="616265" w:themeColor="accent6"/>
          <w:bottom w:val="single" w:sz="8" w:space="0" w:color="616265" w:themeColor="accent6"/>
          <w:right w:val="single" w:sz="8" w:space="0" w:color="616265" w:themeColor="accent6"/>
        </w:tcBorders>
      </w:tcPr>
    </w:tblStylePr>
  </w:style>
  <w:style w:type="paragraph" w:customStyle="1" w:styleId="Signaturrad">
    <w:name w:val="Signaturrad"/>
    <w:basedOn w:val="Normal"/>
    <w:next w:val="Normal"/>
    <w:semiHidden/>
    <w:qFormat/>
    <w:rsid w:val="00660441"/>
    <w:pPr>
      <w:pBdr>
        <w:top w:val="single" w:sz="4" w:space="12" w:color="auto"/>
      </w:pBdr>
      <w:spacing w:before="720" w:after="0" w:line="240" w:lineRule="auto"/>
    </w:pPr>
  </w:style>
  <w:style w:type="paragraph" w:customStyle="1" w:styleId="Kortsignaturrad">
    <w:name w:val="Kort signaturrad"/>
    <w:basedOn w:val="Signaturrad"/>
    <w:next w:val="Normal"/>
    <w:uiPriority w:val="10"/>
    <w:rsid w:val="00660441"/>
    <w:pPr>
      <w:ind w:right="4111"/>
    </w:pPr>
  </w:style>
  <w:style w:type="character" w:styleId="Strong">
    <w:name w:val="Strong"/>
    <w:basedOn w:val="DefaultParagraphFont"/>
    <w:uiPriority w:val="1"/>
    <w:rsid w:val="00660441"/>
    <w:rPr>
      <w:b/>
      <w:bCs/>
    </w:rPr>
  </w:style>
  <w:style w:type="table" w:customStyle="1" w:styleId="Sidfottabell">
    <w:name w:val="Sidfot tabell"/>
    <w:basedOn w:val="TableNormal"/>
    <w:uiPriority w:val="99"/>
    <w:rsid w:val="00660441"/>
    <w:pPr>
      <w:spacing w:after="0" w:line="240" w:lineRule="auto"/>
    </w:pPr>
    <w:rPr>
      <w:sz w:val="14"/>
    </w:rPr>
    <w:tblPr>
      <w:tblInd w:w="0" w:type="dxa"/>
      <w:tblCellMar>
        <w:top w:w="0" w:type="dxa"/>
        <w:left w:w="0" w:type="dxa"/>
        <w:bottom w:w="0" w:type="dxa"/>
        <w:right w:w="0" w:type="dxa"/>
      </w:tblCellMar>
    </w:tblPr>
    <w:tblStylePr w:type="firstRow">
      <w:tblPr/>
      <w:tcPr>
        <w:tcBorders>
          <w:top w:val="single" w:sz="4" w:space="0" w:color="auto"/>
        </w:tcBorders>
      </w:tcPr>
    </w:tblStylePr>
  </w:style>
  <w:style w:type="paragraph" w:styleId="FootnoteText">
    <w:name w:val="footnote text"/>
    <w:basedOn w:val="Normal"/>
    <w:link w:val="FootnoteTextChar"/>
    <w:uiPriority w:val="99"/>
    <w:semiHidden/>
    <w:unhideWhenUsed/>
    <w:rsid w:val="0066044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60441"/>
    <w:rPr>
      <w:rFonts w:asciiTheme="minorHAnsi" w:hAnsiTheme="minorHAnsi"/>
      <w:sz w:val="20"/>
      <w:szCs w:val="20"/>
    </w:rPr>
  </w:style>
  <w:style w:type="character" w:styleId="FootnoteReference">
    <w:name w:val="footnote reference"/>
    <w:basedOn w:val="DefaultParagraphFont"/>
    <w:uiPriority w:val="99"/>
    <w:semiHidden/>
    <w:unhideWhenUsed/>
    <w:rsid w:val="00660441"/>
    <w:rPr>
      <w:vertAlign w:val="superscript"/>
    </w:rPr>
  </w:style>
  <w:style w:type="character" w:customStyle="1" w:styleId="Heading4Char">
    <w:name w:val="Heading 4 Char"/>
    <w:basedOn w:val="DefaultParagraphFont"/>
    <w:link w:val="Heading4"/>
    <w:uiPriority w:val="9"/>
    <w:rsid w:val="00660441"/>
    <w:rPr>
      <w:rFonts w:asciiTheme="majorHAnsi" w:eastAsiaTheme="majorEastAsia" w:hAnsiTheme="majorHAnsi" w:cstheme="majorBidi"/>
      <w:b/>
      <w:bCs/>
      <w:i/>
      <w:iCs/>
      <w:color w:val="000000" w:themeColor="accent1"/>
    </w:rPr>
  </w:style>
  <w:style w:type="character" w:customStyle="1" w:styleId="Formatmall1">
    <w:name w:val="Formatmall1"/>
    <w:basedOn w:val="DefaultParagraphFont"/>
    <w:uiPriority w:val="1"/>
    <w:rsid w:val="00660441"/>
    <w:rPr>
      <w:rFonts w:asciiTheme="majorHAnsi" w:hAnsiTheme="majorHAnsi"/>
      <w:color w:val="auto"/>
      <w:sz w:val="14"/>
    </w:rPr>
  </w:style>
  <w:style w:type="character" w:customStyle="1" w:styleId="Sidfotmallarna">
    <w:name w:val="Sidfot mallarna"/>
    <w:basedOn w:val="DefaultParagraphFont"/>
    <w:uiPriority w:val="1"/>
    <w:rsid w:val="00660441"/>
    <w:rPr>
      <w:rFonts w:asciiTheme="majorHAnsi" w:hAnsiTheme="majorHAnsi"/>
      <w:sz w:val="14"/>
    </w:rPr>
  </w:style>
  <w:style w:type="character" w:customStyle="1" w:styleId="Sidfotmallarnagr">
    <w:name w:val="Sidfot mallarna grå"/>
    <w:basedOn w:val="DefaultParagraphFont"/>
    <w:uiPriority w:val="1"/>
    <w:rsid w:val="00660441"/>
    <w:rPr>
      <w:color w:val="7F7F7F" w:themeColor="text1" w:themeTint="80"/>
    </w:rPr>
  </w:style>
  <w:style w:type="paragraph" w:customStyle="1" w:styleId="TillfalligText">
    <w:name w:val="TillfalligText"/>
    <w:basedOn w:val="Normal"/>
    <w:link w:val="TillfalligTextChar"/>
    <w:rsid w:val="00660441"/>
    <w:pPr>
      <w:spacing w:after="120"/>
    </w:pPr>
    <w:rPr>
      <w:rFonts w:cstheme="minorHAnsi"/>
      <w:bdr w:val="single" w:sz="4" w:space="0" w:color="auto"/>
    </w:rPr>
  </w:style>
  <w:style w:type="character" w:customStyle="1" w:styleId="TillfalligTextChar">
    <w:name w:val="TillfalligText Char"/>
    <w:basedOn w:val="DefaultParagraphFont"/>
    <w:link w:val="TillfalligText"/>
    <w:rsid w:val="00660441"/>
    <w:rPr>
      <w:rFonts w:asciiTheme="minorHAnsi" w:hAnsiTheme="minorHAnsi" w:cstheme="minorHAnsi"/>
      <w:bdr w:val="single" w:sz="4" w:space="0" w:color="auto"/>
    </w:rPr>
  </w:style>
  <w:style w:type="paragraph" w:styleId="ListBullet">
    <w:name w:val="List Bullet"/>
    <w:basedOn w:val="Normal"/>
    <w:uiPriority w:val="99"/>
    <w:qFormat/>
    <w:rsid w:val="00660441"/>
    <w:pPr>
      <w:numPr>
        <w:numId w:val="4"/>
      </w:numPr>
      <w:contextualSpacing/>
    </w:pPr>
  </w:style>
  <w:style w:type="paragraph" w:styleId="ListNumber">
    <w:name w:val="List Number"/>
    <w:basedOn w:val="Normal"/>
    <w:uiPriority w:val="99"/>
    <w:qFormat/>
    <w:rsid w:val="00660441"/>
    <w:pPr>
      <w:numPr>
        <w:numId w:val="3"/>
      </w:numPr>
      <w:contextualSpacing/>
    </w:pPr>
  </w:style>
  <w:style w:type="paragraph" w:styleId="ListParagraph">
    <w:name w:val="List Paragraph"/>
    <w:basedOn w:val="Normal"/>
    <w:link w:val="ListParagraphChar"/>
    <w:uiPriority w:val="34"/>
    <w:qFormat/>
    <w:rsid w:val="00AB5E48"/>
    <w:pPr>
      <w:ind w:left="720"/>
      <w:contextualSpacing/>
    </w:pPr>
  </w:style>
  <w:style w:type="character" w:customStyle="1" w:styleId="st">
    <w:name w:val="st"/>
    <w:basedOn w:val="DefaultParagraphFont"/>
    <w:rsid w:val="00AB5E48"/>
  </w:style>
  <w:style w:type="paragraph" w:styleId="NormalWeb">
    <w:name w:val="Normal (Web)"/>
    <w:basedOn w:val="Normal"/>
    <w:uiPriority w:val="99"/>
    <w:semiHidden/>
    <w:unhideWhenUsed/>
    <w:rsid w:val="00AB5E48"/>
    <w:pPr>
      <w:spacing w:before="100" w:beforeAutospacing="1" w:after="100" w:afterAutospacing="1" w:line="240" w:lineRule="auto"/>
    </w:pPr>
    <w:rPr>
      <w:rFonts w:ascii="Times New Roman" w:eastAsia="Times New Roman" w:hAnsi="Times New Roman" w:cs="Times New Roman"/>
      <w:sz w:val="24"/>
      <w:szCs w:val="24"/>
    </w:rPr>
  </w:style>
  <w:style w:type="character" w:styleId="HTMLCode">
    <w:name w:val="HTML Code"/>
    <w:basedOn w:val="DefaultParagraphFont"/>
    <w:uiPriority w:val="99"/>
    <w:semiHidden/>
    <w:unhideWhenUsed/>
    <w:rsid w:val="00AB5E48"/>
    <w:rPr>
      <w:rFonts w:ascii="Courier New" w:eastAsia="Times New Roman" w:hAnsi="Courier New" w:cs="Courier New"/>
      <w:sz w:val="20"/>
      <w:szCs w:val="20"/>
    </w:rPr>
  </w:style>
  <w:style w:type="character" w:customStyle="1" w:styleId="citation">
    <w:name w:val="citation"/>
    <w:basedOn w:val="DefaultParagraphFont"/>
    <w:rsid w:val="00AB5E48"/>
  </w:style>
  <w:style w:type="character" w:customStyle="1" w:styleId="ListParagraphChar">
    <w:name w:val="List Paragraph Char"/>
    <w:basedOn w:val="DefaultParagraphFont"/>
    <w:link w:val="ListParagraph"/>
    <w:uiPriority w:val="34"/>
    <w:rsid w:val="00AB5E48"/>
    <w:rPr>
      <w:rFonts w:asciiTheme="minorHAnsi" w:hAnsiTheme="minorHAnsi"/>
    </w:rPr>
  </w:style>
  <w:style w:type="character" w:styleId="CommentReference">
    <w:name w:val="annotation reference"/>
    <w:basedOn w:val="DefaultParagraphFont"/>
    <w:uiPriority w:val="99"/>
    <w:semiHidden/>
    <w:unhideWhenUsed/>
    <w:rsid w:val="007710AE"/>
    <w:rPr>
      <w:sz w:val="16"/>
      <w:szCs w:val="16"/>
    </w:rPr>
  </w:style>
  <w:style w:type="paragraph" w:styleId="CommentText">
    <w:name w:val="annotation text"/>
    <w:basedOn w:val="Normal"/>
    <w:link w:val="CommentTextChar"/>
    <w:uiPriority w:val="99"/>
    <w:unhideWhenUsed/>
    <w:rsid w:val="007710AE"/>
    <w:pPr>
      <w:spacing w:line="240" w:lineRule="auto"/>
    </w:pPr>
    <w:rPr>
      <w:sz w:val="20"/>
      <w:szCs w:val="20"/>
    </w:rPr>
  </w:style>
  <w:style w:type="character" w:customStyle="1" w:styleId="CommentTextChar">
    <w:name w:val="Comment Text Char"/>
    <w:basedOn w:val="DefaultParagraphFont"/>
    <w:link w:val="CommentText"/>
    <w:uiPriority w:val="99"/>
    <w:rsid w:val="007710AE"/>
    <w:rPr>
      <w:rFonts w:asciiTheme="minorHAnsi" w:hAnsiTheme="minorHAnsi"/>
      <w:sz w:val="20"/>
      <w:szCs w:val="20"/>
    </w:rPr>
  </w:style>
  <w:style w:type="character" w:customStyle="1" w:styleId="title-text">
    <w:name w:val="title-text"/>
    <w:basedOn w:val="DefaultParagraphFont"/>
    <w:rsid w:val="007710AE"/>
  </w:style>
  <w:style w:type="character" w:customStyle="1" w:styleId="cite">
    <w:name w:val="cite"/>
    <w:basedOn w:val="DefaultParagraphFont"/>
    <w:rsid w:val="00396A47"/>
  </w:style>
  <w:style w:type="character" w:customStyle="1" w:styleId="author">
    <w:name w:val="author"/>
    <w:basedOn w:val="DefaultParagraphFont"/>
    <w:rsid w:val="008C16FF"/>
  </w:style>
  <w:style w:type="character" w:customStyle="1" w:styleId="articletitle">
    <w:name w:val="articletitle"/>
    <w:basedOn w:val="DefaultParagraphFont"/>
    <w:rsid w:val="008C16FF"/>
  </w:style>
  <w:style w:type="character" w:customStyle="1" w:styleId="pubyear">
    <w:name w:val="pubyear"/>
    <w:basedOn w:val="DefaultParagraphFont"/>
    <w:rsid w:val="008C16FF"/>
  </w:style>
  <w:style w:type="character" w:customStyle="1" w:styleId="vol">
    <w:name w:val="vol"/>
    <w:basedOn w:val="DefaultParagraphFont"/>
    <w:rsid w:val="008C16FF"/>
  </w:style>
  <w:style w:type="character" w:customStyle="1" w:styleId="pagefirst">
    <w:name w:val="pagefirst"/>
    <w:basedOn w:val="DefaultParagraphFont"/>
    <w:rsid w:val="008C16FF"/>
  </w:style>
  <w:style w:type="character" w:customStyle="1" w:styleId="pagelast">
    <w:name w:val="pagelast"/>
    <w:basedOn w:val="DefaultParagraphFont"/>
    <w:rsid w:val="008C16FF"/>
  </w:style>
  <w:style w:type="paragraph" w:styleId="Bibliography">
    <w:name w:val="Bibliography"/>
    <w:basedOn w:val="Normal"/>
    <w:next w:val="Normal"/>
    <w:uiPriority w:val="37"/>
    <w:unhideWhenUsed/>
    <w:rsid w:val="008D32A5"/>
    <w:pPr>
      <w:tabs>
        <w:tab w:val="left" w:pos="384"/>
      </w:tabs>
      <w:spacing w:after="240" w:line="240" w:lineRule="auto"/>
      <w:ind w:left="384" w:hanging="384"/>
    </w:pPr>
  </w:style>
  <w:style w:type="character" w:customStyle="1" w:styleId="orcid-id-https">
    <w:name w:val="orcid-id-https"/>
    <w:basedOn w:val="DefaultParagraphFont"/>
    <w:rsid w:val="00F573F5"/>
  </w:style>
  <w:style w:type="paragraph" w:styleId="CommentSubject">
    <w:name w:val="annotation subject"/>
    <w:basedOn w:val="CommentText"/>
    <w:next w:val="CommentText"/>
    <w:link w:val="CommentSubjectChar"/>
    <w:uiPriority w:val="99"/>
    <w:semiHidden/>
    <w:unhideWhenUsed/>
    <w:rsid w:val="00046C37"/>
    <w:rPr>
      <w:b/>
      <w:bCs/>
    </w:rPr>
  </w:style>
  <w:style w:type="character" w:customStyle="1" w:styleId="CommentSubjectChar">
    <w:name w:val="Comment Subject Char"/>
    <w:basedOn w:val="CommentTextChar"/>
    <w:link w:val="CommentSubject"/>
    <w:uiPriority w:val="99"/>
    <w:semiHidden/>
    <w:rsid w:val="00046C37"/>
    <w:rPr>
      <w:rFonts w:asciiTheme="minorHAnsi" w:hAnsiTheme="minorHAnsi"/>
      <w:b/>
      <w:bCs/>
      <w:sz w:val="20"/>
      <w:szCs w:val="20"/>
    </w:rPr>
  </w:style>
  <w:style w:type="paragraph" w:styleId="Revision">
    <w:name w:val="Revision"/>
    <w:hidden/>
    <w:uiPriority w:val="99"/>
    <w:semiHidden/>
    <w:rsid w:val="00806F8B"/>
    <w:pPr>
      <w:spacing w:after="0" w:line="240" w:lineRule="auto"/>
    </w:pPr>
    <w:rPr>
      <w:rFonts w:asciiTheme="minorHAnsi" w:hAnsiTheme="minorHAnsi"/>
    </w:rPr>
  </w:style>
  <w:style w:type="character" w:styleId="LineNumber">
    <w:name w:val="line number"/>
    <w:basedOn w:val="DefaultParagraphFont"/>
    <w:uiPriority w:val="99"/>
    <w:semiHidden/>
    <w:unhideWhenUsed/>
    <w:rsid w:val="00B601CC"/>
  </w:style>
</w:styles>
</file>

<file path=word/webSettings.xml><?xml version="1.0" encoding="utf-8"?>
<w:webSettings xmlns:r="http://schemas.openxmlformats.org/officeDocument/2006/relationships" xmlns:w="http://schemas.openxmlformats.org/wordprocessingml/2006/main">
  <w:divs>
    <w:div w:id="58603103">
      <w:bodyDiv w:val="1"/>
      <w:marLeft w:val="0"/>
      <w:marRight w:val="0"/>
      <w:marTop w:val="0"/>
      <w:marBottom w:val="0"/>
      <w:divBdr>
        <w:top w:val="none" w:sz="0" w:space="0" w:color="auto"/>
        <w:left w:val="none" w:sz="0" w:space="0" w:color="auto"/>
        <w:bottom w:val="none" w:sz="0" w:space="0" w:color="auto"/>
        <w:right w:val="none" w:sz="0" w:space="0" w:color="auto"/>
      </w:divBdr>
    </w:div>
    <w:div w:id="74013057">
      <w:bodyDiv w:val="1"/>
      <w:marLeft w:val="0"/>
      <w:marRight w:val="0"/>
      <w:marTop w:val="0"/>
      <w:marBottom w:val="0"/>
      <w:divBdr>
        <w:top w:val="none" w:sz="0" w:space="0" w:color="auto"/>
        <w:left w:val="none" w:sz="0" w:space="0" w:color="auto"/>
        <w:bottom w:val="none" w:sz="0" w:space="0" w:color="auto"/>
        <w:right w:val="none" w:sz="0" w:space="0" w:color="auto"/>
      </w:divBdr>
    </w:div>
    <w:div w:id="973410685">
      <w:bodyDiv w:val="1"/>
      <w:marLeft w:val="0"/>
      <w:marRight w:val="0"/>
      <w:marTop w:val="0"/>
      <w:marBottom w:val="0"/>
      <w:divBdr>
        <w:top w:val="none" w:sz="0" w:space="0" w:color="auto"/>
        <w:left w:val="none" w:sz="0" w:space="0" w:color="auto"/>
        <w:bottom w:val="none" w:sz="0" w:space="0" w:color="auto"/>
        <w:right w:val="none" w:sz="0" w:space="0" w:color="auto"/>
      </w:divBdr>
      <w:divsChild>
        <w:div w:id="1855419125">
          <w:marLeft w:val="0"/>
          <w:marRight w:val="0"/>
          <w:marTop w:val="0"/>
          <w:marBottom w:val="0"/>
          <w:divBdr>
            <w:top w:val="none" w:sz="0" w:space="0" w:color="auto"/>
            <w:left w:val="none" w:sz="0" w:space="0" w:color="auto"/>
            <w:bottom w:val="none" w:sz="0" w:space="0" w:color="auto"/>
            <w:right w:val="none" w:sz="0" w:space="0" w:color="auto"/>
          </w:divBdr>
        </w:div>
      </w:divsChild>
    </w:div>
    <w:div w:id="1109622187">
      <w:bodyDiv w:val="1"/>
      <w:marLeft w:val="0"/>
      <w:marRight w:val="0"/>
      <w:marTop w:val="0"/>
      <w:marBottom w:val="0"/>
      <w:divBdr>
        <w:top w:val="none" w:sz="0" w:space="0" w:color="auto"/>
        <w:left w:val="none" w:sz="0" w:space="0" w:color="auto"/>
        <w:bottom w:val="none" w:sz="0" w:space="0" w:color="auto"/>
        <w:right w:val="none" w:sz="0" w:space="0" w:color="auto"/>
      </w:divBdr>
    </w:div>
    <w:div w:id="1202859414">
      <w:bodyDiv w:val="1"/>
      <w:marLeft w:val="0"/>
      <w:marRight w:val="0"/>
      <w:marTop w:val="0"/>
      <w:marBottom w:val="0"/>
      <w:divBdr>
        <w:top w:val="none" w:sz="0" w:space="0" w:color="auto"/>
        <w:left w:val="none" w:sz="0" w:space="0" w:color="auto"/>
        <w:bottom w:val="none" w:sz="0" w:space="0" w:color="auto"/>
        <w:right w:val="none" w:sz="0" w:space="0" w:color="auto"/>
      </w:divBdr>
      <w:divsChild>
        <w:div w:id="147016764">
          <w:marLeft w:val="0"/>
          <w:marRight w:val="0"/>
          <w:marTop w:val="0"/>
          <w:marBottom w:val="0"/>
          <w:divBdr>
            <w:top w:val="none" w:sz="0" w:space="0" w:color="auto"/>
            <w:left w:val="none" w:sz="0" w:space="0" w:color="auto"/>
            <w:bottom w:val="none" w:sz="0" w:space="0" w:color="auto"/>
            <w:right w:val="none" w:sz="0" w:space="0" w:color="auto"/>
          </w:divBdr>
        </w:div>
      </w:divsChild>
    </w:div>
    <w:div w:id="1350520640">
      <w:bodyDiv w:val="1"/>
      <w:marLeft w:val="0"/>
      <w:marRight w:val="0"/>
      <w:marTop w:val="0"/>
      <w:marBottom w:val="0"/>
      <w:divBdr>
        <w:top w:val="none" w:sz="0" w:space="0" w:color="auto"/>
        <w:left w:val="none" w:sz="0" w:space="0" w:color="auto"/>
        <w:bottom w:val="none" w:sz="0" w:space="0" w:color="auto"/>
        <w:right w:val="none" w:sz="0" w:space="0" w:color="auto"/>
      </w:divBdr>
    </w:div>
    <w:div w:id="1420449817">
      <w:bodyDiv w:val="1"/>
      <w:marLeft w:val="0"/>
      <w:marRight w:val="0"/>
      <w:marTop w:val="0"/>
      <w:marBottom w:val="0"/>
      <w:divBdr>
        <w:top w:val="none" w:sz="0" w:space="0" w:color="auto"/>
        <w:left w:val="none" w:sz="0" w:space="0" w:color="auto"/>
        <w:bottom w:val="none" w:sz="0" w:space="0" w:color="auto"/>
        <w:right w:val="none" w:sz="0" w:space="0" w:color="auto"/>
      </w:divBdr>
      <w:divsChild>
        <w:div w:id="979920995">
          <w:marLeft w:val="0"/>
          <w:marRight w:val="0"/>
          <w:marTop w:val="0"/>
          <w:marBottom w:val="0"/>
          <w:divBdr>
            <w:top w:val="none" w:sz="0" w:space="0" w:color="auto"/>
            <w:left w:val="none" w:sz="0" w:space="0" w:color="auto"/>
            <w:bottom w:val="dotted" w:sz="24" w:space="1" w:color="auto"/>
            <w:right w:val="none" w:sz="0" w:space="0" w:color="auto"/>
          </w:divBdr>
        </w:div>
      </w:divsChild>
    </w:div>
    <w:div w:id="1702627031">
      <w:bodyDiv w:val="1"/>
      <w:marLeft w:val="0"/>
      <w:marRight w:val="0"/>
      <w:marTop w:val="0"/>
      <w:marBottom w:val="0"/>
      <w:divBdr>
        <w:top w:val="none" w:sz="0" w:space="0" w:color="auto"/>
        <w:left w:val="none" w:sz="0" w:space="0" w:color="auto"/>
        <w:bottom w:val="none" w:sz="0" w:space="0" w:color="auto"/>
        <w:right w:val="none" w:sz="0" w:space="0" w:color="auto"/>
      </w:divBdr>
    </w:div>
    <w:div w:id="1803500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tiff"/><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SLU Färger">
      <a:dk1>
        <a:srgbClr val="000000"/>
      </a:dk1>
      <a:lt1>
        <a:sysClr val="window" lastClr="FFFFFF"/>
      </a:lt1>
      <a:dk2>
        <a:srgbClr val="000000"/>
      </a:dk2>
      <a:lt2>
        <a:srgbClr val="A5A5A5"/>
      </a:lt2>
      <a:accent1>
        <a:srgbClr val="000000"/>
      </a:accent1>
      <a:accent2>
        <a:srgbClr val="D28E00"/>
      </a:accent2>
      <a:accent3>
        <a:srgbClr val="9961C3"/>
      </a:accent3>
      <a:accent4>
        <a:srgbClr val="80BFD3"/>
      </a:accent4>
      <a:accent5>
        <a:srgbClr val="DAD666"/>
      </a:accent5>
      <a:accent6>
        <a:srgbClr val="616265"/>
      </a:accent6>
      <a:hlink>
        <a:srgbClr val="000000"/>
      </a:hlink>
      <a:folHlink>
        <a:srgbClr val="000000"/>
      </a:folHlink>
    </a:clrScheme>
    <a:fontScheme name="SLU2011">
      <a:majorFont>
        <a:latin typeface="Arial"/>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documentManagement/>
</p:properties>
</file>

<file path=customXml/item3.xml><?xml version="1.0" encoding="utf-8"?>
<tns:customPropertyEditors xmlns:tns="http://schemas.microsoft.com/office/2006/customDocumentInformationPanel">
  <tns:showOnOpen>false</tns:showOnOpen>
  <tns:defaultPropertyEditorNamespace>Standardegenskaper och egenskaper för SharePoint-bibliotek</tns:defaultPropertyEditorNamespace>
</tns:customPropertyEditor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ct:contentTypeSchema xmlns:ct="http://schemas.microsoft.com/office/2006/metadata/contentType" xmlns:ma="http://schemas.microsoft.com/office/2006/metadata/properties/metaAttributes" ct:_="" ma:_="" ma:contentTypeName="Dokument" ma:contentTypeID="0x01010082F6CF5AC4B69D4CA4913C8C7806130C" ma:contentTypeVersion="0" ma:contentTypeDescription="Skapa ett nytt dokument." ma:contentTypeScope="" ma:versionID="99a8c06d041fe489a0ac81dc45f84c12">
  <xsd:schema xmlns:xsd="http://www.w3.org/2001/XMLSchema" xmlns:xs="http://www.w3.org/2001/XMLSchema" xmlns:p="http://schemas.microsoft.com/office/2006/metadata/properties" targetNamespace="http://schemas.microsoft.com/office/2006/metadata/properties" ma:root="true" ma:fieldsID="988ddc45a2a1ba233d786d3fa5db79ea">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6208C63-3BA0-4E10-999A-5A1631CE23E7}">
  <ds:schemaRefs>
    <ds:schemaRef ds:uri="http://schemas.microsoft.com/sharepoint/v3/contenttype/forms"/>
  </ds:schemaRefs>
</ds:datastoreItem>
</file>

<file path=customXml/itemProps2.xml><?xml version="1.0" encoding="utf-8"?>
<ds:datastoreItem xmlns:ds="http://schemas.openxmlformats.org/officeDocument/2006/customXml" ds:itemID="{14B571DE-9FEF-443E-BFEF-8D8A10FF54E4}">
  <ds:schemaRefs>
    <ds:schemaRef ds:uri="http://schemas.microsoft.com/office/2006/metadata/properties"/>
  </ds:schemaRefs>
</ds:datastoreItem>
</file>

<file path=customXml/itemProps3.xml><?xml version="1.0" encoding="utf-8"?>
<ds:datastoreItem xmlns:ds="http://schemas.openxmlformats.org/officeDocument/2006/customXml" ds:itemID="{6DA9EF7A-CCE7-4AF5-BA3C-73D4204EBDDA}">
  <ds:schemaRefs>
    <ds:schemaRef ds:uri="http://schemas.microsoft.com/office/2006/customDocumentInformationPanel"/>
  </ds:schemaRefs>
</ds:datastoreItem>
</file>

<file path=customXml/itemProps4.xml><?xml version="1.0" encoding="utf-8"?>
<ds:datastoreItem xmlns:ds="http://schemas.openxmlformats.org/officeDocument/2006/customXml" ds:itemID="{987C936D-2934-4B94-923E-FA4D22AE026F}">
  <ds:schemaRefs>
    <ds:schemaRef ds:uri="http://schemas.openxmlformats.org/officeDocument/2006/bibliography"/>
  </ds:schemaRefs>
</ds:datastoreItem>
</file>

<file path=customXml/itemProps5.xml><?xml version="1.0" encoding="utf-8"?>
<ds:datastoreItem xmlns:ds="http://schemas.openxmlformats.org/officeDocument/2006/customXml" ds:itemID="{9E139D32-C100-407F-ABC8-6BC7DACBCB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9</Pages>
  <Words>2787</Words>
  <Characters>16169</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SLU</Company>
  <LinksUpToDate>false</LinksUpToDate>
  <CharactersWithSpaces>18919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Mikhail Ozerov</dc:creator>
  <cp:keywords/>
  <dc:description/>
  <cp:lastModifiedBy>Kristina Noreikiene</cp:lastModifiedBy>
  <cp:revision>9</cp:revision>
  <cp:lastPrinted>2012-03-26T17:07:00Z</cp:lastPrinted>
  <dcterms:created xsi:type="dcterms:W3CDTF">2020-05-12T08:15:00Z</dcterms:created>
  <dcterms:modified xsi:type="dcterms:W3CDTF">2020-05-25T13:59:00Z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zotero-version="5.0.77"&gt;&lt;session id="dVKIHHod"/&gt;&lt;style id="http://www.zotero.org/styles/proceedings-of-the-royal-society-b" hasBibliography="1" bibliographyStyleHasBeenSet="1"/&gt;&lt;prefs&gt;&lt;pref name="fieldType" value="Field"/&gt;&lt;pref name</vt:lpwstr>
  </property>
  <property fmtid="{D5CDD505-2E9C-101B-9397-08002B2CF9AE}" pid="3" name="ZOTERO_PREF_2">
    <vt:lpwstr>="automaticJournalAbbreviations" value="true"/&gt;&lt;/prefs&gt;&lt;/data&gt;</vt:lpwstr>
  </property>
</Properties>
</file>