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4E7" w:rsidRDefault="000544E7" w:rsidP="000110C8">
      <w:pPr>
        <w:jc w:val="center"/>
        <w:rPr>
          <w:rFonts w:cstheme="minorHAnsi"/>
          <w:b/>
          <w:bCs/>
          <w:sz w:val="28"/>
          <w:szCs w:val="28"/>
        </w:rPr>
      </w:pPr>
    </w:p>
    <w:p w:rsidR="000544E7" w:rsidRDefault="000544E7" w:rsidP="000110C8">
      <w:pPr>
        <w:jc w:val="center"/>
        <w:rPr>
          <w:rFonts w:cstheme="minorHAnsi"/>
          <w:b/>
          <w:bCs/>
          <w:sz w:val="28"/>
          <w:szCs w:val="28"/>
        </w:rPr>
      </w:pPr>
    </w:p>
    <w:p w:rsidR="000544E7" w:rsidRDefault="000544E7" w:rsidP="000110C8">
      <w:pPr>
        <w:jc w:val="center"/>
        <w:rPr>
          <w:rFonts w:cstheme="minorHAnsi"/>
          <w:b/>
          <w:bCs/>
          <w:sz w:val="28"/>
          <w:szCs w:val="28"/>
        </w:rPr>
      </w:pPr>
    </w:p>
    <w:p w:rsidR="000544E7" w:rsidRDefault="000544E7" w:rsidP="000110C8">
      <w:pPr>
        <w:jc w:val="center"/>
        <w:rPr>
          <w:rFonts w:cstheme="minorHAnsi"/>
          <w:b/>
          <w:bCs/>
          <w:sz w:val="28"/>
          <w:szCs w:val="28"/>
        </w:rPr>
      </w:pPr>
    </w:p>
    <w:p w:rsidR="000110C8" w:rsidRPr="00712CA4" w:rsidRDefault="000110C8" w:rsidP="000110C8">
      <w:pPr>
        <w:jc w:val="center"/>
        <w:rPr>
          <w:rFonts w:cstheme="minorHAnsi"/>
          <w:b/>
          <w:bCs/>
          <w:sz w:val="28"/>
          <w:szCs w:val="28"/>
        </w:rPr>
      </w:pPr>
      <w:r w:rsidRPr="00712CA4">
        <w:rPr>
          <w:rFonts w:cstheme="minorHAnsi"/>
          <w:b/>
          <w:bCs/>
          <w:sz w:val="28"/>
          <w:szCs w:val="28"/>
        </w:rPr>
        <w:t xml:space="preserve">Early and long-term antibody kinetics of </w:t>
      </w:r>
      <w:r w:rsidRPr="000F5BC4">
        <w:rPr>
          <w:rFonts w:cstheme="minorHAnsi"/>
          <w:b/>
          <w:bCs/>
          <w:sz w:val="28"/>
          <w:szCs w:val="28"/>
        </w:rPr>
        <w:t xml:space="preserve">asymptomatic and mild disease </w:t>
      </w:r>
      <w:r w:rsidRPr="00712CA4">
        <w:rPr>
          <w:rFonts w:cstheme="minorHAnsi"/>
          <w:b/>
          <w:bCs/>
          <w:sz w:val="28"/>
          <w:szCs w:val="28"/>
        </w:rPr>
        <w:t xml:space="preserve">COVID-19 patients </w:t>
      </w:r>
    </w:p>
    <w:p w:rsidR="000110C8" w:rsidRPr="00712CA4" w:rsidRDefault="000110C8" w:rsidP="000110C8">
      <w:pPr>
        <w:rPr>
          <w:rFonts w:cstheme="minorHAnsi"/>
          <w:sz w:val="24"/>
          <w:szCs w:val="24"/>
        </w:rPr>
      </w:pPr>
    </w:p>
    <w:p w:rsidR="00F8420B" w:rsidRDefault="00F8420B" w:rsidP="00053625"/>
    <w:p w:rsidR="00BC3486" w:rsidRPr="00BC3486" w:rsidRDefault="00BC3486" w:rsidP="000110C8">
      <w:pPr>
        <w:jc w:val="center"/>
        <w:rPr>
          <w:rFonts w:cstheme="minorHAnsi"/>
          <w:b/>
          <w:bCs/>
          <w:sz w:val="44"/>
          <w:szCs w:val="44"/>
        </w:rPr>
      </w:pPr>
      <w:bookmarkStart w:id="0" w:name="_GoBack"/>
      <w:bookmarkEnd w:id="0"/>
      <w:r w:rsidRPr="00BC3486">
        <w:rPr>
          <w:b/>
          <w:bCs/>
          <w:sz w:val="36"/>
          <w:szCs w:val="36"/>
        </w:rPr>
        <w:t>Supplementary information</w:t>
      </w:r>
    </w:p>
    <w:p w:rsidR="001002D5" w:rsidRDefault="001002D5" w:rsidP="00043F72">
      <w:pPr>
        <w:tabs>
          <w:tab w:val="left" w:pos="426"/>
        </w:tabs>
        <w:ind w:hanging="142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br w:type="page"/>
      </w:r>
    </w:p>
    <w:p w:rsidR="001002D5" w:rsidRPr="00372832" w:rsidRDefault="005359D5" w:rsidP="000F5074">
      <w:pPr>
        <w:pStyle w:val="2"/>
      </w:pPr>
      <w:bookmarkStart w:id="1" w:name="_Toc65135288"/>
      <w:r>
        <w:lastRenderedPageBreak/>
        <w:t xml:space="preserve">Supplementary Table </w:t>
      </w:r>
      <w:r w:rsidR="001002D5" w:rsidRPr="00372832">
        <w:t xml:space="preserve">1: </w:t>
      </w:r>
      <w:r w:rsidR="001002D5" w:rsidRPr="000F5074">
        <w:t>Patients’</w:t>
      </w:r>
      <w:r w:rsidR="001002D5" w:rsidRPr="00372832">
        <w:t xml:space="preserve"> risk factors and symptoms by cluster</w:t>
      </w:r>
      <w:bookmarkEnd w:id="1"/>
    </w:p>
    <w:tbl>
      <w:tblPr>
        <w:tblStyle w:val="21"/>
        <w:tblW w:w="7513" w:type="dxa"/>
        <w:tblLook w:val="04A0" w:firstRow="1" w:lastRow="0" w:firstColumn="1" w:lastColumn="0" w:noHBand="0" w:noVBand="1"/>
      </w:tblPr>
      <w:tblGrid>
        <w:gridCol w:w="3408"/>
        <w:gridCol w:w="1554"/>
        <w:gridCol w:w="1417"/>
        <w:gridCol w:w="1134"/>
      </w:tblGrid>
      <w:tr w:rsidR="001002D5" w:rsidRPr="00712CA4" w:rsidTr="007F49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554" w:type="dxa"/>
            <w:noWrap/>
            <w:hideMark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CLUSTER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712CA4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CLUSTER</w:t>
            </w:r>
            <w:r>
              <w:rPr>
                <w:rFonts w:eastAsia="Times New Roman" w:cstheme="minorHAnsi"/>
                <w:color w:val="000000"/>
              </w:rPr>
              <w:t xml:space="preserve"> </w:t>
            </w:r>
            <w:r w:rsidRPr="00712CA4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1134" w:type="dxa"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P-Value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53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65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Women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28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31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0.583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Cancer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0.493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Diabetes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6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0.320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Hypertension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0.799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Heart disease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0.823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Immune deficiency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0.823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Asthma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6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0.095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Chronic lung disease (non-asthma)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Chronic liver disease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Chronic kidney disease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0.885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Hematologic disease</w:t>
            </w:r>
            <w:r>
              <w:rPr>
                <w:rFonts w:eastAsia="Times New Roman" w:cstheme="minorHAnsi"/>
                <w:color w:val="000000"/>
              </w:rPr>
              <w:t>/</w:t>
            </w:r>
            <w:r w:rsidRPr="00712CA4">
              <w:rPr>
                <w:rFonts w:eastAsia="Times New Roman" w:cstheme="minorHAnsi"/>
                <w:color w:val="000000"/>
              </w:rPr>
              <w:t xml:space="preserve">disorder  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Chronic neurological impairment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0.420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Organ or bone marrow recipient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0.799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Smoking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0.131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BMI&gt;30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0.502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AGE&gt;60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b/>
                <w:bCs/>
                <w:color w:val="000000"/>
              </w:rPr>
              <w:t>0.018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Fever ≥ 38˚c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39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7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&lt; 0.00</w:t>
            </w:r>
            <w:r w:rsidRPr="00712CA4">
              <w:rPr>
                <w:rFonts w:cstheme="minorHAnsi"/>
                <w:b/>
                <w:bCs/>
                <w:color w:val="000000"/>
              </w:rPr>
              <w:t>1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Dry cough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46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&lt; 0.00</w:t>
            </w:r>
            <w:r w:rsidRPr="00712CA4">
              <w:rPr>
                <w:rFonts w:cstheme="minorHAnsi"/>
                <w:b/>
                <w:bCs/>
                <w:color w:val="000000"/>
              </w:rPr>
              <w:t>1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Sore throat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17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0.631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Runny nose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14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0.086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Shortness of breath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8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0.139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Abdominal pain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8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0.139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 xml:space="preserve">Headache 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&lt; 0.00</w:t>
            </w:r>
            <w:r w:rsidRPr="00712CA4">
              <w:rPr>
                <w:rFonts w:cstheme="minorHAnsi"/>
                <w:b/>
                <w:bCs/>
                <w:color w:val="000000"/>
              </w:rPr>
              <w:t>1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Problem in smell sensation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0.112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Problem in taste sensation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0.318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Chills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6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&lt; 0.00</w:t>
            </w:r>
            <w:r w:rsidRPr="00712CA4">
              <w:rPr>
                <w:rFonts w:cstheme="minorHAnsi"/>
                <w:b/>
                <w:bCs/>
                <w:color w:val="000000"/>
              </w:rPr>
              <w:t>1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Vomiting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6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0.525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Nausea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8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b/>
                <w:bCs/>
                <w:color w:val="000000"/>
              </w:rPr>
              <w:t>0.002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Diarrhea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7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0.136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Rash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5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0.508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Conjunctivitis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8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8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0.663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Muscle aches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29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18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b/>
                <w:bCs/>
                <w:color w:val="000000"/>
              </w:rPr>
              <w:t>0.003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Joint ache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7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0.001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Loss of appetite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20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b/>
                <w:bCs/>
                <w:color w:val="000000"/>
              </w:rPr>
              <w:t>0.005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Nose bleed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0.427</w:t>
            </w: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Fatigue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37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>&lt; 0.00</w:t>
            </w:r>
            <w:r w:rsidRPr="00712CA4">
              <w:rPr>
                <w:rFonts w:cstheme="minorHAnsi"/>
                <w:b/>
                <w:bCs/>
                <w:color w:val="000000"/>
              </w:rPr>
              <w:t>1</w:t>
            </w:r>
          </w:p>
        </w:tc>
      </w:tr>
      <w:tr w:rsidR="001002D5" w:rsidRPr="00712CA4" w:rsidTr="007F497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Seizures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</w:tr>
      <w:tr w:rsidR="001002D5" w:rsidRPr="00712CA4" w:rsidTr="007F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8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Altered consciousness</w:t>
            </w:r>
          </w:p>
        </w:tc>
        <w:tc>
          <w:tcPr>
            <w:tcW w:w="1554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4</w:t>
            </w:r>
          </w:p>
        </w:tc>
        <w:tc>
          <w:tcPr>
            <w:tcW w:w="1134" w:type="dxa"/>
            <w:vAlign w:val="bottom"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cstheme="minorHAnsi"/>
                <w:color w:val="000000"/>
              </w:rPr>
              <w:t>0.911</w:t>
            </w:r>
          </w:p>
        </w:tc>
      </w:tr>
    </w:tbl>
    <w:p w:rsidR="001002D5" w:rsidRPr="00712CA4" w:rsidRDefault="001002D5" w:rsidP="001002D5">
      <w:pPr>
        <w:spacing w:line="480" w:lineRule="auto"/>
        <w:jc w:val="both"/>
        <w:rPr>
          <w:rFonts w:cstheme="minorHAnsi"/>
          <w:sz w:val="24"/>
          <w:szCs w:val="24"/>
        </w:rPr>
      </w:pPr>
    </w:p>
    <w:p w:rsidR="005359D5" w:rsidRDefault="005359D5">
      <w:pPr>
        <w:rPr>
          <w:rFonts w:eastAsiaTheme="majorEastAsia" w:cstheme="minorHAnsi"/>
          <w:b/>
          <w:bCs/>
        </w:rPr>
      </w:pPr>
      <w:bookmarkStart w:id="2" w:name="_Toc65135289"/>
      <w:r>
        <w:br w:type="page"/>
      </w:r>
    </w:p>
    <w:p w:rsidR="001002D5" w:rsidRPr="00560882" w:rsidRDefault="005359D5" w:rsidP="000F5074">
      <w:pPr>
        <w:pStyle w:val="2"/>
      </w:pPr>
      <w:r>
        <w:t xml:space="preserve">Supplementary </w:t>
      </w:r>
      <w:r>
        <w:t xml:space="preserve">Table </w:t>
      </w:r>
      <w:r w:rsidR="001002D5" w:rsidRPr="00560882">
        <w:t>2: Statistical results of the DT model performance</w:t>
      </w:r>
      <w:bookmarkEnd w:id="2"/>
    </w:p>
    <w:tbl>
      <w:tblPr>
        <w:tblStyle w:val="21"/>
        <w:tblW w:w="7797" w:type="dxa"/>
        <w:tblLayout w:type="fixed"/>
        <w:tblLook w:val="04A0" w:firstRow="1" w:lastRow="0" w:firstColumn="1" w:lastColumn="0" w:noHBand="0" w:noVBand="1"/>
      </w:tblPr>
      <w:tblGrid>
        <w:gridCol w:w="2440"/>
        <w:gridCol w:w="1785"/>
        <w:gridCol w:w="1786"/>
        <w:gridCol w:w="1786"/>
      </w:tblGrid>
      <w:tr w:rsidR="001002D5" w:rsidRPr="00712CA4" w:rsidTr="005673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Infection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Inflammation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Recovery</w:t>
            </w:r>
          </w:p>
        </w:tc>
      </w:tr>
      <w:tr w:rsidR="001002D5" w:rsidRPr="00712CA4" w:rsidTr="00567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n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91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266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641</w:t>
            </w:r>
          </w:p>
        </w:tc>
      </w:tr>
      <w:tr w:rsidR="001002D5" w:rsidRPr="00712CA4" w:rsidTr="005673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TP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67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187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551</w:t>
            </w:r>
          </w:p>
        </w:tc>
      </w:tr>
      <w:tr w:rsidR="001002D5" w:rsidRPr="00712CA4" w:rsidTr="00567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TN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905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627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271</w:t>
            </w:r>
          </w:p>
        </w:tc>
      </w:tr>
      <w:tr w:rsidR="001002D5" w:rsidRPr="00712CA4" w:rsidTr="005673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FP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105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86</w:t>
            </w:r>
          </w:p>
        </w:tc>
      </w:tr>
      <w:tr w:rsidR="001002D5" w:rsidRPr="00712CA4" w:rsidTr="00567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FN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24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79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90</w:t>
            </w:r>
          </w:p>
        </w:tc>
      </w:tr>
      <w:tr w:rsidR="001002D5" w:rsidRPr="00712CA4" w:rsidTr="005673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Precision %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97.1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64.0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86.5</w:t>
            </w:r>
          </w:p>
        </w:tc>
      </w:tr>
      <w:tr w:rsidR="001002D5" w:rsidRPr="00712CA4" w:rsidTr="00567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Sensitivity (Recall) %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73.6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70.3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86.0</w:t>
            </w:r>
          </w:p>
        </w:tc>
      </w:tr>
      <w:tr w:rsidR="001002D5" w:rsidRPr="00712CA4" w:rsidTr="005673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Specificity %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99.8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85.7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75.9</w:t>
            </w:r>
          </w:p>
        </w:tc>
      </w:tr>
      <w:tr w:rsidR="001002D5" w:rsidRPr="00712CA4" w:rsidTr="00567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:rsidR="001002D5" w:rsidRPr="00712CA4" w:rsidRDefault="001002D5" w:rsidP="00567326">
            <w:pPr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 xml:space="preserve">AUC </w:t>
            </w:r>
          </w:p>
        </w:tc>
        <w:tc>
          <w:tcPr>
            <w:tcW w:w="1785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0.96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0.88</w:t>
            </w:r>
          </w:p>
        </w:tc>
        <w:tc>
          <w:tcPr>
            <w:tcW w:w="1786" w:type="dxa"/>
            <w:noWrap/>
            <w:hideMark/>
          </w:tcPr>
          <w:p w:rsidR="001002D5" w:rsidRPr="00712CA4" w:rsidRDefault="001002D5" w:rsidP="0056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712CA4">
              <w:rPr>
                <w:rFonts w:eastAsia="Times New Roman" w:cstheme="minorHAnsi"/>
                <w:color w:val="000000"/>
              </w:rPr>
              <w:t>0.91</w:t>
            </w:r>
          </w:p>
        </w:tc>
      </w:tr>
    </w:tbl>
    <w:p w:rsidR="001002D5" w:rsidRPr="00712CA4" w:rsidRDefault="001002D5" w:rsidP="001002D5">
      <w:pPr>
        <w:spacing w:after="0" w:line="240" w:lineRule="auto"/>
        <w:jc w:val="both"/>
        <w:rPr>
          <w:rFonts w:cstheme="minorHAnsi"/>
        </w:rPr>
      </w:pPr>
      <w:r w:rsidRPr="00712CA4">
        <w:rPr>
          <w:rFonts w:cstheme="minorHAnsi"/>
        </w:rPr>
        <w:t xml:space="preserve">Precision = (TP)/ (TP+FP), Sensitivity = (TP)/ (TP+FN), Specificity = (TN)/ (TN+FP) where </w:t>
      </w:r>
    </w:p>
    <w:p w:rsidR="001002D5" w:rsidRPr="00712CA4" w:rsidRDefault="001002D5" w:rsidP="001002D5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2CA4">
        <w:rPr>
          <w:rFonts w:cstheme="minorHAnsi"/>
        </w:rPr>
        <w:t xml:space="preserve">TP, </w:t>
      </w:r>
      <w:r>
        <w:rPr>
          <w:rFonts w:cstheme="minorHAnsi"/>
        </w:rPr>
        <w:t>t</w:t>
      </w:r>
      <w:r w:rsidRPr="00712CA4">
        <w:rPr>
          <w:rFonts w:cstheme="minorHAnsi"/>
        </w:rPr>
        <w:t xml:space="preserve">rue positive, TN, </w:t>
      </w:r>
      <w:r>
        <w:rPr>
          <w:rFonts w:cstheme="minorHAnsi"/>
        </w:rPr>
        <w:t>t</w:t>
      </w:r>
      <w:r w:rsidRPr="00712CA4">
        <w:rPr>
          <w:rFonts w:cstheme="minorHAnsi"/>
        </w:rPr>
        <w:t xml:space="preserve">rue negative, FP, </w:t>
      </w:r>
      <w:r>
        <w:rPr>
          <w:rFonts w:cstheme="minorHAnsi"/>
        </w:rPr>
        <w:t>f</w:t>
      </w:r>
      <w:r w:rsidRPr="00712CA4">
        <w:rPr>
          <w:rFonts w:cstheme="minorHAnsi"/>
        </w:rPr>
        <w:t xml:space="preserve">alse positive, and FN, </w:t>
      </w:r>
      <w:r>
        <w:rPr>
          <w:rFonts w:cstheme="minorHAnsi"/>
        </w:rPr>
        <w:t>f</w:t>
      </w:r>
      <w:r w:rsidRPr="00712CA4">
        <w:rPr>
          <w:rFonts w:cstheme="minorHAnsi"/>
        </w:rPr>
        <w:t>alse negative</w:t>
      </w:r>
    </w:p>
    <w:p w:rsidR="001002D5" w:rsidRDefault="001002D5" w:rsidP="001002D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="00560882" w:rsidRDefault="00560882" w:rsidP="001002D5">
      <w:pPr>
        <w:spacing w:line="480" w:lineRule="auto"/>
        <w:jc w:val="both"/>
        <w:rPr>
          <w:rFonts w:cstheme="minorHAnsi"/>
          <w:sz w:val="24"/>
          <w:szCs w:val="24"/>
        </w:rPr>
      </w:pPr>
    </w:p>
    <w:p w:rsidR="001002D5" w:rsidRDefault="001002D5" w:rsidP="001002D5">
      <w:pPr>
        <w:spacing w:line="480" w:lineRule="auto"/>
        <w:jc w:val="both"/>
        <w:rPr>
          <w:rFonts w:cstheme="minorHAnsi"/>
          <w:sz w:val="24"/>
          <w:szCs w:val="24"/>
        </w:rPr>
      </w:pPr>
      <w:r w:rsidRPr="00165D60">
        <w:rPr>
          <w:rFonts w:cstheme="minorHAnsi"/>
          <w:noProof/>
          <w:sz w:val="24"/>
          <w:szCs w:val="24"/>
        </w:rPr>
        <w:drawing>
          <wp:inline distT="0" distB="0" distL="0" distR="0" wp14:anchorId="59291962" wp14:editId="18BFBC7D">
            <wp:extent cx="5400000" cy="4543612"/>
            <wp:effectExtent l="0" t="0" r="0" b="0"/>
            <wp:docPr id="5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תמונה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543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2D5" w:rsidRPr="00EF7925" w:rsidRDefault="005359D5" w:rsidP="001002D5">
      <w:pPr>
        <w:spacing w:line="240" w:lineRule="auto"/>
        <w:jc w:val="both"/>
        <w:rPr>
          <w:rFonts w:cstheme="minorHAnsi"/>
        </w:rPr>
      </w:pPr>
      <w:bookmarkStart w:id="3" w:name="_Toc65135291"/>
      <w:r w:rsidRPr="005359D5">
        <w:rPr>
          <w:rStyle w:val="20"/>
        </w:rPr>
        <w:t xml:space="preserve">Supplementary </w:t>
      </w:r>
      <w:r>
        <w:rPr>
          <w:rStyle w:val="20"/>
        </w:rPr>
        <w:t xml:space="preserve">Fig. </w:t>
      </w:r>
      <w:r w:rsidR="001002D5" w:rsidRPr="000F5074">
        <w:rPr>
          <w:rStyle w:val="20"/>
        </w:rPr>
        <w:t>1: Mild symptoms cohort classification results</w:t>
      </w:r>
      <w:bookmarkEnd w:id="3"/>
      <w:r w:rsidR="001002D5" w:rsidRPr="00EF7925">
        <w:rPr>
          <w:rFonts w:cstheme="minorHAnsi"/>
        </w:rPr>
        <w:t>: t-</w:t>
      </w:r>
      <w:r w:rsidR="001002D5">
        <w:rPr>
          <w:rFonts w:cstheme="minorHAnsi"/>
        </w:rPr>
        <w:t>s</w:t>
      </w:r>
      <w:r w:rsidR="001002D5" w:rsidRPr="00EF7925">
        <w:rPr>
          <w:rFonts w:cstheme="minorHAnsi"/>
        </w:rPr>
        <w:t xml:space="preserve">tochastic </w:t>
      </w:r>
      <w:r w:rsidR="001002D5">
        <w:rPr>
          <w:rFonts w:cstheme="minorHAnsi"/>
        </w:rPr>
        <w:t>n</w:t>
      </w:r>
      <w:r w:rsidR="001002D5" w:rsidRPr="00EF7925">
        <w:rPr>
          <w:rFonts w:cstheme="minorHAnsi"/>
        </w:rPr>
        <w:t xml:space="preserve">eighbor </w:t>
      </w:r>
      <w:r w:rsidR="001002D5">
        <w:rPr>
          <w:rFonts w:cstheme="minorHAnsi"/>
        </w:rPr>
        <w:t>e</w:t>
      </w:r>
      <w:r w:rsidR="001002D5" w:rsidRPr="00EF7925">
        <w:rPr>
          <w:rFonts w:cstheme="minorHAnsi"/>
        </w:rPr>
        <w:t xml:space="preserve">mbedding (t-SNE) plot based on HAMMIG distance metrics in data transformation binary results (N=118). </w:t>
      </w:r>
    </w:p>
    <w:p w:rsidR="001002D5" w:rsidRPr="009737F7" w:rsidRDefault="001002D5" w:rsidP="009737F7">
      <w:pPr>
        <w:rPr>
          <w:rFonts w:cstheme="minorHAnsi"/>
          <w:sz w:val="24"/>
          <w:szCs w:val="24"/>
        </w:rPr>
      </w:pPr>
      <w:r w:rsidRPr="00ED10AB">
        <w:rPr>
          <w:rFonts w:cstheme="minorHAnsi"/>
        </w:rPr>
        <w:t xml:space="preserve"> </w:t>
      </w:r>
    </w:p>
    <w:p w:rsidR="001002D5" w:rsidRDefault="001002D5" w:rsidP="001002D5">
      <w:pPr>
        <w:spacing w:line="240" w:lineRule="auto"/>
        <w:rPr>
          <w:rFonts w:cstheme="minorHAnsi"/>
          <w:sz w:val="24"/>
          <w:szCs w:val="24"/>
        </w:rPr>
        <w:sectPr w:rsidR="001002D5" w:rsidSect="00F62CB7">
          <w:footerReference w:type="default" r:id="rId9"/>
          <w:pgSz w:w="11906" w:h="16838"/>
          <w:pgMar w:top="1134" w:right="1440" w:bottom="1440" w:left="1440" w:header="708" w:footer="708" w:gutter="0"/>
          <w:cols w:space="708"/>
          <w:docGrid w:linePitch="360"/>
        </w:sectPr>
      </w:pPr>
    </w:p>
    <w:p w:rsidR="001002D5" w:rsidRDefault="001002D5" w:rsidP="001002D5">
      <w:pPr>
        <w:rPr>
          <w:rFonts w:cstheme="minorHAnsi"/>
          <w:sz w:val="24"/>
          <w:szCs w:val="24"/>
        </w:rPr>
      </w:pPr>
      <w:r w:rsidRPr="00C9091F">
        <w:rPr>
          <w:rFonts w:cstheme="minorHAnsi"/>
          <w:noProof/>
          <w:sz w:val="24"/>
          <w:szCs w:val="24"/>
        </w:rPr>
        <w:drawing>
          <wp:inline distT="0" distB="0" distL="0" distR="0" wp14:anchorId="13603D1F" wp14:editId="6E157AEB">
            <wp:extent cx="8863330" cy="4860290"/>
            <wp:effectExtent l="0" t="0" r="0" b="0"/>
            <wp:docPr id="25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תמונה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2D5" w:rsidRDefault="000E0EC5" w:rsidP="001002D5">
      <w:pPr>
        <w:jc w:val="both"/>
        <w:rPr>
          <w:rFonts w:cstheme="minorHAnsi"/>
          <w:sz w:val="24"/>
          <w:szCs w:val="24"/>
        </w:rPr>
      </w:pPr>
      <w:bookmarkStart w:id="4" w:name="_Toc65135293"/>
      <w:r w:rsidRPr="005359D5">
        <w:rPr>
          <w:rStyle w:val="20"/>
        </w:rPr>
        <w:t xml:space="preserve">Supplementary </w:t>
      </w:r>
      <w:r>
        <w:rPr>
          <w:rStyle w:val="20"/>
        </w:rPr>
        <w:t>Fig.</w:t>
      </w:r>
      <w:r>
        <w:rPr>
          <w:rStyle w:val="20"/>
        </w:rPr>
        <w:t xml:space="preserve"> 2</w:t>
      </w:r>
      <w:r w:rsidR="001002D5" w:rsidRPr="000F5074">
        <w:rPr>
          <w:rStyle w:val="20"/>
        </w:rPr>
        <w:t>: Longitudinal profile of neutralizing serum IgM antibodies in mild COVID-19 patients during the study period</w:t>
      </w:r>
      <w:bookmarkEnd w:id="4"/>
      <w:r w:rsidR="001002D5" w:rsidRPr="00A21156">
        <w:rPr>
          <w:rFonts w:cstheme="minorHAnsi"/>
        </w:rPr>
        <w:t xml:space="preserve">. Experimental data </w:t>
      </w:r>
      <w:r w:rsidR="001002D5">
        <w:rPr>
          <w:rFonts w:cstheme="minorHAnsi"/>
        </w:rPr>
        <w:t>were</w:t>
      </w:r>
      <w:r w:rsidR="001002D5" w:rsidRPr="00A21156">
        <w:rPr>
          <w:rFonts w:cstheme="minorHAnsi"/>
        </w:rPr>
        <w:t xml:space="preserve"> fitted by a quadratic polynomial regression model, and presented with a confidence interval of 95%. The boxplot</w:t>
      </w:r>
      <w:r w:rsidR="001002D5">
        <w:rPr>
          <w:rFonts w:cstheme="minorHAnsi"/>
        </w:rPr>
        <w:t>’s</w:t>
      </w:r>
      <w:r w:rsidR="001002D5" w:rsidRPr="00A21156">
        <w:rPr>
          <w:rFonts w:cstheme="minorHAnsi"/>
        </w:rPr>
        <w:t xml:space="preserve"> central mark indicates the median, and the bottom and top edges of the box indicate the 25th and 75th percentiles, respectively. + symbols indicate outliers. </w:t>
      </w:r>
      <w:r w:rsidR="001002D5">
        <w:rPr>
          <w:rFonts w:cstheme="minorHAnsi"/>
          <w:sz w:val="24"/>
          <w:szCs w:val="24"/>
        </w:rPr>
        <w:br w:type="page"/>
      </w:r>
    </w:p>
    <w:p w:rsidR="001002D5" w:rsidRDefault="001002D5" w:rsidP="001002D5">
      <w:pPr>
        <w:rPr>
          <w:rFonts w:cstheme="minorHAnsi"/>
          <w:sz w:val="24"/>
          <w:szCs w:val="24"/>
        </w:rPr>
      </w:pPr>
      <w:r w:rsidRPr="00C9091F">
        <w:rPr>
          <w:rFonts w:cstheme="minorHAnsi"/>
          <w:noProof/>
          <w:sz w:val="24"/>
          <w:szCs w:val="24"/>
        </w:rPr>
        <w:drawing>
          <wp:inline distT="0" distB="0" distL="0" distR="0" wp14:anchorId="49196D1A" wp14:editId="6F7B4F4A">
            <wp:extent cx="8863330" cy="4860290"/>
            <wp:effectExtent l="0" t="0" r="0" b="0"/>
            <wp:docPr id="26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תמונה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2D5" w:rsidRDefault="000E0EC5" w:rsidP="000E0EC5">
      <w:pPr>
        <w:rPr>
          <w:rFonts w:cstheme="minorHAnsi"/>
          <w:sz w:val="24"/>
          <w:szCs w:val="24"/>
        </w:rPr>
      </w:pPr>
      <w:bookmarkStart w:id="5" w:name="_Toc65135294"/>
      <w:r w:rsidRPr="005359D5">
        <w:rPr>
          <w:rStyle w:val="20"/>
        </w:rPr>
        <w:t xml:space="preserve">Supplementary </w:t>
      </w:r>
      <w:r>
        <w:rPr>
          <w:rStyle w:val="20"/>
        </w:rPr>
        <w:t xml:space="preserve">Fig. </w:t>
      </w:r>
      <w:r>
        <w:rPr>
          <w:rStyle w:val="20"/>
        </w:rPr>
        <w:t>3</w:t>
      </w:r>
      <w:r w:rsidR="001002D5" w:rsidRPr="000F5074">
        <w:rPr>
          <w:rStyle w:val="20"/>
        </w:rPr>
        <w:t>: Longitudinal profile of neutralizing serum IgG-S antibodies in mild COVID-19 patients during the study period</w:t>
      </w:r>
      <w:bookmarkEnd w:id="5"/>
      <w:r w:rsidR="001002D5" w:rsidRPr="00A21156">
        <w:rPr>
          <w:rFonts w:cstheme="minorHAnsi"/>
        </w:rPr>
        <w:t xml:space="preserve">. Experimental data </w:t>
      </w:r>
      <w:r w:rsidR="001002D5">
        <w:rPr>
          <w:rFonts w:cstheme="minorHAnsi"/>
        </w:rPr>
        <w:t>were</w:t>
      </w:r>
      <w:r w:rsidR="001002D5" w:rsidRPr="00A21156">
        <w:rPr>
          <w:rFonts w:cstheme="minorHAnsi"/>
        </w:rPr>
        <w:t xml:space="preserve"> fitted by a quadratic polynomial regression model, and presented with a confidence interval of 95%. The boxplot</w:t>
      </w:r>
      <w:r w:rsidR="001002D5">
        <w:rPr>
          <w:rFonts w:cstheme="minorHAnsi"/>
        </w:rPr>
        <w:t>’s</w:t>
      </w:r>
      <w:r w:rsidR="001002D5" w:rsidRPr="00A21156">
        <w:rPr>
          <w:rFonts w:cstheme="minorHAnsi"/>
        </w:rPr>
        <w:t xml:space="preserve"> central mark indicates the median, and the bottom and top edges of the box indicate the 25th and 75th percentiles, respectively. + symbols indicate outliers. </w:t>
      </w:r>
      <w:r w:rsidR="001002D5">
        <w:rPr>
          <w:rFonts w:cstheme="minorHAnsi"/>
          <w:sz w:val="24"/>
          <w:szCs w:val="24"/>
        </w:rPr>
        <w:br w:type="page"/>
      </w:r>
    </w:p>
    <w:p w:rsidR="001002D5" w:rsidRDefault="001002D5" w:rsidP="001002D5">
      <w:pPr>
        <w:rPr>
          <w:rFonts w:cstheme="minorHAnsi"/>
          <w:sz w:val="24"/>
          <w:szCs w:val="24"/>
        </w:rPr>
      </w:pPr>
      <w:r w:rsidRPr="00C9091F">
        <w:rPr>
          <w:rFonts w:cstheme="minorHAnsi"/>
          <w:noProof/>
          <w:sz w:val="24"/>
          <w:szCs w:val="24"/>
        </w:rPr>
        <w:drawing>
          <wp:inline distT="0" distB="0" distL="0" distR="0" wp14:anchorId="689DC9B5" wp14:editId="08502077">
            <wp:extent cx="8863330" cy="4860290"/>
            <wp:effectExtent l="0" t="0" r="0" b="0"/>
            <wp:docPr id="27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תמונה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2D5" w:rsidRDefault="000E0EC5" w:rsidP="000E0EC5">
      <w:pPr>
        <w:rPr>
          <w:rFonts w:cstheme="minorHAnsi"/>
        </w:rPr>
      </w:pPr>
      <w:bookmarkStart w:id="6" w:name="_Toc65135295"/>
      <w:r w:rsidRPr="005359D5">
        <w:rPr>
          <w:rStyle w:val="20"/>
        </w:rPr>
        <w:t xml:space="preserve">Supplementary </w:t>
      </w:r>
      <w:r>
        <w:rPr>
          <w:rStyle w:val="20"/>
        </w:rPr>
        <w:t xml:space="preserve">Fig. </w:t>
      </w:r>
      <w:r>
        <w:rPr>
          <w:rStyle w:val="20"/>
        </w:rPr>
        <w:t>4</w:t>
      </w:r>
      <w:r w:rsidR="001002D5" w:rsidRPr="000F5074">
        <w:rPr>
          <w:rStyle w:val="20"/>
        </w:rPr>
        <w:t>: Longitudinal profile of the neutralizing serum IgG-N antibody in mild COVID-19 patients during the study period</w:t>
      </w:r>
      <w:bookmarkEnd w:id="6"/>
      <w:r w:rsidR="001002D5" w:rsidRPr="00A21156">
        <w:rPr>
          <w:rFonts w:cstheme="minorHAnsi"/>
        </w:rPr>
        <w:t xml:space="preserve">. Experimental data </w:t>
      </w:r>
      <w:r w:rsidR="001002D5">
        <w:rPr>
          <w:rFonts w:cstheme="minorHAnsi"/>
        </w:rPr>
        <w:t>were</w:t>
      </w:r>
      <w:r w:rsidR="001002D5" w:rsidRPr="00A21156">
        <w:rPr>
          <w:rFonts w:cstheme="minorHAnsi"/>
        </w:rPr>
        <w:t xml:space="preserve"> fitted by a quadratic polynomial regression model, and presented with a confidence interval of 95%. The boxplot</w:t>
      </w:r>
      <w:r w:rsidR="001002D5">
        <w:rPr>
          <w:rFonts w:cstheme="minorHAnsi"/>
        </w:rPr>
        <w:t>’s</w:t>
      </w:r>
      <w:r w:rsidR="001002D5" w:rsidRPr="00A21156">
        <w:rPr>
          <w:rFonts w:cstheme="minorHAnsi"/>
        </w:rPr>
        <w:t xml:space="preserve"> central mark indicates the median, and the bottom and top edges of the box indicate the 25th and 75th percentiles, respectively. + symbols indicate outliers.</w:t>
      </w:r>
    </w:p>
    <w:p w:rsidR="001002D5" w:rsidRDefault="001002D5" w:rsidP="00F7154D">
      <w:pPr>
        <w:spacing w:line="240" w:lineRule="auto"/>
        <w:jc w:val="both"/>
        <w:rPr>
          <w:rFonts w:cstheme="minorHAnsi"/>
        </w:rPr>
        <w:sectPr w:rsidR="001002D5" w:rsidSect="00460E7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986FFC" w:rsidRDefault="008B59C8" w:rsidP="008B59C8">
      <w:pPr>
        <w:rPr>
          <w:rFonts w:cstheme="minorHAnsi"/>
          <w:b/>
          <w:bCs/>
          <w:sz w:val="28"/>
          <w:szCs w:val="28"/>
        </w:rPr>
      </w:pPr>
      <w:r w:rsidRPr="008B59C8">
        <w:rPr>
          <w:rFonts w:cstheme="minorHAnsi"/>
          <w:b/>
          <w:bCs/>
          <w:sz w:val="28"/>
          <w:szCs w:val="28"/>
        </w:rPr>
        <w:drawing>
          <wp:inline distT="0" distB="0" distL="0" distR="0" wp14:anchorId="3C34FF88" wp14:editId="0A6B3857">
            <wp:extent cx="4734098" cy="4734098"/>
            <wp:effectExtent l="0" t="0" r="9525" b="9525"/>
            <wp:docPr id="3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תמונה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34098" cy="4734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9C8" w:rsidRDefault="008B59C8" w:rsidP="008B59C8">
      <w:pPr>
        <w:spacing w:line="240" w:lineRule="auto"/>
        <w:jc w:val="both"/>
        <w:rPr>
          <w:rFonts w:cstheme="minorHAnsi"/>
        </w:rPr>
      </w:pPr>
      <w:r w:rsidRPr="005359D5">
        <w:rPr>
          <w:rStyle w:val="20"/>
        </w:rPr>
        <w:t xml:space="preserve">Supplementary </w:t>
      </w:r>
      <w:r>
        <w:rPr>
          <w:rStyle w:val="20"/>
        </w:rPr>
        <w:t xml:space="preserve">Fig. </w:t>
      </w:r>
      <w:r>
        <w:rPr>
          <w:rStyle w:val="20"/>
        </w:rPr>
        <w:t>5</w:t>
      </w:r>
      <w:r w:rsidRPr="000F5074">
        <w:rPr>
          <w:rStyle w:val="20"/>
        </w:rPr>
        <w:t xml:space="preserve">: </w:t>
      </w:r>
      <w:r w:rsidRPr="008B59C8">
        <w:rPr>
          <w:rStyle w:val="20"/>
        </w:rPr>
        <w:t xml:space="preserve">Confusion matrix </w:t>
      </w:r>
      <w:r w:rsidRPr="000F5074">
        <w:rPr>
          <w:rStyle w:val="20"/>
        </w:rPr>
        <w:t>for the classification tree model</w:t>
      </w:r>
      <w:r>
        <w:rPr>
          <w:rFonts w:cstheme="minorHAnsi"/>
        </w:rPr>
        <w:t>:</w:t>
      </w:r>
      <w:r w:rsidRPr="00EF6222">
        <w:rPr>
          <w:rFonts w:cstheme="minorHAnsi"/>
        </w:rPr>
        <w:t xml:space="preserve"> </w:t>
      </w:r>
      <w:r w:rsidRPr="008B59C8">
        <w:rPr>
          <w:rFonts w:cstheme="minorHAnsi"/>
        </w:rPr>
        <w:t xml:space="preserve">performance of COVID 19 disease course classification (see also Supplementary </w:t>
      </w:r>
      <w:r>
        <w:rPr>
          <w:rFonts w:cstheme="minorHAnsi"/>
        </w:rPr>
        <w:t xml:space="preserve">Table </w:t>
      </w:r>
      <w:r w:rsidRPr="008B59C8">
        <w:rPr>
          <w:rFonts w:cstheme="minorHAnsi"/>
        </w:rPr>
        <w:t xml:space="preserve">2). The green squares correspond to TP and TN values, and the red squares represent FP and FN values. The overall correct classification rate is 80.7%. </w:t>
      </w:r>
    </w:p>
    <w:p w:rsidR="008B59C8" w:rsidRPr="000110C8" w:rsidRDefault="008B59C8" w:rsidP="008B59C8">
      <w:pPr>
        <w:rPr>
          <w:rFonts w:cstheme="minorHAnsi"/>
          <w:b/>
          <w:bCs/>
          <w:sz w:val="28"/>
          <w:szCs w:val="28"/>
        </w:rPr>
      </w:pPr>
    </w:p>
    <w:sectPr w:rsidR="008B59C8" w:rsidRPr="000110C8" w:rsidSect="00255E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6F6C" w:rsidRDefault="009C6F6C" w:rsidP="00D767D6">
      <w:pPr>
        <w:spacing w:after="0" w:line="240" w:lineRule="auto"/>
      </w:pPr>
      <w:r>
        <w:separator/>
      </w:r>
    </w:p>
  </w:endnote>
  <w:endnote w:type="continuationSeparator" w:id="0">
    <w:p w:rsidR="009C6F6C" w:rsidRDefault="009C6F6C" w:rsidP="00D76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19576056"/>
      <w:docPartObj>
        <w:docPartGallery w:val="Page Numbers (Bottom of Page)"/>
        <w:docPartUnique/>
      </w:docPartObj>
    </w:sdtPr>
    <w:sdtEndPr/>
    <w:sdtContent>
      <w:p w:rsidR="00D767D6" w:rsidRDefault="00D767D6">
        <w:pPr>
          <w:pStyle w:val="ab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9C6F6C" w:rsidRPr="009C6F6C">
          <w:rPr>
            <w:rFonts w:cs="Calibri"/>
            <w:noProof/>
            <w:lang w:val="he-IL"/>
          </w:rPr>
          <w:t>1</w:t>
        </w:r>
        <w:r>
          <w:fldChar w:fldCharType="end"/>
        </w:r>
      </w:p>
    </w:sdtContent>
  </w:sdt>
  <w:p w:rsidR="00D767D6" w:rsidRDefault="00D767D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6F6C" w:rsidRDefault="009C6F6C" w:rsidP="00D767D6">
      <w:pPr>
        <w:spacing w:after="0" w:line="240" w:lineRule="auto"/>
      </w:pPr>
      <w:r>
        <w:separator/>
      </w:r>
    </w:p>
  </w:footnote>
  <w:footnote w:type="continuationSeparator" w:id="0">
    <w:p w:rsidR="009C6F6C" w:rsidRDefault="009C6F6C" w:rsidP="00D767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F0ABD"/>
    <w:multiLevelType w:val="multilevel"/>
    <w:tmpl w:val="C1A67B7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27F133C"/>
    <w:multiLevelType w:val="hybridMultilevel"/>
    <w:tmpl w:val="6B725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3AEJTIwsDIxNLCyUdpeDU4uLM/DyQAuNaAHef25ssAAAA"/>
  </w:docVars>
  <w:rsids>
    <w:rsidRoot w:val="00053625"/>
    <w:rsid w:val="000110C8"/>
    <w:rsid w:val="00043F72"/>
    <w:rsid w:val="00053625"/>
    <w:rsid w:val="000544E7"/>
    <w:rsid w:val="000E0EC5"/>
    <w:rsid w:val="000F2F7C"/>
    <w:rsid w:val="000F5074"/>
    <w:rsid w:val="001002D5"/>
    <w:rsid w:val="001C2903"/>
    <w:rsid w:val="00204E67"/>
    <w:rsid w:val="00212C76"/>
    <w:rsid w:val="00255E9E"/>
    <w:rsid w:val="00271304"/>
    <w:rsid w:val="00372832"/>
    <w:rsid w:val="004F21C7"/>
    <w:rsid w:val="0051520B"/>
    <w:rsid w:val="005335FF"/>
    <w:rsid w:val="005359D5"/>
    <w:rsid w:val="00560882"/>
    <w:rsid w:val="005C3FE2"/>
    <w:rsid w:val="0075238F"/>
    <w:rsid w:val="007861BB"/>
    <w:rsid w:val="007B5014"/>
    <w:rsid w:val="007C603F"/>
    <w:rsid w:val="007E519F"/>
    <w:rsid w:val="007F4978"/>
    <w:rsid w:val="008B59C8"/>
    <w:rsid w:val="009737F7"/>
    <w:rsid w:val="00986FFC"/>
    <w:rsid w:val="009C6F6C"/>
    <w:rsid w:val="00AE0328"/>
    <w:rsid w:val="00B674DB"/>
    <w:rsid w:val="00BC3486"/>
    <w:rsid w:val="00C431FE"/>
    <w:rsid w:val="00CE5B9A"/>
    <w:rsid w:val="00D767D6"/>
    <w:rsid w:val="00E07CB3"/>
    <w:rsid w:val="00F62CB7"/>
    <w:rsid w:val="00F7154D"/>
    <w:rsid w:val="00F8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7DBE2"/>
  <w15:chartTrackingRefBased/>
  <w15:docId w15:val="{8968C41F-F097-4359-8CDD-CFAA17657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0C8"/>
  </w:style>
  <w:style w:type="paragraph" w:styleId="1">
    <w:name w:val="heading 1"/>
    <w:basedOn w:val="a"/>
    <w:next w:val="a"/>
    <w:link w:val="10"/>
    <w:uiPriority w:val="9"/>
    <w:qFormat/>
    <w:rsid w:val="00F62CB7"/>
    <w:pPr>
      <w:keepNext/>
      <w:keepLines/>
      <w:numPr>
        <w:numId w:val="2"/>
      </w:numPr>
      <w:spacing w:before="240" w:after="0"/>
      <w:outlineLvl w:val="0"/>
    </w:pPr>
    <w:rPr>
      <w:rFonts w:eastAsiaTheme="majorEastAsia" w:cstheme="minorHAnsi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F5074"/>
    <w:pPr>
      <w:keepNext/>
      <w:keepLines/>
      <w:spacing w:before="40" w:after="0"/>
      <w:outlineLvl w:val="1"/>
    </w:pPr>
    <w:rPr>
      <w:rFonts w:eastAsiaTheme="majorEastAsia" w:cstheme="minorHAnsi"/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002D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1002D5"/>
    <w:pPr>
      <w:spacing w:line="240" w:lineRule="auto"/>
    </w:pPr>
    <w:rPr>
      <w:sz w:val="20"/>
      <w:szCs w:val="20"/>
    </w:rPr>
  </w:style>
  <w:style w:type="character" w:customStyle="1" w:styleId="a5">
    <w:name w:val="טקסט הערה תו"/>
    <w:basedOn w:val="a0"/>
    <w:link w:val="a4"/>
    <w:uiPriority w:val="99"/>
    <w:semiHidden/>
    <w:rsid w:val="001002D5"/>
    <w:rPr>
      <w:sz w:val="20"/>
      <w:szCs w:val="20"/>
    </w:rPr>
  </w:style>
  <w:style w:type="table" w:styleId="21">
    <w:name w:val="Plain Table 2"/>
    <w:basedOn w:val="a1"/>
    <w:uiPriority w:val="42"/>
    <w:rsid w:val="001002D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1002D5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7">
    <w:name w:val="טקסט בלונים תו"/>
    <w:basedOn w:val="a0"/>
    <w:link w:val="a6"/>
    <w:uiPriority w:val="99"/>
    <w:semiHidden/>
    <w:rsid w:val="001002D5"/>
    <w:rPr>
      <w:rFonts w:ascii="Tahoma" w:hAnsi="Tahoma" w:cs="Tahoma"/>
      <w:sz w:val="18"/>
      <w:szCs w:val="18"/>
    </w:rPr>
  </w:style>
  <w:style w:type="paragraph" w:styleId="a8">
    <w:name w:val="List Paragraph"/>
    <w:basedOn w:val="a"/>
    <w:uiPriority w:val="34"/>
    <w:qFormat/>
    <w:rsid w:val="00F62CB7"/>
    <w:pPr>
      <w:ind w:left="720"/>
      <w:contextualSpacing/>
    </w:pPr>
  </w:style>
  <w:style w:type="character" w:customStyle="1" w:styleId="10">
    <w:name w:val="כותרת 1 תו"/>
    <w:basedOn w:val="a0"/>
    <w:link w:val="1"/>
    <w:uiPriority w:val="9"/>
    <w:rsid w:val="00F62CB7"/>
    <w:rPr>
      <w:rFonts w:eastAsiaTheme="majorEastAsia" w:cstheme="minorHAnsi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0F5074"/>
    <w:rPr>
      <w:rFonts w:eastAsiaTheme="majorEastAsia" w:cstheme="minorHAnsi"/>
      <w:b/>
      <w:bCs/>
    </w:rPr>
  </w:style>
  <w:style w:type="paragraph" w:styleId="TOC1">
    <w:name w:val="toc 1"/>
    <w:basedOn w:val="a"/>
    <w:next w:val="a"/>
    <w:autoRedefine/>
    <w:uiPriority w:val="39"/>
    <w:unhideWhenUsed/>
    <w:rsid w:val="00043F72"/>
    <w:pPr>
      <w:tabs>
        <w:tab w:val="left" w:pos="426"/>
        <w:tab w:val="right" w:leader="dot" w:pos="9016"/>
      </w:tabs>
      <w:spacing w:after="100"/>
      <w:ind w:hanging="142"/>
    </w:pPr>
    <w:rPr>
      <w:b/>
      <w:bCs/>
      <w:noProof/>
    </w:rPr>
  </w:style>
  <w:style w:type="paragraph" w:styleId="TOC2">
    <w:name w:val="toc 2"/>
    <w:basedOn w:val="a"/>
    <w:next w:val="a"/>
    <w:autoRedefine/>
    <w:uiPriority w:val="39"/>
    <w:unhideWhenUsed/>
    <w:rsid w:val="00043F72"/>
    <w:pPr>
      <w:tabs>
        <w:tab w:val="right" w:leader="dot" w:pos="9016"/>
      </w:tabs>
      <w:spacing w:after="100"/>
      <w:ind w:left="426" w:hanging="1"/>
    </w:pPr>
  </w:style>
  <w:style w:type="character" w:styleId="Hyperlink">
    <w:name w:val="Hyperlink"/>
    <w:basedOn w:val="a0"/>
    <w:uiPriority w:val="99"/>
    <w:unhideWhenUsed/>
    <w:rsid w:val="00043F72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D767D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a">
    <w:name w:val="כותרת עליונה תו"/>
    <w:basedOn w:val="a0"/>
    <w:link w:val="a9"/>
    <w:uiPriority w:val="99"/>
    <w:rsid w:val="00D767D6"/>
  </w:style>
  <w:style w:type="paragraph" w:styleId="ab">
    <w:name w:val="footer"/>
    <w:basedOn w:val="a"/>
    <w:link w:val="ac"/>
    <w:uiPriority w:val="99"/>
    <w:unhideWhenUsed/>
    <w:rsid w:val="00D767D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c">
    <w:name w:val="כותרת תחתונה תו"/>
    <w:basedOn w:val="a0"/>
    <w:link w:val="ab"/>
    <w:uiPriority w:val="99"/>
    <w:rsid w:val="00D76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2D13A-6DE8-4141-ADAA-714BA7B01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8</Pages>
  <Words>524</Words>
  <Characters>2989</Characters>
  <Application>Microsoft Office Word</Application>
  <DocSecurity>0</DocSecurity>
  <Lines>24</Lines>
  <Paragraphs>7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כותרות</vt:lpstr>
      </vt:variant>
      <vt:variant>
        <vt:i4>2</vt:i4>
      </vt:variant>
    </vt:vector>
  </HeadingPairs>
  <TitlesOfParts>
    <vt:vector size="3" baseType="lpstr">
      <vt:lpstr/>
      <vt:lpstr>    Supplementary Table 1: Patients’ risk factors and symptoms by cluster</vt:lpstr>
      <vt:lpstr>    Supplementary Table 2: Statistical results of the DT model performance</vt:lpstr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34</cp:revision>
  <cp:lastPrinted>2021-02-25T09:23:00Z</cp:lastPrinted>
  <dcterms:created xsi:type="dcterms:W3CDTF">2021-02-25T06:11:00Z</dcterms:created>
  <dcterms:modified xsi:type="dcterms:W3CDTF">2021-03-06T14:37:00Z</dcterms:modified>
</cp:coreProperties>
</file>