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7AFF5" w14:textId="48DF711B" w:rsidR="006103BB" w:rsidRPr="003F26ED" w:rsidRDefault="00FA4425" w:rsidP="00FA4425">
      <w:pPr>
        <w:jc w:val="center"/>
        <w:rPr>
          <w:rFonts w:ascii="Times New Roman" w:hAnsi="Times New Roman" w:cs="Times New Roman"/>
          <w:b/>
          <w:bCs/>
          <w:i/>
          <w:iCs/>
          <w:lang w:bidi="en-US"/>
        </w:rPr>
      </w:pPr>
      <w:r w:rsidRPr="003F26ED">
        <w:rPr>
          <w:rFonts w:ascii="Times New Roman" w:hAnsi="Times New Roman" w:cs="Times New Roman"/>
          <w:b/>
          <w:bCs/>
          <w:i/>
          <w:iCs/>
          <w:lang w:bidi="en-US"/>
        </w:rPr>
        <w:t>Supplement 1</w:t>
      </w:r>
    </w:p>
    <w:p w14:paraId="63229CBB" w14:textId="2A71B956" w:rsidR="00042CB3" w:rsidRPr="003F26ED" w:rsidRDefault="008412BA" w:rsidP="006103BB">
      <w:pPr>
        <w:jc w:val="center"/>
        <w:rPr>
          <w:rFonts w:ascii="Times New Roman" w:hAnsi="Times New Roman" w:cs="Times New Roman"/>
          <w:b/>
          <w:bCs/>
          <w:i/>
          <w:iCs/>
          <w:lang w:bidi="en-US"/>
        </w:rPr>
      </w:pPr>
      <w:r w:rsidRPr="003F26ED">
        <w:rPr>
          <w:rFonts w:ascii="Times New Roman" w:hAnsi="Times New Roman" w:cs="Times New Roman"/>
          <w:b/>
          <w:bCs/>
          <w:i/>
          <w:iCs/>
          <w:lang w:bidi="en-US"/>
        </w:rPr>
        <w:t xml:space="preserve">Compendium of </w:t>
      </w:r>
      <w:r w:rsidR="007C6140" w:rsidRPr="003F26ED">
        <w:rPr>
          <w:rFonts w:ascii="Times New Roman" w:hAnsi="Times New Roman" w:cs="Times New Roman"/>
          <w:b/>
          <w:bCs/>
          <w:i/>
          <w:iCs/>
        </w:rPr>
        <w:t xml:space="preserve">Prehospital Diagnostic Testing </w:t>
      </w:r>
      <w:r w:rsidR="008A7CBF">
        <w:rPr>
          <w:rFonts w:ascii="Times New Roman" w:hAnsi="Times New Roman" w:cs="Times New Roman"/>
          <w:b/>
          <w:bCs/>
          <w:i/>
          <w:iCs/>
        </w:rPr>
        <w:t xml:space="preserve">and </w:t>
      </w:r>
      <w:r w:rsidR="007C6140" w:rsidRPr="003F26ED">
        <w:rPr>
          <w:rFonts w:ascii="Times New Roman" w:hAnsi="Times New Roman" w:cs="Times New Roman"/>
          <w:b/>
          <w:bCs/>
          <w:i/>
          <w:iCs/>
        </w:rPr>
        <w:t>Outcomes</w:t>
      </w:r>
    </w:p>
    <w:p w14:paraId="113BC54E" w14:textId="77777777" w:rsidR="006103BB" w:rsidRPr="006103BB" w:rsidRDefault="006103BB" w:rsidP="006103BB">
      <w:pPr>
        <w:jc w:val="center"/>
        <w:rPr>
          <w:rFonts w:ascii="Times New Roman" w:hAnsi="Times New Roman" w:cs="Times New Roman"/>
          <w:b/>
          <w:bCs/>
          <w:i/>
          <w:iCs/>
          <w:lang w:bidi="en-US"/>
        </w:rPr>
      </w:pPr>
    </w:p>
    <w:tbl>
      <w:tblPr>
        <w:tblStyle w:val="TableGrid"/>
        <w:tblW w:w="0" w:type="auto"/>
        <w:tblLayout w:type="fixed"/>
        <w:tblLook w:val="04A0" w:firstRow="1" w:lastRow="0" w:firstColumn="1" w:lastColumn="0" w:noHBand="0" w:noVBand="1"/>
      </w:tblPr>
      <w:tblGrid>
        <w:gridCol w:w="1435"/>
        <w:gridCol w:w="1440"/>
        <w:gridCol w:w="1260"/>
        <w:gridCol w:w="1170"/>
        <w:gridCol w:w="4045"/>
      </w:tblGrid>
      <w:tr w:rsidR="00042CB3" w:rsidRPr="003F26ED" w14:paraId="65F85888" w14:textId="77777777" w:rsidTr="00042CB3">
        <w:tc>
          <w:tcPr>
            <w:tcW w:w="1435" w:type="dxa"/>
          </w:tcPr>
          <w:p w14:paraId="41E3ACD1" w14:textId="5516EBED" w:rsidR="00042CB3" w:rsidRPr="003F26ED" w:rsidRDefault="00042CB3" w:rsidP="00042CB3">
            <w:pPr>
              <w:spacing w:line="240" w:lineRule="auto"/>
              <w:jc w:val="center"/>
              <w:rPr>
                <w:rFonts w:ascii="Times New Roman" w:hAnsi="Times New Roman"/>
                <w:b/>
                <w:bCs/>
                <w:sz w:val="18"/>
                <w:szCs w:val="18"/>
              </w:rPr>
            </w:pPr>
            <w:r w:rsidRPr="003F26ED">
              <w:rPr>
                <w:rFonts w:ascii="Times New Roman" w:hAnsi="Times New Roman"/>
                <w:b/>
                <w:bCs/>
                <w:sz w:val="18"/>
                <w:szCs w:val="18"/>
              </w:rPr>
              <w:t>Author, Journal, Year (Reference No.)</w:t>
            </w:r>
          </w:p>
        </w:tc>
        <w:tc>
          <w:tcPr>
            <w:tcW w:w="1440" w:type="dxa"/>
          </w:tcPr>
          <w:p w14:paraId="5669A391" w14:textId="35AD82B2" w:rsidR="00042CB3" w:rsidRPr="003F26ED" w:rsidRDefault="008412BA" w:rsidP="00042CB3">
            <w:pPr>
              <w:spacing w:line="240" w:lineRule="auto"/>
              <w:jc w:val="center"/>
              <w:rPr>
                <w:rFonts w:ascii="Times New Roman" w:hAnsi="Times New Roman"/>
                <w:b/>
                <w:bCs/>
                <w:sz w:val="18"/>
                <w:szCs w:val="18"/>
              </w:rPr>
            </w:pPr>
            <w:r w:rsidRPr="003F26ED">
              <w:rPr>
                <w:rFonts w:ascii="Times New Roman" w:hAnsi="Times New Roman"/>
                <w:b/>
                <w:bCs/>
                <w:sz w:val="18"/>
                <w:szCs w:val="18"/>
              </w:rPr>
              <w:t xml:space="preserve">Geospatial </w:t>
            </w:r>
            <w:r w:rsidR="00042CB3" w:rsidRPr="003F26ED">
              <w:rPr>
                <w:rFonts w:ascii="Times New Roman" w:hAnsi="Times New Roman"/>
                <w:b/>
                <w:bCs/>
                <w:sz w:val="18"/>
                <w:szCs w:val="18"/>
              </w:rPr>
              <w:t>Diagnostic Portals</w:t>
            </w:r>
          </w:p>
        </w:tc>
        <w:tc>
          <w:tcPr>
            <w:tcW w:w="1260" w:type="dxa"/>
          </w:tcPr>
          <w:p w14:paraId="2DB4E31E" w14:textId="5C7BAC59" w:rsidR="00042CB3" w:rsidRPr="003F26ED" w:rsidRDefault="00042CB3" w:rsidP="00042CB3">
            <w:pPr>
              <w:spacing w:line="240" w:lineRule="auto"/>
              <w:jc w:val="center"/>
              <w:rPr>
                <w:rFonts w:ascii="Times New Roman" w:hAnsi="Times New Roman"/>
                <w:b/>
                <w:bCs/>
                <w:sz w:val="18"/>
                <w:szCs w:val="18"/>
              </w:rPr>
            </w:pPr>
            <w:r w:rsidRPr="003F26ED">
              <w:rPr>
                <w:rFonts w:ascii="Times New Roman" w:hAnsi="Times New Roman"/>
                <w:b/>
                <w:bCs/>
                <w:sz w:val="18"/>
                <w:szCs w:val="18"/>
              </w:rPr>
              <w:t>Setting</w:t>
            </w:r>
            <w:r w:rsidR="008412BA" w:rsidRPr="003F26ED">
              <w:rPr>
                <w:rFonts w:ascii="Times New Roman" w:hAnsi="Times New Roman"/>
                <w:b/>
                <w:bCs/>
                <w:sz w:val="18"/>
                <w:szCs w:val="18"/>
              </w:rPr>
              <w:t>s</w:t>
            </w:r>
            <w:r w:rsidRPr="003F26ED">
              <w:rPr>
                <w:rFonts w:ascii="Times New Roman" w:hAnsi="Times New Roman"/>
                <w:b/>
                <w:bCs/>
                <w:sz w:val="18"/>
                <w:szCs w:val="18"/>
              </w:rPr>
              <w:t>/</w:t>
            </w:r>
          </w:p>
          <w:p w14:paraId="0F79CFE4" w14:textId="77777777" w:rsidR="00042CB3" w:rsidRPr="003F26ED" w:rsidRDefault="00042CB3" w:rsidP="00042CB3">
            <w:pPr>
              <w:spacing w:line="240" w:lineRule="auto"/>
              <w:jc w:val="center"/>
              <w:rPr>
                <w:rFonts w:ascii="Times New Roman" w:hAnsi="Times New Roman"/>
                <w:b/>
                <w:bCs/>
                <w:sz w:val="18"/>
                <w:szCs w:val="18"/>
              </w:rPr>
            </w:pPr>
            <w:r w:rsidRPr="003F26ED">
              <w:rPr>
                <w:rFonts w:ascii="Times New Roman" w:hAnsi="Times New Roman"/>
                <w:b/>
                <w:bCs/>
                <w:sz w:val="18"/>
                <w:szCs w:val="18"/>
              </w:rPr>
              <w:t>Environment</w:t>
            </w:r>
          </w:p>
        </w:tc>
        <w:tc>
          <w:tcPr>
            <w:tcW w:w="1170" w:type="dxa"/>
          </w:tcPr>
          <w:p w14:paraId="4F291713" w14:textId="3DB93875" w:rsidR="00042CB3" w:rsidRPr="003F26ED" w:rsidRDefault="00042CB3" w:rsidP="00042CB3">
            <w:pPr>
              <w:spacing w:line="240" w:lineRule="auto"/>
              <w:jc w:val="center"/>
              <w:rPr>
                <w:rFonts w:ascii="Times New Roman" w:hAnsi="Times New Roman"/>
                <w:b/>
                <w:bCs/>
                <w:sz w:val="18"/>
                <w:szCs w:val="18"/>
              </w:rPr>
            </w:pPr>
            <w:r w:rsidRPr="003F26ED">
              <w:rPr>
                <w:rFonts w:ascii="Times New Roman" w:hAnsi="Times New Roman"/>
                <w:b/>
                <w:bCs/>
                <w:sz w:val="18"/>
                <w:szCs w:val="18"/>
              </w:rPr>
              <w:t>Decision</w:t>
            </w:r>
            <w:r w:rsidR="008412BA" w:rsidRPr="003F26ED">
              <w:rPr>
                <w:rFonts w:ascii="Times New Roman" w:hAnsi="Times New Roman"/>
                <w:b/>
                <w:bCs/>
                <w:sz w:val="18"/>
                <w:szCs w:val="18"/>
              </w:rPr>
              <w:t xml:space="preserve"> Making</w:t>
            </w:r>
          </w:p>
          <w:p w14:paraId="7667050C" w14:textId="77777777" w:rsidR="00042CB3" w:rsidRPr="003F26ED" w:rsidRDefault="00042CB3" w:rsidP="00042CB3">
            <w:pPr>
              <w:spacing w:line="240" w:lineRule="auto"/>
              <w:jc w:val="center"/>
              <w:rPr>
                <w:rFonts w:ascii="Times New Roman" w:hAnsi="Times New Roman"/>
                <w:b/>
                <w:bCs/>
                <w:sz w:val="18"/>
                <w:szCs w:val="18"/>
              </w:rPr>
            </w:pPr>
            <w:r w:rsidRPr="003F26ED">
              <w:rPr>
                <w:rFonts w:ascii="Times New Roman" w:hAnsi="Times New Roman"/>
                <w:b/>
                <w:bCs/>
                <w:sz w:val="18"/>
                <w:szCs w:val="18"/>
              </w:rPr>
              <w:t>Pivots</w:t>
            </w:r>
          </w:p>
        </w:tc>
        <w:tc>
          <w:tcPr>
            <w:tcW w:w="4045" w:type="dxa"/>
          </w:tcPr>
          <w:p w14:paraId="693992B2" w14:textId="77777777" w:rsidR="00042CB3" w:rsidRPr="003F26ED" w:rsidRDefault="00042CB3" w:rsidP="00042CB3">
            <w:pPr>
              <w:spacing w:line="240" w:lineRule="auto"/>
              <w:jc w:val="center"/>
              <w:rPr>
                <w:rFonts w:ascii="Times New Roman" w:hAnsi="Times New Roman"/>
                <w:b/>
                <w:bCs/>
                <w:sz w:val="18"/>
                <w:szCs w:val="18"/>
              </w:rPr>
            </w:pPr>
            <w:r w:rsidRPr="003F26ED">
              <w:rPr>
                <w:rFonts w:ascii="Times New Roman" w:hAnsi="Times New Roman"/>
                <w:b/>
                <w:bCs/>
                <w:sz w:val="18"/>
                <w:szCs w:val="18"/>
              </w:rPr>
              <w:t>Innovations, Effectiveness, and</w:t>
            </w:r>
          </w:p>
          <w:p w14:paraId="60BDA1E3" w14:textId="77777777" w:rsidR="00042CB3" w:rsidRPr="003F26ED" w:rsidRDefault="00042CB3" w:rsidP="00042CB3">
            <w:pPr>
              <w:spacing w:line="240" w:lineRule="auto"/>
              <w:jc w:val="center"/>
              <w:rPr>
                <w:rFonts w:ascii="Times New Roman" w:hAnsi="Times New Roman"/>
                <w:b/>
                <w:bCs/>
                <w:sz w:val="18"/>
                <w:szCs w:val="18"/>
              </w:rPr>
            </w:pPr>
            <w:r w:rsidRPr="003F26ED">
              <w:rPr>
                <w:rFonts w:ascii="Times New Roman" w:hAnsi="Times New Roman"/>
                <w:b/>
                <w:bCs/>
                <w:sz w:val="18"/>
                <w:szCs w:val="18"/>
              </w:rPr>
              <w:t>Impact on Outcomes</w:t>
            </w:r>
          </w:p>
        </w:tc>
      </w:tr>
      <w:tr w:rsidR="00042CB3" w:rsidRPr="003F26ED" w14:paraId="76418529" w14:textId="77777777" w:rsidTr="00042CB3">
        <w:tc>
          <w:tcPr>
            <w:tcW w:w="9350" w:type="dxa"/>
            <w:gridSpan w:val="5"/>
          </w:tcPr>
          <w:p w14:paraId="036935CC" w14:textId="77777777" w:rsidR="00042CB3" w:rsidRPr="003F26ED" w:rsidRDefault="00042CB3" w:rsidP="00042CB3">
            <w:pPr>
              <w:spacing w:line="240" w:lineRule="auto"/>
              <w:jc w:val="left"/>
              <w:rPr>
                <w:rFonts w:ascii="Times New Roman" w:hAnsi="Times New Roman"/>
                <w:b/>
                <w:bCs/>
                <w:sz w:val="18"/>
                <w:szCs w:val="18"/>
              </w:rPr>
            </w:pPr>
            <w:r w:rsidRPr="003F26ED">
              <w:rPr>
                <w:rFonts w:ascii="Times New Roman" w:hAnsi="Times New Roman"/>
                <w:b/>
                <w:bCs/>
                <w:sz w:val="18"/>
                <w:szCs w:val="18"/>
              </w:rPr>
              <w:t>Part 1. Strategies for Point-of-need Testing</w:t>
            </w:r>
          </w:p>
        </w:tc>
      </w:tr>
      <w:tr w:rsidR="00042CB3" w:rsidRPr="003F26ED" w14:paraId="38541ACD" w14:textId="77777777" w:rsidTr="00042CB3">
        <w:tc>
          <w:tcPr>
            <w:tcW w:w="9350" w:type="dxa"/>
            <w:gridSpan w:val="5"/>
          </w:tcPr>
          <w:p w14:paraId="4A9E5C9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b/>
                <w:bCs/>
                <w:sz w:val="18"/>
                <w:szCs w:val="18"/>
              </w:rPr>
              <w:t>• Ambulances and Emergency Medical Services</w:t>
            </w:r>
          </w:p>
        </w:tc>
      </w:tr>
      <w:tr w:rsidR="00042CB3" w:rsidRPr="003F26ED" w14:paraId="62E12B0A" w14:textId="77777777" w:rsidTr="00042CB3">
        <w:tc>
          <w:tcPr>
            <w:tcW w:w="1435" w:type="dxa"/>
          </w:tcPr>
          <w:p w14:paraId="0D94F88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Baker</w:t>
            </w:r>
          </w:p>
          <w:p w14:paraId="270FF70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Aust J Rural Health</w:t>
            </w:r>
          </w:p>
          <w:p w14:paraId="2A850EDB" w14:textId="22C2F66F"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2022 </w:t>
            </w:r>
            <w:r w:rsidR="002726DA" w:rsidRPr="003F26ED">
              <w:rPr>
                <w:rFonts w:ascii="Times New Roman" w:hAnsi="Times New Roman"/>
                <w:sz w:val="18"/>
                <w:szCs w:val="18"/>
              </w:rPr>
              <w:t>[1]</w:t>
            </w:r>
          </w:p>
        </w:tc>
        <w:tc>
          <w:tcPr>
            <w:tcW w:w="1440" w:type="dxa"/>
          </w:tcPr>
          <w:p w14:paraId="4D97A154" w14:textId="725A4B9C"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Emergency workforce and resources </w:t>
            </w:r>
            <w:r w:rsidR="008412BA" w:rsidRPr="003F26ED">
              <w:rPr>
                <w:rFonts w:ascii="Times New Roman" w:hAnsi="Times New Roman"/>
                <w:sz w:val="18"/>
                <w:szCs w:val="18"/>
              </w:rPr>
              <w:t xml:space="preserve">access </w:t>
            </w:r>
            <w:r w:rsidRPr="003F26ED">
              <w:rPr>
                <w:rFonts w:ascii="Times New Roman" w:hAnsi="Times New Roman"/>
                <w:sz w:val="18"/>
                <w:szCs w:val="18"/>
              </w:rPr>
              <w:t>planning</w:t>
            </w:r>
          </w:p>
        </w:tc>
        <w:tc>
          <w:tcPr>
            <w:tcW w:w="1260" w:type="dxa"/>
          </w:tcPr>
          <w:p w14:paraId="4D14EF1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Rural Australia</w:t>
            </w:r>
          </w:p>
        </w:tc>
        <w:tc>
          <w:tcPr>
            <w:tcW w:w="1170" w:type="dxa"/>
          </w:tcPr>
          <w:p w14:paraId="3724AAC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POCT</w:t>
            </w:r>
          </w:p>
        </w:tc>
        <w:tc>
          <w:tcPr>
            <w:tcW w:w="4045" w:type="dxa"/>
          </w:tcPr>
          <w:p w14:paraId="14B79BD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POCT and clinician radiography were more common in smaller facilities. Small and remote facilities adapt by using different workforce structures and bedside investigations.</w:t>
            </w:r>
          </w:p>
        </w:tc>
      </w:tr>
      <w:tr w:rsidR="00042CB3" w:rsidRPr="003F26ED" w14:paraId="4DDD83C8" w14:textId="77777777" w:rsidTr="00042CB3">
        <w:tc>
          <w:tcPr>
            <w:tcW w:w="1435" w:type="dxa"/>
          </w:tcPr>
          <w:p w14:paraId="733D0C7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Fuzery</w:t>
            </w:r>
          </w:p>
          <w:p w14:paraId="0814891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Clin Lab News</w:t>
            </w:r>
          </w:p>
          <w:p w14:paraId="16DC69C3" w14:textId="05BB2CD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2021 </w:t>
            </w:r>
            <w:r w:rsidR="002726DA" w:rsidRPr="003F26ED">
              <w:rPr>
                <w:rFonts w:ascii="Times New Roman" w:hAnsi="Times New Roman"/>
                <w:sz w:val="18"/>
                <w:szCs w:val="18"/>
              </w:rPr>
              <w:t>[2]</w:t>
            </w:r>
          </w:p>
        </w:tc>
        <w:tc>
          <w:tcPr>
            <w:tcW w:w="1440" w:type="dxa"/>
          </w:tcPr>
          <w:p w14:paraId="20D223F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Ambulance and helicopter EMS teams</w:t>
            </w:r>
          </w:p>
        </w:tc>
        <w:tc>
          <w:tcPr>
            <w:tcW w:w="1260" w:type="dxa"/>
          </w:tcPr>
          <w:p w14:paraId="38BAE1E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Alberta, Canada</w:t>
            </w:r>
          </w:p>
        </w:tc>
        <w:tc>
          <w:tcPr>
            <w:tcW w:w="1170" w:type="dxa"/>
          </w:tcPr>
          <w:p w14:paraId="7478F13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POCT standards of care for ambulances</w:t>
            </w:r>
          </w:p>
        </w:tc>
        <w:tc>
          <w:tcPr>
            <w:tcW w:w="4045" w:type="dxa"/>
          </w:tcPr>
          <w:p w14:paraId="5ECBDCA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Patients depend on reliable testing form air and ground ambulance teams and the complexity of these environments deserves special considerations leading to standards of care.</w:t>
            </w:r>
          </w:p>
        </w:tc>
      </w:tr>
      <w:tr w:rsidR="00042CB3" w:rsidRPr="003F26ED" w14:paraId="5142B7AC" w14:textId="77777777" w:rsidTr="00042CB3">
        <w:tc>
          <w:tcPr>
            <w:tcW w:w="1435" w:type="dxa"/>
          </w:tcPr>
          <w:p w14:paraId="46156C9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Fuzery</w:t>
            </w:r>
          </w:p>
          <w:p w14:paraId="3EF2D98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Arch Path Lab Med</w:t>
            </w:r>
          </w:p>
          <w:p w14:paraId="058F1A1C" w14:textId="4E689C0E"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2020 </w:t>
            </w:r>
            <w:r w:rsidR="002726DA" w:rsidRPr="003F26ED">
              <w:rPr>
                <w:rFonts w:ascii="Times New Roman" w:hAnsi="Times New Roman"/>
                <w:sz w:val="18"/>
                <w:szCs w:val="18"/>
              </w:rPr>
              <w:t>[3]</w:t>
            </w:r>
          </w:p>
        </w:tc>
        <w:tc>
          <w:tcPr>
            <w:tcW w:w="1440" w:type="dxa"/>
          </w:tcPr>
          <w:p w14:paraId="5DE95B6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Ambulance and helicopter EMS teams</w:t>
            </w:r>
          </w:p>
        </w:tc>
        <w:tc>
          <w:tcPr>
            <w:tcW w:w="1260" w:type="dxa"/>
          </w:tcPr>
          <w:p w14:paraId="5C64068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Alberta, Canada</w:t>
            </w:r>
          </w:p>
        </w:tc>
        <w:tc>
          <w:tcPr>
            <w:tcW w:w="1170" w:type="dxa"/>
          </w:tcPr>
          <w:p w14:paraId="045A9AB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POCT in four field settings</w:t>
            </w:r>
          </w:p>
        </w:tc>
        <w:tc>
          <w:tcPr>
            <w:tcW w:w="4045" w:type="dxa"/>
          </w:tcPr>
          <w:p w14:paraId="22EF4BFC" w14:textId="77777777"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sz w:val="18"/>
                <w:szCs w:val="18"/>
              </w:rPr>
              <w:t>POCT in EMS programs should incorporate specific guidance on quality standards that are needed to address the unique challenges of performing POCT in field settings.</w:t>
            </w:r>
          </w:p>
        </w:tc>
      </w:tr>
      <w:tr w:rsidR="00042CB3" w:rsidRPr="003F26ED" w14:paraId="3FC14B6F" w14:textId="77777777" w:rsidTr="00042CB3">
        <w:tc>
          <w:tcPr>
            <w:tcW w:w="1435" w:type="dxa"/>
          </w:tcPr>
          <w:p w14:paraId="078D130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Heaney</w:t>
            </w:r>
          </w:p>
          <w:p w14:paraId="4A1EFF2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J Paramed Pract</w:t>
            </w:r>
          </w:p>
          <w:p w14:paraId="22305E2E" w14:textId="5887EC62"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2020 </w:t>
            </w:r>
            <w:r w:rsidR="002726DA" w:rsidRPr="003F26ED">
              <w:rPr>
                <w:rFonts w:ascii="Times New Roman" w:hAnsi="Times New Roman"/>
                <w:sz w:val="18"/>
                <w:szCs w:val="18"/>
              </w:rPr>
              <w:t>[</w:t>
            </w:r>
            <w:r w:rsidRPr="003F26ED">
              <w:rPr>
                <w:rFonts w:ascii="Times New Roman" w:hAnsi="Times New Roman"/>
                <w:sz w:val="18"/>
                <w:szCs w:val="18"/>
              </w:rPr>
              <w:t>4</w:t>
            </w:r>
            <w:r w:rsidR="002726DA" w:rsidRPr="003F26ED">
              <w:rPr>
                <w:rFonts w:ascii="Times New Roman" w:hAnsi="Times New Roman"/>
                <w:sz w:val="18"/>
                <w:szCs w:val="18"/>
              </w:rPr>
              <w:t>]</w:t>
            </w:r>
          </w:p>
        </w:tc>
        <w:tc>
          <w:tcPr>
            <w:tcW w:w="1440" w:type="dxa"/>
          </w:tcPr>
          <w:p w14:paraId="3499D5B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triage using “Labkit” with several POC instruments and several test</w:t>
            </w:r>
            <w:r w:rsidRPr="003F26ED">
              <w:rPr>
                <w:rFonts w:ascii="Times New Roman" w:hAnsi="Times New Roman"/>
                <w:color w:val="000000" w:themeColor="text1"/>
                <w:sz w:val="18"/>
                <w:szCs w:val="18"/>
              </w:rPr>
              <w:t>s</w:t>
            </w:r>
          </w:p>
        </w:tc>
        <w:tc>
          <w:tcPr>
            <w:tcW w:w="1260" w:type="dxa"/>
          </w:tcPr>
          <w:p w14:paraId="0CA8A08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Surrey, London, England (unique empowerment study)</w:t>
            </w:r>
          </w:p>
        </w:tc>
        <w:tc>
          <w:tcPr>
            <w:tcW w:w="1170" w:type="dxa"/>
          </w:tcPr>
          <w:p w14:paraId="3C22323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Cobas h232</w:t>
            </w:r>
          </w:p>
          <w:p w14:paraId="06EDD23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HemoCue i-Stat StatStrip CoaguChek</w:t>
            </w:r>
          </w:p>
          <w:p w14:paraId="6CA60DB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Pocket-chem</w:t>
            </w:r>
          </w:p>
        </w:tc>
        <w:tc>
          <w:tcPr>
            <w:tcW w:w="4045" w:type="dxa"/>
          </w:tcPr>
          <w:p w14:paraId="396A5811" w14:textId="77777777"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sz w:val="18"/>
                <w:szCs w:val="18"/>
              </w:rPr>
              <w:t>POCT results available at the time of paramedic assessment reduced ED conveyance by 21%. 10% had POCT results requiring unrecognized admission for urgent Rx. 31% of conveyance decisions were changed by POCT. Results suggest both medical and economic benefits in the prehospital setting.</w:t>
            </w:r>
          </w:p>
        </w:tc>
      </w:tr>
      <w:tr w:rsidR="00042CB3" w:rsidRPr="003F26ED" w14:paraId="0EE219E1" w14:textId="77777777" w:rsidTr="00042CB3">
        <w:tc>
          <w:tcPr>
            <w:tcW w:w="1435" w:type="dxa"/>
          </w:tcPr>
          <w:p w14:paraId="7577B13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Sanko S</w:t>
            </w:r>
          </w:p>
          <w:p w14:paraId="0BD5BD2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 Emer Care</w:t>
            </w:r>
          </w:p>
          <w:p w14:paraId="21C57F78" w14:textId="1CADA86F"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2020 </w:t>
            </w:r>
            <w:r w:rsidR="002726DA" w:rsidRPr="003F26ED">
              <w:rPr>
                <w:rFonts w:ascii="Times New Roman" w:hAnsi="Times New Roman"/>
                <w:sz w:val="18"/>
                <w:szCs w:val="18"/>
              </w:rPr>
              <w:t>[5]</w:t>
            </w:r>
          </w:p>
        </w:tc>
        <w:tc>
          <w:tcPr>
            <w:tcW w:w="1440" w:type="dxa"/>
          </w:tcPr>
          <w:p w14:paraId="30B7E85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Advance provider response unit in field with POCT</w:t>
            </w:r>
          </w:p>
        </w:tc>
        <w:tc>
          <w:tcPr>
            <w:tcW w:w="1260" w:type="dxa"/>
          </w:tcPr>
          <w:p w14:paraId="1A5887C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Los Angeles Fire Department, California, USA</w:t>
            </w:r>
          </w:p>
        </w:tc>
        <w:tc>
          <w:tcPr>
            <w:tcW w:w="1170" w:type="dxa"/>
          </w:tcPr>
          <w:p w14:paraId="515EA088"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POCT</w:t>
            </w:r>
          </w:p>
        </w:tc>
        <w:tc>
          <w:tcPr>
            <w:tcW w:w="4045" w:type="dxa"/>
          </w:tcPr>
          <w:p w14:paraId="3641722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Advanced practice providers such as nurse </w:t>
            </w:r>
          </w:p>
          <w:p w14:paraId="07C5E9F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practitioners with POCT can be incorporated into the prehospital setting to address a </w:t>
            </w:r>
          </w:p>
          <w:p w14:paraId="4EAE46E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growing subset of 911-patients whose needs can be met outside of the ED.</w:t>
            </w:r>
          </w:p>
        </w:tc>
      </w:tr>
      <w:tr w:rsidR="00042CB3" w:rsidRPr="003F26ED" w14:paraId="24EDABB4" w14:textId="77777777" w:rsidTr="00042CB3">
        <w:tc>
          <w:tcPr>
            <w:tcW w:w="9350" w:type="dxa"/>
            <w:gridSpan w:val="5"/>
          </w:tcPr>
          <w:p w14:paraId="1307950C" w14:textId="77777777" w:rsidR="00042CB3" w:rsidRPr="003F26ED" w:rsidRDefault="00042CB3" w:rsidP="00042CB3">
            <w:pPr>
              <w:spacing w:line="240" w:lineRule="auto"/>
              <w:jc w:val="left"/>
              <w:rPr>
                <w:rFonts w:ascii="Times New Roman" w:hAnsi="Times New Roman"/>
                <w:b/>
                <w:bCs/>
                <w:sz w:val="18"/>
                <w:szCs w:val="18"/>
              </w:rPr>
            </w:pPr>
            <w:r w:rsidRPr="003F26ED">
              <w:rPr>
                <w:rFonts w:ascii="Times New Roman" w:hAnsi="Times New Roman"/>
                <w:b/>
                <w:bCs/>
                <w:sz w:val="18"/>
                <w:szCs w:val="18"/>
              </w:rPr>
              <w:t>• COVID-19 Test Optimization</w:t>
            </w:r>
          </w:p>
        </w:tc>
      </w:tr>
      <w:tr w:rsidR="00042CB3" w:rsidRPr="003F26ED" w14:paraId="4835A3B2" w14:textId="77777777" w:rsidTr="00042CB3">
        <w:tc>
          <w:tcPr>
            <w:tcW w:w="1435" w:type="dxa"/>
          </w:tcPr>
          <w:p w14:paraId="4CE0D0A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Eng</w:t>
            </w:r>
          </w:p>
          <w:p w14:paraId="648BCFAE" w14:textId="77777777" w:rsidR="002726DA" w:rsidRPr="003F26ED" w:rsidRDefault="00524A90" w:rsidP="00042CB3">
            <w:pPr>
              <w:spacing w:line="240" w:lineRule="auto"/>
              <w:jc w:val="left"/>
              <w:rPr>
                <w:rFonts w:ascii="Times New Roman" w:hAnsi="Times New Roman"/>
                <w:sz w:val="18"/>
                <w:szCs w:val="18"/>
              </w:rPr>
            </w:pPr>
            <w:r w:rsidRPr="003F26ED">
              <w:rPr>
                <w:rFonts w:ascii="Times New Roman" w:hAnsi="Times New Roman"/>
                <w:sz w:val="18"/>
                <w:szCs w:val="18"/>
              </w:rPr>
              <w:t>Preprints</w:t>
            </w:r>
          </w:p>
          <w:p w14:paraId="1DB15CE9" w14:textId="5EA7C05E" w:rsidR="00524A90" w:rsidRPr="003F26ED" w:rsidRDefault="002726DA" w:rsidP="00042CB3">
            <w:pPr>
              <w:spacing w:line="240" w:lineRule="auto"/>
              <w:jc w:val="left"/>
              <w:rPr>
                <w:rFonts w:ascii="Times New Roman" w:hAnsi="Times New Roman"/>
                <w:sz w:val="18"/>
                <w:szCs w:val="18"/>
              </w:rPr>
            </w:pPr>
            <w:r w:rsidRPr="003F26ED">
              <w:rPr>
                <w:rFonts w:ascii="Times New Roman" w:hAnsi="Times New Roman"/>
                <w:sz w:val="18"/>
                <w:szCs w:val="18"/>
              </w:rPr>
              <w:t>2022</w:t>
            </w:r>
            <w:r w:rsidR="00524A90" w:rsidRPr="003F26ED">
              <w:rPr>
                <w:rFonts w:ascii="Times New Roman" w:hAnsi="Times New Roman"/>
                <w:sz w:val="18"/>
                <w:szCs w:val="18"/>
              </w:rPr>
              <w:t xml:space="preserve"> </w:t>
            </w:r>
            <w:r w:rsidRPr="003F26ED">
              <w:rPr>
                <w:rFonts w:ascii="Times New Roman" w:hAnsi="Times New Roman"/>
                <w:sz w:val="18"/>
                <w:szCs w:val="18"/>
              </w:rPr>
              <w:t>[</w:t>
            </w:r>
            <w:r w:rsidR="00524A90" w:rsidRPr="003F26ED">
              <w:rPr>
                <w:rFonts w:ascii="Times New Roman" w:hAnsi="Times New Roman"/>
                <w:sz w:val="18"/>
                <w:szCs w:val="18"/>
              </w:rPr>
              <w:t>6</w:t>
            </w:r>
            <w:r w:rsidRPr="003F26ED">
              <w:rPr>
                <w:rFonts w:ascii="Times New Roman" w:hAnsi="Times New Roman"/>
                <w:sz w:val="18"/>
                <w:szCs w:val="18"/>
              </w:rPr>
              <w:t>]</w:t>
            </w:r>
          </w:p>
          <w:p w14:paraId="4B04D950" w14:textId="77777777" w:rsidR="002726DA"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ODH</w:t>
            </w:r>
          </w:p>
          <w:p w14:paraId="2B13FD2F" w14:textId="5D8B7B44"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2021 </w:t>
            </w:r>
            <w:r w:rsidR="002726DA" w:rsidRPr="003F26ED">
              <w:rPr>
                <w:rFonts w:ascii="Times New Roman" w:hAnsi="Times New Roman"/>
                <w:sz w:val="18"/>
                <w:szCs w:val="18"/>
              </w:rPr>
              <w:t>[7]</w:t>
            </w:r>
          </w:p>
        </w:tc>
        <w:tc>
          <w:tcPr>
            <w:tcW w:w="1440" w:type="dxa"/>
          </w:tcPr>
          <w:p w14:paraId="38E4B3EA" w14:textId="0199D1F9"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Geospatial map</w:t>
            </w:r>
            <w:r w:rsidR="008412BA" w:rsidRPr="003F26ED">
              <w:rPr>
                <w:rFonts w:ascii="Times New Roman" w:hAnsi="Times New Roman"/>
                <w:sz w:val="18"/>
                <w:szCs w:val="18"/>
              </w:rPr>
              <w:t>s</w:t>
            </w:r>
            <w:r w:rsidRPr="003F26ED">
              <w:rPr>
                <w:rFonts w:ascii="Times New Roman" w:hAnsi="Times New Roman"/>
                <w:sz w:val="18"/>
                <w:szCs w:val="18"/>
              </w:rPr>
              <w:t xml:space="preserve"> of testing sites, mobile van for </w:t>
            </w:r>
            <w:r w:rsidR="008412BA" w:rsidRPr="003F26ED">
              <w:rPr>
                <w:rFonts w:ascii="Times New Roman" w:hAnsi="Times New Roman"/>
                <w:sz w:val="18"/>
                <w:szCs w:val="18"/>
              </w:rPr>
              <w:t xml:space="preserve">POC </w:t>
            </w:r>
            <w:r w:rsidRPr="003F26ED">
              <w:rPr>
                <w:rFonts w:ascii="Times New Roman" w:hAnsi="Times New Roman"/>
                <w:sz w:val="18"/>
                <w:szCs w:val="18"/>
              </w:rPr>
              <w:t xml:space="preserve">COVID-19 </w:t>
            </w:r>
            <w:r w:rsidR="008412BA" w:rsidRPr="003F26ED">
              <w:rPr>
                <w:rFonts w:ascii="Times New Roman" w:hAnsi="Times New Roman"/>
                <w:sz w:val="18"/>
                <w:szCs w:val="18"/>
              </w:rPr>
              <w:t>testing</w:t>
            </w:r>
          </w:p>
        </w:tc>
        <w:tc>
          <w:tcPr>
            <w:tcW w:w="1260" w:type="dxa"/>
          </w:tcPr>
          <w:p w14:paraId="38D6E88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Rural Cambodian provinces and California, USA</w:t>
            </w:r>
          </w:p>
        </w:tc>
        <w:tc>
          <w:tcPr>
            <w:tcW w:w="1170" w:type="dxa"/>
          </w:tcPr>
          <w:p w14:paraId="27A4738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COVID-19 RAgT, RT-PCR, and Antibody test</w:t>
            </w:r>
          </w:p>
        </w:tc>
        <w:tc>
          <w:tcPr>
            <w:tcW w:w="4045" w:type="dxa"/>
          </w:tcPr>
          <w:p w14:paraId="6AF15AC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Strategic placement of field RAgTs and referral RT-PCR enables proper triage and diagnosis of COVID-19 in the rural Cambodian provinces. A mobile van in California provides community access to rapid COVID-19 testing where outbreaks occur.</w:t>
            </w:r>
          </w:p>
        </w:tc>
      </w:tr>
      <w:tr w:rsidR="00042CB3" w:rsidRPr="003F26ED" w14:paraId="3829D878" w14:textId="77777777" w:rsidTr="00042CB3">
        <w:tc>
          <w:tcPr>
            <w:tcW w:w="1435" w:type="dxa"/>
          </w:tcPr>
          <w:p w14:paraId="4CD5BE1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Kost</w:t>
            </w:r>
          </w:p>
          <w:p w14:paraId="3EEACE8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Diagnostics</w:t>
            </w:r>
          </w:p>
          <w:p w14:paraId="5100E349" w14:textId="3797B154"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2022 </w:t>
            </w:r>
            <w:r w:rsidR="002726DA" w:rsidRPr="003F26ED">
              <w:rPr>
                <w:rFonts w:ascii="Times New Roman" w:hAnsi="Times New Roman"/>
                <w:sz w:val="18"/>
                <w:szCs w:val="18"/>
              </w:rPr>
              <w:t>[8]</w:t>
            </w:r>
          </w:p>
          <w:p w14:paraId="2A1C38B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APLM</w:t>
            </w:r>
          </w:p>
          <w:p w14:paraId="17B9A6F8" w14:textId="3F1B6AA2"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2019-22 </w:t>
            </w:r>
            <w:r w:rsidR="002726DA" w:rsidRPr="003F26ED">
              <w:rPr>
                <w:rFonts w:ascii="Times New Roman" w:hAnsi="Times New Roman"/>
                <w:sz w:val="18"/>
                <w:szCs w:val="18"/>
              </w:rPr>
              <w:t>[9-15]</w:t>
            </w:r>
          </w:p>
        </w:tc>
        <w:tc>
          <w:tcPr>
            <w:tcW w:w="1440" w:type="dxa"/>
          </w:tcPr>
          <w:p w14:paraId="484738A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Diagnostic gateways empowering people for self-care</w:t>
            </w:r>
          </w:p>
        </w:tc>
        <w:tc>
          <w:tcPr>
            <w:tcW w:w="1260" w:type="dxa"/>
          </w:tcPr>
          <w:p w14:paraId="6F565B1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Mathematical analysis of clinical studies, worldwide</w:t>
            </w:r>
          </w:p>
        </w:tc>
        <w:tc>
          <w:tcPr>
            <w:tcW w:w="1170" w:type="dxa"/>
          </w:tcPr>
          <w:p w14:paraId="5EF0EF5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COVID-19 RAgT, saliva RT-PCR test </w:t>
            </w:r>
          </w:p>
        </w:tc>
        <w:tc>
          <w:tcPr>
            <w:tcW w:w="4045" w:type="dxa"/>
          </w:tcPr>
          <w:p w14:paraId="5C1BF8E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Visual logistics established the relative merits of home, community, and emergency COVID-19 diagnostic portals along spatial care paths that empower people to protect their families, friends, and workplace colleagues.</w:t>
            </w:r>
          </w:p>
        </w:tc>
      </w:tr>
      <w:tr w:rsidR="00042CB3" w:rsidRPr="003F26ED" w14:paraId="5F874265" w14:textId="77777777" w:rsidTr="00042CB3">
        <w:tc>
          <w:tcPr>
            <w:tcW w:w="1435" w:type="dxa"/>
          </w:tcPr>
          <w:p w14:paraId="38623FC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Yolo County Public Health and CDC</w:t>
            </w:r>
          </w:p>
          <w:p w14:paraId="2C364489" w14:textId="48C0571F" w:rsidR="00042CB3" w:rsidRPr="003F26ED" w:rsidRDefault="00042CB3" w:rsidP="00042CB3">
            <w:pPr>
              <w:spacing w:line="240" w:lineRule="auto"/>
              <w:jc w:val="left"/>
              <w:rPr>
                <w:rFonts w:ascii="Times New Roman" w:hAnsi="Times New Roman"/>
                <w:b/>
                <w:bCs/>
                <w:sz w:val="18"/>
                <w:szCs w:val="18"/>
              </w:rPr>
            </w:pPr>
            <w:r w:rsidRPr="003F26ED">
              <w:rPr>
                <w:rFonts w:ascii="Times New Roman" w:hAnsi="Times New Roman"/>
                <w:sz w:val="18"/>
                <w:szCs w:val="18"/>
              </w:rPr>
              <w:t xml:space="preserve">2022 </w:t>
            </w:r>
            <w:r w:rsidR="002726DA" w:rsidRPr="003F26ED">
              <w:rPr>
                <w:rFonts w:ascii="Times New Roman" w:hAnsi="Times New Roman"/>
                <w:sz w:val="18"/>
                <w:szCs w:val="18"/>
              </w:rPr>
              <w:t>[16,17]</w:t>
            </w:r>
          </w:p>
        </w:tc>
        <w:tc>
          <w:tcPr>
            <w:tcW w:w="1440" w:type="dxa"/>
          </w:tcPr>
          <w:p w14:paraId="38F003E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Vending machines for COVID-19 test kit free distribution</w:t>
            </w:r>
          </w:p>
        </w:tc>
        <w:tc>
          <w:tcPr>
            <w:tcW w:w="1260" w:type="dxa"/>
          </w:tcPr>
          <w:p w14:paraId="6AD371D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Yolo County public libraries (4), California, USA</w:t>
            </w:r>
          </w:p>
        </w:tc>
        <w:tc>
          <w:tcPr>
            <w:tcW w:w="1170" w:type="dxa"/>
          </w:tcPr>
          <w:p w14:paraId="4CC4122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COVID-19 RAgT self-testing kits</w:t>
            </w:r>
          </w:p>
          <w:p w14:paraId="18F997D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(Flowflex)</w:t>
            </w:r>
          </w:p>
        </w:tc>
        <w:tc>
          <w:tcPr>
            <w:tcW w:w="4045" w:type="dxa"/>
          </w:tcPr>
          <w:p w14:paraId="3A440BD8"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First county in California where public health distributes COVID-19 RAgTs free of charge in unlimited numbers creating responsibility for frequency of use and 24/7 empowerment when individual results become available in minutes.</w:t>
            </w:r>
          </w:p>
        </w:tc>
      </w:tr>
      <w:tr w:rsidR="00042CB3" w:rsidRPr="003F26ED" w14:paraId="79EB0F2F" w14:textId="77777777" w:rsidTr="00042CB3">
        <w:tc>
          <w:tcPr>
            <w:tcW w:w="1435" w:type="dxa"/>
          </w:tcPr>
          <w:p w14:paraId="630B103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Clinical outreach pioneers</w:t>
            </w:r>
          </w:p>
          <w:p w14:paraId="3A7A84B8"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Investigative reports</w:t>
            </w:r>
          </w:p>
          <w:p w14:paraId="09426628" w14:textId="08400BB2"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2020-2022 </w:t>
            </w:r>
            <w:r w:rsidR="002726DA" w:rsidRPr="003F26ED">
              <w:rPr>
                <w:rFonts w:ascii="Times New Roman" w:hAnsi="Times New Roman"/>
                <w:sz w:val="18"/>
                <w:szCs w:val="18"/>
              </w:rPr>
              <w:t>[18-26]</w:t>
            </w:r>
          </w:p>
        </w:tc>
        <w:tc>
          <w:tcPr>
            <w:tcW w:w="1440" w:type="dxa"/>
          </w:tcPr>
          <w:p w14:paraId="5355C1C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Mobile and door-to-door testing</w:t>
            </w:r>
          </w:p>
        </w:tc>
        <w:tc>
          <w:tcPr>
            <w:tcW w:w="1260" w:type="dxa"/>
          </w:tcPr>
          <w:p w14:paraId="1BF8DB4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Several sites worldwide</w:t>
            </w:r>
          </w:p>
        </w:tc>
        <w:tc>
          <w:tcPr>
            <w:tcW w:w="1170" w:type="dxa"/>
          </w:tcPr>
          <w:p w14:paraId="3501B5D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COVID-19 testing outreach at points of need in the community</w:t>
            </w:r>
          </w:p>
        </w:tc>
        <w:tc>
          <w:tcPr>
            <w:tcW w:w="4045" w:type="dxa"/>
          </w:tcPr>
          <w:p w14:paraId="1DA9108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Benefits comprise high volume testing; improved access; privacy; multiple test formats (PCR, RAgT, AbT); service for hard-to-reach, marginalized, vulnerable, and underserved people diminishing disparities and inequities; increased testing; tracking positivity rates; outbreak mitigation; and partnered vaccination. </w:t>
            </w:r>
          </w:p>
        </w:tc>
      </w:tr>
      <w:tr w:rsidR="00042CB3" w:rsidRPr="003F26ED" w14:paraId="5E306C4C" w14:textId="77777777" w:rsidTr="00042CB3">
        <w:tc>
          <w:tcPr>
            <w:tcW w:w="9350" w:type="dxa"/>
            <w:gridSpan w:val="5"/>
          </w:tcPr>
          <w:p w14:paraId="49B2749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b/>
                <w:bCs/>
                <w:sz w:val="18"/>
                <w:szCs w:val="18"/>
              </w:rPr>
              <w:t>• Spatial Care Paths</w:t>
            </w:r>
          </w:p>
        </w:tc>
      </w:tr>
      <w:tr w:rsidR="00042CB3" w:rsidRPr="003F26ED" w14:paraId="71C2D01D" w14:textId="77777777" w:rsidTr="00042CB3">
        <w:tc>
          <w:tcPr>
            <w:tcW w:w="1435" w:type="dxa"/>
          </w:tcPr>
          <w:p w14:paraId="02B78178" w14:textId="77777777" w:rsidR="00042CB3" w:rsidRPr="003F26ED" w:rsidRDefault="00042CB3" w:rsidP="003F26ED">
            <w:pPr>
              <w:spacing w:line="240" w:lineRule="auto"/>
              <w:jc w:val="left"/>
              <w:rPr>
                <w:rFonts w:ascii="Times New Roman" w:hAnsi="Times New Roman"/>
                <w:b/>
                <w:bCs/>
                <w:sz w:val="18"/>
                <w:szCs w:val="18"/>
                <w:vertAlign w:val="superscript"/>
              </w:rPr>
            </w:pPr>
            <w:r w:rsidRPr="003F26ED">
              <w:rPr>
                <w:rFonts w:ascii="Times New Roman" w:hAnsi="Times New Roman"/>
                <w:sz w:val="18"/>
                <w:szCs w:val="18"/>
              </w:rPr>
              <w:t>Kost</w:t>
            </w:r>
          </w:p>
          <w:p w14:paraId="54EE949C" w14:textId="0F38E4F6" w:rsidR="00042CB3" w:rsidRPr="003F26ED" w:rsidRDefault="00042CB3" w:rsidP="003F26ED">
            <w:pPr>
              <w:spacing w:line="240" w:lineRule="auto"/>
              <w:jc w:val="left"/>
              <w:rPr>
                <w:rFonts w:ascii="Times New Roman" w:hAnsi="Times New Roman"/>
                <w:sz w:val="18"/>
                <w:szCs w:val="18"/>
              </w:rPr>
            </w:pPr>
            <w:r w:rsidRPr="003F26ED">
              <w:rPr>
                <w:rFonts w:ascii="Times New Roman" w:hAnsi="Times New Roman"/>
                <w:sz w:val="18"/>
                <w:szCs w:val="18"/>
              </w:rPr>
              <w:t xml:space="preserve">Point of Care 2016-18 </w:t>
            </w:r>
            <w:r w:rsidR="00B13FE0" w:rsidRPr="003F26ED">
              <w:rPr>
                <w:rFonts w:ascii="Times New Roman" w:hAnsi="Times New Roman"/>
                <w:sz w:val="18"/>
                <w:szCs w:val="18"/>
              </w:rPr>
              <w:t>[30-32]</w:t>
            </w:r>
          </w:p>
          <w:p w14:paraId="5FC81178" w14:textId="00069AAB" w:rsidR="00042CB3" w:rsidRPr="003F26ED" w:rsidRDefault="00042CB3" w:rsidP="003F26ED">
            <w:pPr>
              <w:spacing w:line="240" w:lineRule="auto"/>
              <w:jc w:val="left"/>
              <w:rPr>
                <w:rFonts w:ascii="Times New Roman" w:hAnsi="Times New Roman"/>
                <w:sz w:val="18"/>
                <w:szCs w:val="18"/>
              </w:rPr>
            </w:pPr>
            <w:r w:rsidRPr="003F26ED">
              <w:rPr>
                <w:rFonts w:ascii="Times New Roman" w:hAnsi="Times New Roman"/>
                <w:sz w:val="18"/>
                <w:szCs w:val="18"/>
              </w:rPr>
              <w:t xml:space="preserve">Clin Lab Int 2015 </w:t>
            </w:r>
            <w:r w:rsidR="00B13FE0" w:rsidRPr="003F26ED">
              <w:rPr>
                <w:rFonts w:ascii="Times New Roman" w:hAnsi="Times New Roman"/>
                <w:sz w:val="18"/>
                <w:szCs w:val="18"/>
              </w:rPr>
              <w:t>[29]</w:t>
            </w:r>
          </w:p>
          <w:p w14:paraId="19530F8C" w14:textId="7BAB2FE4" w:rsidR="00042CB3" w:rsidRPr="003F26ED" w:rsidRDefault="00042CB3" w:rsidP="003F26ED">
            <w:pPr>
              <w:spacing w:line="240" w:lineRule="auto"/>
              <w:jc w:val="left"/>
              <w:rPr>
                <w:rFonts w:ascii="Times New Roman" w:hAnsi="Times New Roman"/>
                <w:sz w:val="18"/>
                <w:szCs w:val="18"/>
              </w:rPr>
            </w:pPr>
            <w:r w:rsidRPr="003F26ED">
              <w:rPr>
                <w:rFonts w:ascii="Times New Roman" w:hAnsi="Times New Roman"/>
                <w:sz w:val="18"/>
                <w:szCs w:val="18"/>
              </w:rPr>
              <w:lastRenderedPageBreak/>
              <w:t xml:space="preserve">Am J Dis Med 2015 </w:t>
            </w:r>
            <w:r w:rsidR="00B13FE0" w:rsidRPr="003F26ED">
              <w:rPr>
                <w:rFonts w:ascii="Times New Roman" w:hAnsi="Times New Roman"/>
                <w:sz w:val="18"/>
                <w:szCs w:val="18"/>
              </w:rPr>
              <w:t>[28]</w:t>
            </w:r>
          </w:p>
          <w:p w14:paraId="2288375E" w14:textId="7A986460" w:rsidR="00042CB3" w:rsidRPr="003F26ED" w:rsidRDefault="00042CB3" w:rsidP="003F26ED">
            <w:pPr>
              <w:spacing w:line="240" w:lineRule="auto"/>
              <w:jc w:val="left"/>
              <w:rPr>
                <w:rFonts w:ascii="Times New Roman" w:hAnsi="Times New Roman"/>
                <w:sz w:val="18"/>
                <w:szCs w:val="18"/>
              </w:rPr>
            </w:pPr>
            <w:r w:rsidRPr="003F26ED">
              <w:rPr>
                <w:rFonts w:ascii="Times New Roman" w:hAnsi="Times New Roman"/>
                <w:sz w:val="18"/>
                <w:szCs w:val="18"/>
              </w:rPr>
              <w:t xml:space="preserve">JIFCCLM 2014 </w:t>
            </w:r>
            <w:r w:rsidR="00B13FE0" w:rsidRPr="003F26ED">
              <w:rPr>
                <w:rFonts w:ascii="Times New Roman" w:hAnsi="Times New Roman"/>
                <w:sz w:val="18"/>
                <w:szCs w:val="18"/>
              </w:rPr>
              <w:t>[27]</w:t>
            </w:r>
          </w:p>
        </w:tc>
        <w:tc>
          <w:tcPr>
            <w:tcW w:w="1440" w:type="dxa"/>
          </w:tcPr>
          <w:p w14:paraId="5EC0CBE4" w14:textId="799B60E6" w:rsidR="00042CB3" w:rsidRPr="003F26ED" w:rsidRDefault="008412BA" w:rsidP="003F26ED">
            <w:pPr>
              <w:spacing w:line="240" w:lineRule="auto"/>
              <w:jc w:val="left"/>
              <w:rPr>
                <w:rFonts w:ascii="Times New Roman" w:hAnsi="Times New Roman"/>
                <w:sz w:val="18"/>
                <w:szCs w:val="18"/>
              </w:rPr>
            </w:pPr>
            <w:r w:rsidRPr="003F26ED">
              <w:rPr>
                <w:rFonts w:ascii="Times New Roman" w:hAnsi="Times New Roman"/>
                <w:sz w:val="18"/>
                <w:szCs w:val="18"/>
              </w:rPr>
              <w:lastRenderedPageBreak/>
              <w:t xml:space="preserve">The spatial care path concept — </w:t>
            </w:r>
            <w:r w:rsidR="00042CB3" w:rsidRPr="003F26ED">
              <w:rPr>
                <w:rFonts w:ascii="Times New Roman" w:hAnsi="Times New Roman"/>
                <w:sz w:val="18"/>
                <w:szCs w:val="18"/>
              </w:rPr>
              <w:t>Invention</w:t>
            </w:r>
            <w:r w:rsidRPr="003F26ED">
              <w:rPr>
                <w:rFonts w:ascii="Times New Roman" w:hAnsi="Times New Roman"/>
                <w:sz w:val="18"/>
                <w:szCs w:val="18"/>
              </w:rPr>
              <w:t>, construction,</w:t>
            </w:r>
            <w:r w:rsidR="00042CB3" w:rsidRPr="003F26ED">
              <w:rPr>
                <w:rFonts w:ascii="Times New Roman" w:hAnsi="Times New Roman"/>
                <w:sz w:val="18"/>
                <w:szCs w:val="18"/>
              </w:rPr>
              <w:t xml:space="preserve"> </w:t>
            </w:r>
            <w:r w:rsidR="00042CB3" w:rsidRPr="003F26ED">
              <w:rPr>
                <w:rFonts w:ascii="Times New Roman" w:hAnsi="Times New Roman"/>
                <w:sz w:val="18"/>
                <w:szCs w:val="18"/>
              </w:rPr>
              <w:lastRenderedPageBreak/>
              <w:t xml:space="preserve">and </w:t>
            </w:r>
            <w:r w:rsidRPr="003F26ED">
              <w:rPr>
                <w:rFonts w:ascii="Times New Roman" w:hAnsi="Times New Roman"/>
                <w:sz w:val="18"/>
                <w:szCs w:val="18"/>
              </w:rPr>
              <w:t>geospatial design</w:t>
            </w:r>
          </w:p>
        </w:tc>
        <w:tc>
          <w:tcPr>
            <w:tcW w:w="1260" w:type="dxa"/>
          </w:tcPr>
          <w:p w14:paraId="255AD341" w14:textId="77777777" w:rsidR="00042CB3" w:rsidRPr="003F26ED" w:rsidRDefault="00042CB3" w:rsidP="003F26ED">
            <w:pPr>
              <w:spacing w:line="240" w:lineRule="auto"/>
              <w:jc w:val="left"/>
              <w:rPr>
                <w:rFonts w:ascii="Times New Roman" w:hAnsi="Times New Roman"/>
                <w:sz w:val="18"/>
                <w:szCs w:val="18"/>
                <w:u w:val="single"/>
              </w:rPr>
            </w:pPr>
            <w:r w:rsidRPr="003F26ED">
              <w:rPr>
                <w:rFonts w:ascii="Times New Roman" w:hAnsi="Times New Roman"/>
                <w:sz w:val="18"/>
                <w:szCs w:val="18"/>
              </w:rPr>
              <w:lastRenderedPageBreak/>
              <w:t>Global applications (see references)</w:t>
            </w:r>
          </w:p>
        </w:tc>
        <w:tc>
          <w:tcPr>
            <w:tcW w:w="1170" w:type="dxa"/>
          </w:tcPr>
          <w:p w14:paraId="28672DE5" w14:textId="77777777" w:rsidR="00042CB3" w:rsidRPr="003F26ED" w:rsidRDefault="00042CB3" w:rsidP="003F26ED">
            <w:pPr>
              <w:spacing w:line="240" w:lineRule="auto"/>
              <w:jc w:val="left"/>
              <w:rPr>
                <w:rFonts w:ascii="Times New Roman" w:hAnsi="Times New Roman"/>
                <w:sz w:val="18"/>
                <w:szCs w:val="18"/>
              </w:rPr>
            </w:pPr>
            <w:r w:rsidRPr="003F26ED">
              <w:rPr>
                <w:rFonts w:ascii="Times New Roman" w:hAnsi="Times New Roman"/>
                <w:sz w:val="18"/>
                <w:szCs w:val="18"/>
              </w:rPr>
              <w:t xml:space="preserve">Optimizing patient access and medical </w:t>
            </w:r>
            <w:r w:rsidRPr="003F26ED">
              <w:rPr>
                <w:rFonts w:ascii="Times New Roman" w:hAnsi="Times New Roman"/>
                <w:sz w:val="18"/>
                <w:szCs w:val="18"/>
              </w:rPr>
              <w:lastRenderedPageBreak/>
              <w:t>decision making</w:t>
            </w:r>
          </w:p>
        </w:tc>
        <w:tc>
          <w:tcPr>
            <w:tcW w:w="4045" w:type="dxa"/>
          </w:tcPr>
          <w:p w14:paraId="19587665" w14:textId="77777777" w:rsidR="00042CB3" w:rsidRPr="003F26ED" w:rsidRDefault="00042CB3" w:rsidP="003F26ED">
            <w:pPr>
              <w:pStyle w:val="NormalWeb"/>
              <w:spacing w:line="240" w:lineRule="auto"/>
              <w:jc w:val="left"/>
              <w:rPr>
                <w:rFonts w:ascii="Times New Roman" w:hAnsi="Times New Roman"/>
                <w:sz w:val="18"/>
                <w:szCs w:val="18"/>
              </w:rPr>
            </w:pPr>
            <w:r w:rsidRPr="003F26ED">
              <w:rPr>
                <w:rFonts w:ascii="Times New Roman" w:hAnsi="Times New Roman"/>
                <w:sz w:val="18"/>
                <w:szCs w:val="18"/>
              </w:rPr>
              <w:lastRenderedPageBreak/>
              <w:t>POC testing in limited-resource settings is best guided by thorough understanding of the POC geospacer and culture. The spatial care path</w:t>
            </w:r>
            <w:r w:rsidRPr="003F26ED">
              <w:rPr>
                <w:rFonts w:ascii="Times New Roman" w:hAnsi="Times New Roman"/>
                <w:position w:val="8"/>
                <w:sz w:val="18"/>
                <w:szCs w:val="18"/>
              </w:rPr>
              <w:t xml:space="preserve"> </w:t>
            </w:r>
            <w:r w:rsidRPr="003F26ED">
              <w:rPr>
                <w:rFonts w:ascii="Times New Roman" w:hAnsi="Times New Roman"/>
                <w:sz w:val="18"/>
                <w:szCs w:val="18"/>
              </w:rPr>
              <w:t xml:space="preserve">facilitates an essential balance of prevention and intervention in public health and shifts future focus </w:t>
            </w:r>
            <w:r w:rsidRPr="003F26ED">
              <w:rPr>
                <w:rFonts w:ascii="Times New Roman" w:hAnsi="Times New Roman"/>
                <w:sz w:val="18"/>
                <w:szCs w:val="18"/>
              </w:rPr>
              <w:lastRenderedPageBreak/>
              <w:t>to the patient, empowerment, and primary care within the context of geography, topography, healthcare, and culture.</w:t>
            </w:r>
          </w:p>
        </w:tc>
      </w:tr>
      <w:tr w:rsidR="00042CB3" w:rsidRPr="003F26ED" w14:paraId="0B9FD979" w14:textId="77777777" w:rsidTr="00042CB3">
        <w:tc>
          <w:tcPr>
            <w:tcW w:w="1435" w:type="dxa"/>
          </w:tcPr>
          <w:p w14:paraId="59B6D70E" w14:textId="77777777" w:rsidR="00042CB3" w:rsidRPr="003F26ED" w:rsidRDefault="00042CB3" w:rsidP="003F26ED">
            <w:pPr>
              <w:spacing w:line="240" w:lineRule="auto"/>
              <w:jc w:val="left"/>
              <w:rPr>
                <w:rFonts w:ascii="Times New Roman" w:hAnsi="Times New Roman"/>
                <w:sz w:val="18"/>
                <w:szCs w:val="18"/>
              </w:rPr>
            </w:pPr>
            <w:r w:rsidRPr="003F26ED">
              <w:rPr>
                <w:rFonts w:ascii="Times New Roman" w:hAnsi="Times New Roman"/>
                <w:sz w:val="18"/>
                <w:szCs w:val="18"/>
              </w:rPr>
              <w:lastRenderedPageBreak/>
              <w:t>Kost</w:t>
            </w:r>
          </w:p>
          <w:p w14:paraId="56650AED" w14:textId="3EF9123F" w:rsidR="00042CB3" w:rsidRPr="003F26ED" w:rsidRDefault="00042CB3" w:rsidP="003F26ED">
            <w:pPr>
              <w:spacing w:line="240" w:lineRule="auto"/>
              <w:jc w:val="left"/>
              <w:rPr>
                <w:rFonts w:ascii="Times New Roman" w:hAnsi="Times New Roman"/>
                <w:sz w:val="18"/>
                <w:szCs w:val="18"/>
              </w:rPr>
            </w:pPr>
            <w:r w:rsidRPr="003F26ED">
              <w:rPr>
                <w:rFonts w:ascii="Times New Roman" w:hAnsi="Times New Roman"/>
                <w:sz w:val="18"/>
                <w:szCs w:val="18"/>
              </w:rPr>
              <w:t xml:space="preserve">Front Publ Hlth 2019 </w:t>
            </w:r>
            <w:r w:rsidR="00B13FE0" w:rsidRPr="003F26ED">
              <w:rPr>
                <w:rFonts w:ascii="Times New Roman" w:hAnsi="Times New Roman"/>
                <w:sz w:val="18"/>
                <w:szCs w:val="18"/>
              </w:rPr>
              <w:t>[36]</w:t>
            </w:r>
          </w:p>
          <w:p w14:paraId="7D6113F0" w14:textId="77777777" w:rsidR="00042CB3" w:rsidRPr="003F26ED" w:rsidRDefault="00042CB3" w:rsidP="003F26ED">
            <w:pPr>
              <w:spacing w:line="240" w:lineRule="auto"/>
              <w:jc w:val="left"/>
              <w:rPr>
                <w:rFonts w:ascii="Times New Roman" w:hAnsi="Times New Roman"/>
                <w:sz w:val="18"/>
                <w:szCs w:val="18"/>
              </w:rPr>
            </w:pPr>
            <w:r w:rsidRPr="003F26ED">
              <w:rPr>
                <w:rFonts w:ascii="Times New Roman" w:hAnsi="Times New Roman"/>
                <w:sz w:val="18"/>
                <w:szCs w:val="18"/>
              </w:rPr>
              <w:t>Ferguson</w:t>
            </w:r>
          </w:p>
          <w:p w14:paraId="1046E955" w14:textId="77777777" w:rsidR="00042CB3" w:rsidRPr="003F26ED" w:rsidRDefault="00042CB3" w:rsidP="003F26ED">
            <w:pPr>
              <w:spacing w:line="240" w:lineRule="auto"/>
              <w:jc w:val="left"/>
              <w:rPr>
                <w:rFonts w:ascii="Times New Roman" w:hAnsi="Times New Roman"/>
                <w:sz w:val="18"/>
                <w:szCs w:val="18"/>
              </w:rPr>
            </w:pPr>
            <w:r w:rsidRPr="003F26ED">
              <w:rPr>
                <w:rFonts w:ascii="Times New Roman" w:hAnsi="Times New Roman"/>
                <w:sz w:val="18"/>
                <w:szCs w:val="18"/>
              </w:rPr>
              <w:t>Int J Hlth Geogr</w:t>
            </w:r>
          </w:p>
          <w:p w14:paraId="0B722132" w14:textId="155BA0EB" w:rsidR="00042CB3" w:rsidRPr="003F26ED" w:rsidRDefault="00042CB3" w:rsidP="003F26ED">
            <w:pPr>
              <w:spacing w:line="240" w:lineRule="auto"/>
              <w:jc w:val="left"/>
              <w:rPr>
                <w:rFonts w:ascii="Times New Roman" w:hAnsi="Times New Roman"/>
                <w:sz w:val="18"/>
                <w:szCs w:val="18"/>
              </w:rPr>
            </w:pPr>
            <w:r w:rsidRPr="003F26ED">
              <w:rPr>
                <w:rFonts w:ascii="Times New Roman" w:hAnsi="Times New Roman"/>
                <w:sz w:val="18"/>
                <w:szCs w:val="18"/>
              </w:rPr>
              <w:t xml:space="preserve">2016 </w:t>
            </w:r>
            <w:r w:rsidR="00B13FE0" w:rsidRPr="003F26ED">
              <w:rPr>
                <w:rFonts w:ascii="Times New Roman" w:hAnsi="Times New Roman"/>
                <w:sz w:val="18"/>
                <w:szCs w:val="18"/>
              </w:rPr>
              <w:t>[35]</w:t>
            </w:r>
            <w:r w:rsidRPr="003F26ED">
              <w:rPr>
                <w:rFonts w:ascii="Times New Roman" w:hAnsi="Times New Roman"/>
                <w:sz w:val="18"/>
                <w:szCs w:val="18"/>
              </w:rPr>
              <w:t xml:space="preserve">, GPOC 2015 </w:t>
            </w:r>
            <w:r w:rsidR="00B13FE0" w:rsidRPr="003F26ED">
              <w:rPr>
                <w:rFonts w:ascii="Times New Roman" w:hAnsi="Times New Roman"/>
                <w:sz w:val="18"/>
                <w:szCs w:val="18"/>
              </w:rPr>
              <w:t>[34]</w:t>
            </w:r>
            <w:r w:rsidRPr="003F26ED">
              <w:rPr>
                <w:rFonts w:ascii="Times New Roman" w:hAnsi="Times New Roman"/>
                <w:sz w:val="18"/>
                <w:szCs w:val="18"/>
              </w:rPr>
              <w:t xml:space="preserve">, Point of Care  2012 </w:t>
            </w:r>
            <w:r w:rsidR="00B13FE0" w:rsidRPr="003F26ED">
              <w:rPr>
                <w:rFonts w:ascii="Times New Roman" w:hAnsi="Times New Roman"/>
                <w:sz w:val="18"/>
                <w:szCs w:val="18"/>
              </w:rPr>
              <w:t>[33]</w:t>
            </w:r>
          </w:p>
        </w:tc>
        <w:tc>
          <w:tcPr>
            <w:tcW w:w="1440" w:type="dxa"/>
          </w:tcPr>
          <w:p w14:paraId="3470414C" w14:textId="50BFBAC8" w:rsidR="00042CB3" w:rsidRPr="003F26ED" w:rsidRDefault="008412BA" w:rsidP="003F26ED">
            <w:pPr>
              <w:spacing w:line="240" w:lineRule="auto"/>
              <w:jc w:val="left"/>
              <w:rPr>
                <w:rFonts w:ascii="Times New Roman" w:hAnsi="Times New Roman"/>
                <w:sz w:val="18"/>
                <w:szCs w:val="18"/>
              </w:rPr>
            </w:pPr>
            <w:r w:rsidRPr="003F26ED">
              <w:rPr>
                <w:rFonts w:ascii="Times New Roman" w:hAnsi="Times New Roman"/>
                <w:sz w:val="18"/>
                <w:szCs w:val="18"/>
              </w:rPr>
              <w:t>G</w:t>
            </w:r>
            <w:r w:rsidR="00042CB3" w:rsidRPr="003F26ED">
              <w:rPr>
                <w:rFonts w:ascii="Times New Roman" w:hAnsi="Times New Roman"/>
                <w:sz w:val="18"/>
                <w:szCs w:val="18"/>
              </w:rPr>
              <w:t>eographic information systems and geospatial analysis</w:t>
            </w:r>
          </w:p>
        </w:tc>
        <w:tc>
          <w:tcPr>
            <w:tcW w:w="1260" w:type="dxa"/>
          </w:tcPr>
          <w:p w14:paraId="5185DB0C" w14:textId="77777777" w:rsidR="00042CB3" w:rsidRPr="003F26ED" w:rsidRDefault="00042CB3" w:rsidP="003F26ED">
            <w:pPr>
              <w:spacing w:line="240" w:lineRule="auto"/>
              <w:jc w:val="left"/>
              <w:rPr>
                <w:rFonts w:ascii="Times New Roman" w:hAnsi="Times New Roman"/>
                <w:sz w:val="18"/>
                <w:szCs w:val="18"/>
              </w:rPr>
            </w:pPr>
            <w:r w:rsidRPr="003F26ED">
              <w:rPr>
                <w:rFonts w:ascii="Times New Roman" w:hAnsi="Times New Roman"/>
                <w:sz w:val="18"/>
                <w:szCs w:val="18"/>
              </w:rPr>
              <w:t>Isaan, Thailand</w:t>
            </w:r>
          </w:p>
        </w:tc>
        <w:tc>
          <w:tcPr>
            <w:tcW w:w="1170" w:type="dxa"/>
          </w:tcPr>
          <w:p w14:paraId="17313E6B" w14:textId="77777777" w:rsidR="00042CB3" w:rsidRPr="003F26ED" w:rsidRDefault="00042CB3" w:rsidP="003F26ED">
            <w:pPr>
              <w:spacing w:line="240" w:lineRule="auto"/>
              <w:jc w:val="left"/>
              <w:rPr>
                <w:rFonts w:ascii="Times New Roman" w:hAnsi="Times New Roman"/>
                <w:sz w:val="18"/>
                <w:szCs w:val="18"/>
              </w:rPr>
            </w:pPr>
            <w:r w:rsidRPr="003F26ED">
              <w:rPr>
                <w:rFonts w:ascii="Times New Roman" w:hAnsi="Times New Roman"/>
                <w:sz w:val="18"/>
                <w:szCs w:val="18"/>
              </w:rPr>
              <w:t>POC access to cardiac biomarker testing in spatial care paths</w:t>
            </w:r>
          </w:p>
        </w:tc>
        <w:tc>
          <w:tcPr>
            <w:tcW w:w="4045" w:type="dxa"/>
          </w:tcPr>
          <w:p w14:paraId="5734474A" w14:textId="77777777" w:rsidR="00042CB3" w:rsidRPr="003F26ED" w:rsidRDefault="00042CB3" w:rsidP="003F26ED">
            <w:pPr>
              <w:pStyle w:val="NormalWeb"/>
              <w:spacing w:line="240" w:lineRule="auto"/>
              <w:jc w:val="left"/>
              <w:rPr>
                <w:rFonts w:ascii="Times New Roman" w:hAnsi="Times New Roman"/>
                <w:sz w:val="18"/>
                <w:szCs w:val="18"/>
              </w:rPr>
            </w:pPr>
            <w:r w:rsidRPr="003F26ED">
              <w:rPr>
                <w:rFonts w:ascii="Times New Roman" w:hAnsi="Times New Roman"/>
                <w:sz w:val="18"/>
                <w:szCs w:val="18"/>
              </w:rPr>
              <w:t>Geospatial analyses improve alternative POCT placement in limited-resource settings by revealing deficiencies in health care access. GISs provide a platform for comparing relative costs, assessing benefits, and improving outcomes. This approach can be implemented effectively to enhance cardiac care.</w:t>
            </w:r>
          </w:p>
        </w:tc>
      </w:tr>
      <w:tr w:rsidR="00042CB3" w:rsidRPr="003F26ED" w14:paraId="130FBCB9" w14:textId="77777777" w:rsidTr="00042CB3">
        <w:tc>
          <w:tcPr>
            <w:tcW w:w="9350" w:type="dxa"/>
            <w:gridSpan w:val="5"/>
          </w:tcPr>
          <w:p w14:paraId="0E66A68A" w14:textId="77777777" w:rsidR="00042CB3" w:rsidRPr="003F26ED" w:rsidRDefault="00042CB3" w:rsidP="00042CB3">
            <w:pPr>
              <w:pStyle w:val="NormalWeb"/>
              <w:spacing w:line="240" w:lineRule="auto"/>
              <w:jc w:val="left"/>
              <w:rPr>
                <w:rFonts w:ascii="Times New Roman" w:hAnsi="Times New Roman"/>
                <w:color w:val="211E1E"/>
                <w:sz w:val="18"/>
                <w:szCs w:val="18"/>
              </w:rPr>
            </w:pPr>
            <w:r w:rsidRPr="003F26ED">
              <w:rPr>
                <w:rFonts w:ascii="Times New Roman" w:hAnsi="Times New Roman"/>
                <w:b/>
                <w:bCs/>
                <w:sz w:val="18"/>
                <w:szCs w:val="18"/>
              </w:rPr>
              <w:t>Part 2. Test Categories</w:t>
            </w:r>
          </w:p>
        </w:tc>
      </w:tr>
      <w:tr w:rsidR="00042CB3" w:rsidRPr="003F26ED" w14:paraId="5551FD39" w14:textId="77777777" w:rsidTr="00042CB3">
        <w:tc>
          <w:tcPr>
            <w:tcW w:w="9350" w:type="dxa"/>
            <w:gridSpan w:val="5"/>
          </w:tcPr>
          <w:p w14:paraId="5DC7CEB6" w14:textId="77777777" w:rsidR="00042CB3" w:rsidRPr="003F26ED" w:rsidRDefault="00042CB3" w:rsidP="00042CB3">
            <w:pPr>
              <w:spacing w:line="240" w:lineRule="auto"/>
              <w:jc w:val="left"/>
              <w:rPr>
                <w:rFonts w:ascii="Times New Roman" w:hAnsi="Times New Roman"/>
                <w:b/>
                <w:bCs/>
                <w:sz w:val="18"/>
                <w:szCs w:val="18"/>
              </w:rPr>
            </w:pPr>
            <w:r w:rsidRPr="003F26ED">
              <w:rPr>
                <w:rFonts w:ascii="Times New Roman" w:hAnsi="Times New Roman"/>
                <w:b/>
                <w:bCs/>
                <w:sz w:val="18"/>
                <w:szCs w:val="18"/>
              </w:rPr>
              <w:t>• Cardiac Biomarkers</w:t>
            </w:r>
          </w:p>
        </w:tc>
      </w:tr>
      <w:tr w:rsidR="00042CB3" w:rsidRPr="003F26ED" w14:paraId="14C3A7CA" w14:textId="77777777" w:rsidTr="00042CB3">
        <w:tc>
          <w:tcPr>
            <w:tcW w:w="1435" w:type="dxa"/>
          </w:tcPr>
          <w:p w14:paraId="456C5D2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Castro-Portillo</w:t>
            </w:r>
            <w:r w:rsidRPr="003F26ED">
              <w:rPr>
                <w:rFonts w:ascii="Times New Roman" w:hAnsi="Times New Roman"/>
                <w:sz w:val="18"/>
                <w:szCs w:val="18"/>
              </w:rPr>
              <w:br/>
              <w:t>Int J Cardiol</w:t>
            </w:r>
          </w:p>
          <w:p w14:paraId="693DAAA1" w14:textId="21E9CDF0"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2022 </w:t>
            </w:r>
            <w:r w:rsidR="003F26ED">
              <w:rPr>
                <w:rFonts w:ascii="Times New Roman" w:hAnsi="Times New Roman"/>
                <w:sz w:val="18"/>
                <w:szCs w:val="18"/>
              </w:rPr>
              <w:t>[37]</w:t>
            </w:r>
          </w:p>
        </w:tc>
        <w:tc>
          <w:tcPr>
            <w:tcW w:w="1440" w:type="dxa"/>
          </w:tcPr>
          <w:p w14:paraId="7DC7D50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Adults with acute disease transferred to EDs</w:t>
            </w:r>
          </w:p>
        </w:tc>
        <w:tc>
          <w:tcPr>
            <w:tcW w:w="1260" w:type="dxa"/>
          </w:tcPr>
          <w:p w14:paraId="7645498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Valladolid, Spain</w:t>
            </w:r>
          </w:p>
        </w:tc>
        <w:tc>
          <w:tcPr>
            <w:tcW w:w="1170" w:type="dxa"/>
          </w:tcPr>
          <w:p w14:paraId="5B21EEB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NT-proBNP</w:t>
            </w:r>
          </w:p>
        </w:tc>
        <w:tc>
          <w:tcPr>
            <w:tcW w:w="4045" w:type="dxa"/>
          </w:tcPr>
          <w:p w14:paraId="3FD0EC3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POCT NT-proBNP predicts early </w:t>
            </w:r>
          </w:p>
          <w:p w14:paraId="4D035AE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mortality in acute cardiovascular disease, excellently in cases of syncope, but does not appear to be useful for predicting outcome in patients with acute heart failure.</w:t>
            </w:r>
          </w:p>
        </w:tc>
      </w:tr>
      <w:tr w:rsidR="00042CB3" w:rsidRPr="003F26ED" w14:paraId="3CD38F61" w14:textId="77777777" w:rsidTr="00042CB3">
        <w:tc>
          <w:tcPr>
            <w:tcW w:w="1435" w:type="dxa"/>
          </w:tcPr>
          <w:p w14:paraId="3108AFA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Jones</w:t>
            </w:r>
          </w:p>
          <w:p w14:paraId="35464C4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J Paramed Pract</w:t>
            </w:r>
          </w:p>
          <w:p w14:paraId="64E99171" w14:textId="7EAF87BC"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2022 </w:t>
            </w:r>
            <w:r w:rsidR="003F26ED">
              <w:rPr>
                <w:rFonts w:ascii="Times New Roman" w:hAnsi="Times New Roman"/>
                <w:sz w:val="18"/>
                <w:szCs w:val="18"/>
              </w:rPr>
              <w:t>[38]</w:t>
            </w:r>
          </w:p>
        </w:tc>
        <w:tc>
          <w:tcPr>
            <w:tcW w:w="1440" w:type="dxa"/>
          </w:tcPr>
          <w:p w14:paraId="6F7D7EB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stratification of chest pain</w:t>
            </w:r>
          </w:p>
        </w:tc>
        <w:tc>
          <w:tcPr>
            <w:tcW w:w="1260" w:type="dxa"/>
          </w:tcPr>
          <w:p w14:paraId="3C73AE3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Bradford, England</w:t>
            </w:r>
          </w:p>
        </w:tc>
        <w:tc>
          <w:tcPr>
            <w:tcW w:w="1170" w:type="dxa"/>
          </w:tcPr>
          <w:p w14:paraId="3CF03FF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HEART pathway (review)</w:t>
            </w:r>
          </w:p>
        </w:tc>
        <w:tc>
          <w:tcPr>
            <w:tcW w:w="4045" w:type="dxa"/>
          </w:tcPr>
          <w:p w14:paraId="67D3A0F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The use of HEART scores or hs-cTn prehospital by paramedics has the potential to improve patient outcomes.</w:t>
            </w:r>
          </w:p>
        </w:tc>
      </w:tr>
      <w:tr w:rsidR="00042CB3" w:rsidRPr="003F26ED" w14:paraId="2AB8D2DC" w14:textId="77777777" w:rsidTr="00042CB3">
        <w:tc>
          <w:tcPr>
            <w:tcW w:w="1435" w:type="dxa"/>
          </w:tcPr>
          <w:p w14:paraId="1B30600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Pavlovsky</w:t>
            </w:r>
          </w:p>
          <w:p w14:paraId="29E15DB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 Dis Med</w:t>
            </w:r>
          </w:p>
          <w:p w14:paraId="45D5EA09" w14:textId="7D9EBDB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2022 </w:t>
            </w:r>
            <w:r w:rsidR="003F26ED">
              <w:rPr>
                <w:rFonts w:ascii="Times New Roman" w:hAnsi="Times New Roman"/>
                <w:sz w:val="18"/>
                <w:szCs w:val="18"/>
              </w:rPr>
              <w:t>[39]</w:t>
            </w:r>
          </w:p>
        </w:tc>
        <w:tc>
          <w:tcPr>
            <w:tcW w:w="1440" w:type="dxa"/>
          </w:tcPr>
          <w:p w14:paraId="3A8034F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risk stratification of non-ST-segment elevation myocardial infarction</w:t>
            </w:r>
          </w:p>
        </w:tc>
        <w:tc>
          <w:tcPr>
            <w:tcW w:w="1260" w:type="dxa"/>
          </w:tcPr>
          <w:p w14:paraId="637C851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Paris Region, Frances</w:t>
            </w:r>
          </w:p>
        </w:tc>
        <w:tc>
          <w:tcPr>
            <w:tcW w:w="1170" w:type="dxa"/>
          </w:tcPr>
          <w:p w14:paraId="3B0B181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hs-cTnI [3.2 to 50,000 and detection</w:t>
            </w:r>
          </w:p>
          <w:p w14:paraId="33A784B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limit 1.1 to 1.9 ng/L] (i-Stat 1), ECG</w:t>
            </w:r>
          </w:p>
        </w:tc>
        <w:tc>
          <w:tcPr>
            <w:tcW w:w="4045" w:type="dxa"/>
          </w:tcPr>
          <w:p w14:paraId="3C9C3FD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 cTnI with ECG allow risk stratification of NSTEMI patients and an optimal referral</w:t>
            </w:r>
          </w:p>
          <w:p w14:paraId="51492A1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pathway. Low risk patients should be referred to the ED while high or very high risk, to the </w:t>
            </w:r>
          </w:p>
          <w:p w14:paraId="7EE177A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CCU or PCI center. Positive cTnI was associated with high- or very high-risk stratification regardless of the time to onset of pain (P &lt;.0001).</w:t>
            </w:r>
          </w:p>
        </w:tc>
      </w:tr>
      <w:tr w:rsidR="00042CB3" w:rsidRPr="003F26ED" w14:paraId="6DF47DAE" w14:textId="77777777" w:rsidTr="00042CB3">
        <w:tc>
          <w:tcPr>
            <w:tcW w:w="1435" w:type="dxa"/>
          </w:tcPr>
          <w:p w14:paraId="0F7DFF9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Cooper</w:t>
            </w:r>
          </w:p>
          <w:p w14:paraId="6FC30A2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J Am Coll Cardiol</w:t>
            </w:r>
          </w:p>
          <w:p w14:paraId="2868C917" w14:textId="1624EC13"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2021 </w:t>
            </w:r>
            <w:r w:rsidR="003F26ED">
              <w:rPr>
                <w:rFonts w:ascii="Times New Roman" w:hAnsi="Times New Roman"/>
                <w:sz w:val="18"/>
                <w:szCs w:val="18"/>
              </w:rPr>
              <w:t>[40]</w:t>
            </w:r>
          </w:p>
        </w:tc>
        <w:tc>
          <w:tcPr>
            <w:tcW w:w="1440" w:type="dxa"/>
          </w:tcPr>
          <w:p w14:paraId="56F7523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AMI triage and rule out in the prehospital setting</w:t>
            </w:r>
          </w:p>
        </w:tc>
        <w:tc>
          <w:tcPr>
            <w:tcW w:w="1260" w:type="dxa"/>
          </w:tcPr>
          <w:p w14:paraId="691AFB06" w14:textId="77777777"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sz w:val="18"/>
                <w:szCs w:val="18"/>
              </w:rPr>
              <w:t>Aberdeen, Scotland (secondary analysis of prospective cohort)</w:t>
            </w:r>
          </w:p>
        </w:tc>
        <w:tc>
          <w:tcPr>
            <w:tcW w:w="1170" w:type="dxa"/>
          </w:tcPr>
          <w:p w14:paraId="4B1D019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hs-cTnI (remainder sample, not POC), ECG</w:t>
            </w:r>
          </w:p>
        </w:tc>
        <w:tc>
          <w:tcPr>
            <w:tcW w:w="4045" w:type="dxa"/>
          </w:tcPr>
          <w:p w14:paraId="32D3446B" w14:textId="77777777"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sz w:val="18"/>
                <w:szCs w:val="18"/>
              </w:rPr>
              <w:t>The FN rate of a hs-cTnI value below the LOD and an optimized rule-out threshold missed up to 1 in 40 and 1 in 10 patients with AMI or cardiac death, respectively. Limiting this approach to later presenters or those without known IHD may improve performance.</w:t>
            </w:r>
          </w:p>
        </w:tc>
      </w:tr>
      <w:tr w:rsidR="00042CB3" w:rsidRPr="003F26ED" w14:paraId="1A1C2C49" w14:textId="77777777" w:rsidTr="00042CB3">
        <w:tc>
          <w:tcPr>
            <w:tcW w:w="1435" w:type="dxa"/>
          </w:tcPr>
          <w:p w14:paraId="578680FC" w14:textId="77777777" w:rsidR="00042CB3" w:rsidRPr="003F26ED" w:rsidRDefault="00042CB3" w:rsidP="008412BA">
            <w:pPr>
              <w:spacing w:line="240" w:lineRule="auto"/>
              <w:jc w:val="left"/>
              <w:rPr>
                <w:rFonts w:ascii="Times New Roman" w:hAnsi="Times New Roman"/>
                <w:sz w:val="18"/>
                <w:szCs w:val="18"/>
              </w:rPr>
            </w:pPr>
            <w:r w:rsidRPr="003F26ED">
              <w:rPr>
                <w:rFonts w:ascii="Times New Roman" w:hAnsi="Times New Roman"/>
                <w:sz w:val="18"/>
                <w:szCs w:val="18"/>
              </w:rPr>
              <w:t>Cooper</w:t>
            </w:r>
          </w:p>
          <w:p w14:paraId="5E0F184A" w14:textId="77777777" w:rsidR="00042CB3" w:rsidRPr="003F26ED" w:rsidRDefault="00042CB3" w:rsidP="008412BA">
            <w:pPr>
              <w:spacing w:line="240" w:lineRule="auto"/>
              <w:jc w:val="left"/>
              <w:rPr>
                <w:rFonts w:ascii="Times New Roman" w:hAnsi="Times New Roman"/>
                <w:sz w:val="18"/>
                <w:szCs w:val="18"/>
              </w:rPr>
            </w:pPr>
            <w:r w:rsidRPr="003F26ED">
              <w:rPr>
                <w:rFonts w:ascii="Times New Roman" w:hAnsi="Times New Roman"/>
                <w:sz w:val="18"/>
                <w:szCs w:val="18"/>
              </w:rPr>
              <w:t>Ann Emerg Med</w:t>
            </w:r>
          </w:p>
          <w:p w14:paraId="0423B96F" w14:textId="0BF64CF3" w:rsidR="00042CB3" w:rsidRPr="003F26ED" w:rsidRDefault="00042CB3" w:rsidP="008412BA">
            <w:pPr>
              <w:spacing w:line="240" w:lineRule="auto"/>
              <w:jc w:val="left"/>
              <w:rPr>
                <w:rFonts w:ascii="Times New Roman" w:hAnsi="Times New Roman"/>
                <w:sz w:val="18"/>
                <w:szCs w:val="18"/>
              </w:rPr>
            </w:pPr>
            <w:r w:rsidRPr="003F26ED">
              <w:rPr>
                <w:rFonts w:ascii="Times New Roman" w:hAnsi="Times New Roman"/>
                <w:sz w:val="18"/>
                <w:szCs w:val="18"/>
              </w:rPr>
              <w:t xml:space="preserve">2021 </w:t>
            </w:r>
            <w:r w:rsidR="003F26ED">
              <w:rPr>
                <w:rFonts w:ascii="Times New Roman" w:hAnsi="Times New Roman"/>
                <w:sz w:val="18"/>
                <w:szCs w:val="18"/>
              </w:rPr>
              <w:t>[41]</w:t>
            </w:r>
          </w:p>
        </w:tc>
        <w:tc>
          <w:tcPr>
            <w:tcW w:w="1440" w:type="dxa"/>
          </w:tcPr>
          <w:p w14:paraId="698D9609" w14:textId="272AFCED" w:rsidR="00042CB3" w:rsidRPr="003F26ED" w:rsidRDefault="008412BA" w:rsidP="008412BA">
            <w:pPr>
              <w:spacing w:line="240" w:lineRule="auto"/>
              <w:jc w:val="left"/>
              <w:rPr>
                <w:rFonts w:ascii="Times New Roman" w:hAnsi="Times New Roman"/>
                <w:sz w:val="18"/>
                <w:szCs w:val="18"/>
              </w:rPr>
            </w:pPr>
            <w:r w:rsidRPr="003F26ED">
              <w:rPr>
                <w:rFonts w:ascii="Times New Roman" w:hAnsi="Times New Roman"/>
                <w:sz w:val="18"/>
                <w:szCs w:val="18"/>
              </w:rPr>
              <w:t xml:space="preserve">Prehospital </w:t>
            </w:r>
            <w:r w:rsidR="00042CB3" w:rsidRPr="003F26ED">
              <w:rPr>
                <w:rFonts w:ascii="Times New Roman" w:hAnsi="Times New Roman"/>
                <w:sz w:val="18"/>
                <w:szCs w:val="18"/>
              </w:rPr>
              <w:t>AMI rule out using the HEART score</w:t>
            </w:r>
          </w:p>
        </w:tc>
        <w:tc>
          <w:tcPr>
            <w:tcW w:w="1260" w:type="dxa"/>
          </w:tcPr>
          <w:p w14:paraId="77C1D8BE" w14:textId="77777777" w:rsidR="00042CB3" w:rsidRPr="003F26ED" w:rsidRDefault="00042CB3" w:rsidP="008412BA">
            <w:pPr>
              <w:spacing w:line="240" w:lineRule="auto"/>
              <w:jc w:val="left"/>
              <w:rPr>
                <w:rFonts w:ascii="Times New Roman" w:hAnsi="Times New Roman"/>
                <w:sz w:val="18"/>
                <w:szCs w:val="18"/>
              </w:rPr>
            </w:pPr>
            <w:r w:rsidRPr="003F26ED">
              <w:rPr>
                <w:rFonts w:ascii="Times New Roman" w:hAnsi="Times New Roman"/>
                <w:sz w:val="18"/>
                <w:szCs w:val="18"/>
              </w:rPr>
              <w:t>Aberdeen, Scotland</w:t>
            </w:r>
          </w:p>
        </w:tc>
        <w:tc>
          <w:tcPr>
            <w:tcW w:w="1170" w:type="dxa"/>
          </w:tcPr>
          <w:p w14:paraId="62A4EC6E" w14:textId="77777777" w:rsidR="00042CB3" w:rsidRPr="003F26ED" w:rsidRDefault="00042CB3" w:rsidP="008412BA">
            <w:pPr>
              <w:pStyle w:val="NormalWeb"/>
              <w:spacing w:line="240" w:lineRule="auto"/>
              <w:jc w:val="left"/>
              <w:rPr>
                <w:rFonts w:ascii="Times New Roman" w:hAnsi="Times New Roman"/>
                <w:sz w:val="18"/>
                <w:szCs w:val="18"/>
              </w:rPr>
            </w:pPr>
            <w:r w:rsidRPr="003F26ED">
              <w:rPr>
                <w:rFonts w:ascii="Times New Roman" w:hAnsi="Times New Roman"/>
                <w:sz w:val="18"/>
                <w:szCs w:val="18"/>
              </w:rPr>
              <w:t>ECG, cTnI (Samsung LABGEO)</w:t>
            </w:r>
          </w:p>
        </w:tc>
        <w:tc>
          <w:tcPr>
            <w:tcW w:w="4045" w:type="dxa"/>
          </w:tcPr>
          <w:p w14:paraId="6C0F1817" w14:textId="77777777" w:rsidR="00042CB3" w:rsidRPr="003F26ED" w:rsidRDefault="00042CB3" w:rsidP="008412BA">
            <w:pPr>
              <w:pStyle w:val="NormalWeb"/>
              <w:spacing w:line="240" w:lineRule="auto"/>
              <w:jc w:val="left"/>
              <w:rPr>
                <w:rFonts w:ascii="Times New Roman" w:hAnsi="Times New Roman"/>
                <w:sz w:val="18"/>
                <w:szCs w:val="18"/>
              </w:rPr>
            </w:pPr>
            <w:r w:rsidRPr="003F26ED">
              <w:rPr>
                <w:rFonts w:ascii="Times New Roman" w:hAnsi="Times New Roman"/>
                <w:sz w:val="18"/>
                <w:szCs w:val="18"/>
              </w:rPr>
              <w:t>Paramedics use the HEART score to discriminate risk. Even in combination with out-of-hospital POC cTnI testing, the HEART score does not safely rule out major adverse cardiac events.</w:t>
            </w:r>
          </w:p>
        </w:tc>
      </w:tr>
      <w:tr w:rsidR="00042CB3" w:rsidRPr="003F26ED" w14:paraId="00D94690" w14:textId="77777777" w:rsidTr="00042CB3">
        <w:tc>
          <w:tcPr>
            <w:tcW w:w="1435" w:type="dxa"/>
          </w:tcPr>
          <w:p w14:paraId="45DB9EC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Koper</w:t>
            </w:r>
          </w:p>
          <w:p w14:paraId="1567CD6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Neth Heart J</w:t>
            </w:r>
          </w:p>
          <w:p w14:paraId="4A3ED0D6" w14:textId="458FF015"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2021</w:t>
            </w:r>
            <w:r w:rsidR="003F26ED">
              <w:rPr>
                <w:rFonts w:ascii="Times New Roman" w:hAnsi="Times New Roman"/>
                <w:sz w:val="18"/>
                <w:szCs w:val="18"/>
              </w:rPr>
              <w:t>[42]</w:t>
            </w:r>
          </w:p>
        </w:tc>
        <w:tc>
          <w:tcPr>
            <w:tcW w:w="1440" w:type="dxa"/>
          </w:tcPr>
          <w:p w14:paraId="66DE905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Emergency department, HEART score</w:t>
            </w:r>
          </w:p>
        </w:tc>
        <w:tc>
          <w:tcPr>
            <w:tcW w:w="1260" w:type="dxa"/>
          </w:tcPr>
          <w:p w14:paraId="035410F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Venlo, Netherlands</w:t>
            </w:r>
          </w:p>
        </w:tc>
        <w:tc>
          <w:tcPr>
            <w:tcW w:w="1170" w:type="dxa"/>
          </w:tcPr>
          <w:p w14:paraId="4B1C299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Fingerstick capillary hs-cTnI</w:t>
            </w:r>
          </w:p>
        </w:tc>
        <w:tc>
          <w:tcPr>
            <w:tcW w:w="4045" w:type="dxa"/>
          </w:tcPr>
          <w:p w14:paraId="1273D5A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The sensitivity and negative predictive value of the HEART score were 97.0% and 97.6%, respectively, encouraging prospective study of fingerstick POC hs-cTn in a prehospital setting.</w:t>
            </w:r>
          </w:p>
        </w:tc>
      </w:tr>
      <w:tr w:rsidR="00042CB3" w:rsidRPr="003F26ED" w14:paraId="67CBC145" w14:textId="77777777" w:rsidTr="00042CB3">
        <w:tc>
          <w:tcPr>
            <w:tcW w:w="1435" w:type="dxa"/>
          </w:tcPr>
          <w:p w14:paraId="2A74A75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Lee</w:t>
            </w:r>
          </w:p>
          <w:p w14:paraId="5844110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Biosensors</w:t>
            </w:r>
          </w:p>
          <w:p w14:paraId="464DA114" w14:textId="72632F53"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2021 </w:t>
            </w:r>
            <w:r w:rsidR="003F26ED">
              <w:rPr>
                <w:rFonts w:ascii="Times New Roman" w:hAnsi="Times New Roman"/>
                <w:sz w:val="18"/>
                <w:szCs w:val="18"/>
              </w:rPr>
              <w:t>[4</w:t>
            </w:r>
            <w:r w:rsidR="008E4FC8">
              <w:rPr>
                <w:rFonts w:ascii="Times New Roman" w:hAnsi="Times New Roman"/>
                <w:sz w:val="18"/>
                <w:szCs w:val="18"/>
              </w:rPr>
              <w:t>3</w:t>
            </w:r>
            <w:r w:rsidR="003F26ED">
              <w:rPr>
                <w:rFonts w:ascii="Times New Roman" w:hAnsi="Times New Roman"/>
                <w:sz w:val="18"/>
                <w:szCs w:val="18"/>
              </w:rPr>
              <w:t>]</w:t>
            </w:r>
          </w:p>
        </w:tc>
        <w:tc>
          <w:tcPr>
            <w:tcW w:w="1440" w:type="dxa"/>
          </w:tcPr>
          <w:p w14:paraId="2B295D86" w14:textId="559FA139" w:rsidR="00042CB3" w:rsidRPr="003F26ED" w:rsidRDefault="008412BA" w:rsidP="00042CB3">
            <w:pPr>
              <w:spacing w:line="240" w:lineRule="auto"/>
              <w:jc w:val="left"/>
              <w:rPr>
                <w:rFonts w:ascii="Times New Roman" w:hAnsi="Times New Roman"/>
                <w:sz w:val="18"/>
                <w:szCs w:val="18"/>
              </w:rPr>
            </w:pPr>
            <w:r w:rsidRPr="003F26ED">
              <w:rPr>
                <w:rFonts w:ascii="Times New Roman" w:hAnsi="Times New Roman"/>
                <w:sz w:val="18"/>
                <w:szCs w:val="18"/>
              </w:rPr>
              <w:t>Prehospital e</w:t>
            </w:r>
            <w:r w:rsidR="00042CB3" w:rsidRPr="003F26ED">
              <w:rPr>
                <w:rFonts w:ascii="Times New Roman" w:hAnsi="Times New Roman"/>
                <w:sz w:val="18"/>
                <w:szCs w:val="18"/>
              </w:rPr>
              <w:t xml:space="preserve">lectrochemical </w:t>
            </w:r>
            <w:r w:rsidRPr="003F26ED">
              <w:rPr>
                <w:rFonts w:ascii="Times New Roman" w:hAnsi="Times New Roman"/>
                <w:sz w:val="18"/>
                <w:szCs w:val="18"/>
              </w:rPr>
              <w:t>bio</w:t>
            </w:r>
            <w:r w:rsidR="00042CB3" w:rsidRPr="003F26ED">
              <w:rPr>
                <w:rFonts w:ascii="Times New Roman" w:hAnsi="Times New Roman"/>
                <w:sz w:val="18"/>
                <w:szCs w:val="18"/>
              </w:rPr>
              <w:t>sensor</w:t>
            </w:r>
            <w:r w:rsidRPr="003F26ED">
              <w:rPr>
                <w:rFonts w:ascii="Times New Roman" w:hAnsi="Times New Roman"/>
                <w:sz w:val="18"/>
                <w:szCs w:val="18"/>
              </w:rPr>
              <w:t>s</w:t>
            </w:r>
          </w:p>
        </w:tc>
        <w:tc>
          <w:tcPr>
            <w:tcW w:w="1260" w:type="dxa"/>
          </w:tcPr>
          <w:p w14:paraId="6CF5AEA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Critical Care and Universities, Taiwan</w:t>
            </w:r>
          </w:p>
        </w:tc>
        <w:tc>
          <w:tcPr>
            <w:tcW w:w="1170" w:type="dxa"/>
          </w:tcPr>
          <w:p w14:paraId="283B0A40" w14:textId="77777777"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sz w:val="18"/>
                <w:szCs w:val="18"/>
              </w:rPr>
              <w:t xml:space="preserve">cTnI </w:t>
            </w:r>
          </w:p>
        </w:tc>
        <w:tc>
          <w:tcPr>
            <w:tcW w:w="4045" w:type="dxa"/>
          </w:tcPr>
          <w:p w14:paraId="7C050633" w14:textId="77777777"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sz w:val="18"/>
                <w:szCs w:val="18"/>
              </w:rPr>
              <w:t>Biosensor results correlated with standard clinical laboratory cTnI, suggesting it can deliver fast and accurate cTnI in prehospital settings for rapid Dx and patient management.</w:t>
            </w:r>
          </w:p>
        </w:tc>
      </w:tr>
      <w:tr w:rsidR="00042CB3" w:rsidRPr="003F26ED" w14:paraId="302B6B1C" w14:textId="77777777" w:rsidTr="00042CB3">
        <w:tc>
          <w:tcPr>
            <w:tcW w:w="1435" w:type="dxa"/>
          </w:tcPr>
          <w:p w14:paraId="0EC25FE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Martin-Rodriquez</w:t>
            </w:r>
          </w:p>
          <w:p w14:paraId="51E56FE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Eur J Clin Invest</w:t>
            </w:r>
          </w:p>
          <w:p w14:paraId="6A0345C9" w14:textId="5223E77B"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2021 </w:t>
            </w:r>
            <w:r w:rsidR="003F26ED">
              <w:rPr>
                <w:rFonts w:ascii="Times New Roman" w:hAnsi="Times New Roman"/>
                <w:sz w:val="18"/>
                <w:szCs w:val="18"/>
              </w:rPr>
              <w:t>[4</w:t>
            </w:r>
            <w:r w:rsidR="008E4FC8">
              <w:rPr>
                <w:rFonts w:ascii="Times New Roman" w:hAnsi="Times New Roman"/>
                <w:sz w:val="18"/>
                <w:szCs w:val="18"/>
              </w:rPr>
              <w:t>4</w:t>
            </w:r>
            <w:r w:rsidR="003F26ED">
              <w:rPr>
                <w:rFonts w:ascii="Times New Roman" w:hAnsi="Times New Roman"/>
                <w:sz w:val="18"/>
                <w:szCs w:val="18"/>
              </w:rPr>
              <w:t>]</w:t>
            </w:r>
          </w:p>
        </w:tc>
        <w:tc>
          <w:tcPr>
            <w:tcW w:w="1440" w:type="dxa"/>
          </w:tcPr>
          <w:p w14:paraId="1A9931C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Prognostic accuracy of</w:t>
            </w:r>
          </w:p>
          <w:p w14:paraId="021829A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POC cTnT</w:t>
            </w:r>
          </w:p>
        </w:tc>
        <w:tc>
          <w:tcPr>
            <w:tcW w:w="1260" w:type="dxa"/>
          </w:tcPr>
          <w:p w14:paraId="74032E5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Multicentric ambulance-based study, Spain</w:t>
            </w:r>
          </w:p>
        </w:tc>
        <w:tc>
          <w:tcPr>
            <w:tcW w:w="1170" w:type="dxa"/>
          </w:tcPr>
          <w:p w14:paraId="391548F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Cardiac troponin T (cTnT)</w:t>
            </w:r>
          </w:p>
        </w:tc>
        <w:tc>
          <w:tcPr>
            <w:tcW w:w="4045" w:type="dxa"/>
          </w:tcPr>
          <w:p w14:paraId="009D5DF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Determination of cTnT on the ambulance can help to stratify the risk of patients and to detect unknown early clinical deterioration. In the high-risk group (cTnI &gt;100 ng/L), the mortality rate was 61.7%, and in the low-risk group (&lt;40 ng/L), 2.3%.</w:t>
            </w:r>
          </w:p>
        </w:tc>
      </w:tr>
      <w:tr w:rsidR="00042CB3" w:rsidRPr="003F26ED" w14:paraId="5E5C14A5" w14:textId="77777777" w:rsidTr="00042CB3">
        <w:tc>
          <w:tcPr>
            <w:tcW w:w="1435" w:type="dxa"/>
          </w:tcPr>
          <w:p w14:paraId="0CB8CD7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Stopyra</w:t>
            </w:r>
          </w:p>
          <w:p w14:paraId="28B02238"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PloS ONE</w:t>
            </w:r>
          </w:p>
          <w:p w14:paraId="081D8C76" w14:textId="73D242E0"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2020 </w:t>
            </w:r>
            <w:r w:rsidR="003F26ED">
              <w:rPr>
                <w:rFonts w:ascii="Times New Roman" w:hAnsi="Times New Roman"/>
                <w:sz w:val="18"/>
                <w:szCs w:val="18"/>
              </w:rPr>
              <w:t>[4</w:t>
            </w:r>
            <w:r w:rsidR="008E4FC8">
              <w:rPr>
                <w:rFonts w:ascii="Times New Roman" w:hAnsi="Times New Roman"/>
                <w:sz w:val="18"/>
                <w:szCs w:val="18"/>
              </w:rPr>
              <w:t>5</w:t>
            </w:r>
            <w:r w:rsidR="003F26ED">
              <w:rPr>
                <w:rFonts w:ascii="Times New Roman" w:hAnsi="Times New Roman"/>
                <w:sz w:val="18"/>
                <w:szCs w:val="18"/>
              </w:rPr>
              <w:t>]</w:t>
            </w:r>
          </w:p>
        </w:tc>
        <w:tc>
          <w:tcPr>
            <w:tcW w:w="1440" w:type="dxa"/>
          </w:tcPr>
          <w:p w14:paraId="70A238F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stratification of chest pain without evidence of STEMI on ECG</w:t>
            </w:r>
          </w:p>
        </w:tc>
        <w:tc>
          <w:tcPr>
            <w:tcW w:w="1260" w:type="dxa"/>
          </w:tcPr>
          <w:p w14:paraId="1A7100E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North Carolina, USA</w:t>
            </w:r>
          </w:p>
        </w:tc>
        <w:tc>
          <w:tcPr>
            <w:tcW w:w="1170" w:type="dxa"/>
          </w:tcPr>
          <w:p w14:paraId="7C3BE4E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HEART pathway and cTn (i-Stat)</w:t>
            </w:r>
          </w:p>
        </w:tc>
        <w:tc>
          <w:tcPr>
            <w:tcW w:w="4045" w:type="dxa"/>
          </w:tcPr>
          <w:p w14:paraId="20C91CA1" w14:textId="77777777"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sz w:val="18"/>
                <w:szCs w:val="18"/>
              </w:rPr>
              <w:t>&gt;150 paramedics were trained to use POC cTn and to calculate a HEART score. Structured prehospital risk assessment with POC cTn facilitates early identification of high-risk patients who benefit from rapid Rx and triage to tertiary care facilities with interventional cardiac catheterization capability.</w:t>
            </w:r>
          </w:p>
        </w:tc>
      </w:tr>
      <w:tr w:rsidR="00042CB3" w:rsidRPr="003F26ED" w14:paraId="6C72BABE" w14:textId="77777777" w:rsidTr="00042CB3">
        <w:tc>
          <w:tcPr>
            <w:tcW w:w="1435" w:type="dxa"/>
          </w:tcPr>
          <w:p w14:paraId="0D90D4B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lastRenderedPageBreak/>
              <w:t>Stopyra</w:t>
            </w:r>
          </w:p>
          <w:p w14:paraId="083D0AA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 Emer Care</w:t>
            </w:r>
          </w:p>
          <w:p w14:paraId="28CDAB64" w14:textId="494A4DCB"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2020 </w:t>
            </w:r>
            <w:r w:rsidR="003F26ED">
              <w:rPr>
                <w:rFonts w:ascii="Times New Roman" w:hAnsi="Times New Roman"/>
                <w:sz w:val="18"/>
                <w:szCs w:val="18"/>
              </w:rPr>
              <w:t>[4</w:t>
            </w:r>
            <w:r w:rsidR="008E4FC8">
              <w:rPr>
                <w:rFonts w:ascii="Times New Roman" w:hAnsi="Times New Roman"/>
                <w:sz w:val="18"/>
                <w:szCs w:val="18"/>
              </w:rPr>
              <w:t>6</w:t>
            </w:r>
            <w:r w:rsidR="003F26ED">
              <w:rPr>
                <w:rFonts w:ascii="Times New Roman" w:hAnsi="Times New Roman"/>
                <w:sz w:val="18"/>
                <w:szCs w:val="18"/>
              </w:rPr>
              <w:t>]</w:t>
            </w:r>
          </w:p>
        </w:tc>
        <w:tc>
          <w:tcPr>
            <w:tcW w:w="1440" w:type="dxa"/>
          </w:tcPr>
          <w:p w14:paraId="7534DA3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Paramedic POC testing when transporting patients </w:t>
            </w:r>
          </w:p>
        </w:tc>
        <w:tc>
          <w:tcPr>
            <w:tcW w:w="1260" w:type="dxa"/>
          </w:tcPr>
          <w:p w14:paraId="07A372D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[ECG ST-elevation patients excluded]</w:t>
            </w:r>
          </w:p>
        </w:tc>
        <w:tc>
          <w:tcPr>
            <w:tcW w:w="1170" w:type="dxa"/>
          </w:tcPr>
          <w:p w14:paraId="2479E22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Cardiac troponin I (i-Stat)</w:t>
            </w:r>
          </w:p>
        </w:tc>
        <w:tc>
          <w:tcPr>
            <w:tcW w:w="4045" w:type="dxa"/>
          </w:tcPr>
          <w:p w14:paraId="72E5942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The specificity and PPV of the POC cTn were 99.2% and 85.7%; sensitivity and NPV, 26.5% and 87.5%. Prehospital cTn can rule-in AMI but should not be used to exclude AMI because of low sensitivity.</w:t>
            </w:r>
          </w:p>
        </w:tc>
      </w:tr>
      <w:tr w:rsidR="00042CB3" w:rsidRPr="003F26ED" w14:paraId="1C86055D" w14:textId="77777777" w:rsidTr="00042CB3">
        <w:tc>
          <w:tcPr>
            <w:tcW w:w="1435" w:type="dxa"/>
          </w:tcPr>
          <w:p w14:paraId="08730BF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Alghamdi</w:t>
            </w:r>
          </w:p>
          <w:p w14:paraId="4DEA0F94" w14:textId="3CC20F43" w:rsidR="008E4FC8"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 Dis Med 2020</w:t>
            </w:r>
            <w:r w:rsidR="008E4FC8">
              <w:rPr>
                <w:rFonts w:ascii="Times New Roman" w:hAnsi="Times New Roman"/>
                <w:sz w:val="18"/>
                <w:szCs w:val="18"/>
              </w:rPr>
              <w:t xml:space="preserve"> [47]</w:t>
            </w:r>
          </w:p>
          <w:p w14:paraId="409F4086" w14:textId="039626E9"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Emer Med J 2018 </w:t>
            </w:r>
            <w:r w:rsidR="008E4FC8">
              <w:rPr>
                <w:rFonts w:ascii="Times New Roman" w:hAnsi="Times New Roman"/>
                <w:sz w:val="18"/>
                <w:szCs w:val="18"/>
              </w:rPr>
              <w:t>[48]</w:t>
            </w:r>
          </w:p>
        </w:tc>
        <w:tc>
          <w:tcPr>
            <w:tcW w:w="1440" w:type="dxa"/>
          </w:tcPr>
          <w:p w14:paraId="387B323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rule out of AMI (vs. rule in)</w:t>
            </w:r>
          </w:p>
        </w:tc>
        <w:tc>
          <w:tcPr>
            <w:tcW w:w="1260" w:type="dxa"/>
          </w:tcPr>
          <w:p w14:paraId="69414FA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Manchester, England</w:t>
            </w:r>
          </w:p>
        </w:tc>
        <w:tc>
          <w:tcPr>
            <w:tcW w:w="1170" w:type="dxa"/>
          </w:tcPr>
          <w:p w14:paraId="099988F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Cardiac troponin (review paper)</w:t>
            </w:r>
          </w:p>
        </w:tc>
        <w:tc>
          <w:tcPr>
            <w:tcW w:w="4045" w:type="dxa"/>
          </w:tcPr>
          <w:p w14:paraId="6227662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Current evidence does not support the use of POC troponin to exclude AMI due to issues with diagnostic accuracy and insufficient high-quality evidence.</w:t>
            </w:r>
          </w:p>
        </w:tc>
      </w:tr>
      <w:tr w:rsidR="00042CB3" w:rsidRPr="003F26ED" w14:paraId="097A52DE" w14:textId="77777777" w:rsidTr="00042CB3">
        <w:tc>
          <w:tcPr>
            <w:tcW w:w="1435" w:type="dxa"/>
          </w:tcPr>
          <w:p w14:paraId="5C88808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Harjola</w:t>
            </w:r>
          </w:p>
          <w:p w14:paraId="7BB86AC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ESC Heart Failure</w:t>
            </w:r>
          </w:p>
          <w:p w14:paraId="6CE6228C" w14:textId="582DEE3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2020 </w:t>
            </w:r>
            <w:r w:rsidR="008E4FC8">
              <w:rPr>
                <w:rFonts w:ascii="Times New Roman" w:hAnsi="Times New Roman"/>
                <w:sz w:val="18"/>
                <w:szCs w:val="18"/>
              </w:rPr>
              <w:t>[49]</w:t>
            </w:r>
          </w:p>
        </w:tc>
        <w:tc>
          <w:tcPr>
            <w:tcW w:w="1440" w:type="dxa"/>
          </w:tcPr>
          <w:p w14:paraId="53C83A3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Multicenter survey of prehospital protocols for AHF</w:t>
            </w:r>
          </w:p>
        </w:tc>
        <w:tc>
          <w:tcPr>
            <w:tcW w:w="1260" w:type="dxa"/>
          </w:tcPr>
          <w:p w14:paraId="436F06D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Belgium, Finland, France, Spain, USA, Switzerland</w:t>
            </w:r>
          </w:p>
        </w:tc>
        <w:tc>
          <w:tcPr>
            <w:tcW w:w="1170" w:type="dxa"/>
          </w:tcPr>
          <w:p w14:paraId="1566F17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cTn, BNP, 12-lead ECG, UTZ </w:t>
            </w:r>
          </w:p>
        </w:tc>
        <w:tc>
          <w:tcPr>
            <w:tcW w:w="4045" w:type="dxa"/>
          </w:tcPr>
          <w:p w14:paraId="2949A63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UTZ and POCT were available in advanced life support and helicopter EMS units in &lt;25% of EMS regions. Protocols for ST-elevation AMI, chest pain, and dyspnea were present in 95.2, 80.8, and 76.0% of EMS regions, respectively.</w:t>
            </w:r>
          </w:p>
        </w:tc>
      </w:tr>
      <w:tr w:rsidR="00042CB3" w:rsidRPr="003F26ED" w14:paraId="0CCB8F1C" w14:textId="77777777" w:rsidTr="00042CB3">
        <w:tc>
          <w:tcPr>
            <w:tcW w:w="1435" w:type="dxa"/>
          </w:tcPr>
          <w:p w14:paraId="34C9BBA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Johannessen</w:t>
            </w:r>
          </w:p>
          <w:p w14:paraId="3A31E26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Open Heart</w:t>
            </w:r>
          </w:p>
          <w:p w14:paraId="26C80567" w14:textId="4A4A7FDB"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2020 </w:t>
            </w:r>
            <w:r w:rsidR="008E4FC8">
              <w:rPr>
                <w:rFonts w:ascii="Times New Roman" w:hAnsi="Times New Roman"/>
                <w:sz w:val="18"/>
                <w:szCs w:val="18"/>
              </w:rPr>
              <w:t>[50]</w:t>
            </w:r>
          </w:p>
        </w:tc>
        <w:tc>
          <w:tcPr>
            <w:tcW w:w="1440" w:type="dxa"/>
          </w:tcPr>
          <w:p w14:paraId="628414C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primary care emergency clinic</w:t>
            </w:r>
          </w:p>
        </w:tc>
        <w:tc>
          <w:tcPr>
            <w:tcW w:w="1260" w:type="dxa"/>
          </w:tcPr>
          <w:p w14:paraId="001E5118"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Oslo, Norway</w:t>
            </w:r>
          </w:p>
          <w:p w14:paraId="2619B2A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(low prevalence)</w:t>
            </w:r>
          </w:p>
        </w:tc>
        <w:tc>
          <w:tcPr>
            <w:tcW w:w="1170" w:type="dxa"/>
          </w:tcPr>
          <w:p w14:paraId="42E8701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hs-cTnT in 1 hour algorithm</w:t>
            </w:r>
          </w:p>
        </w:tc>
        <w:tc>
          <w:tcPr>
            <w:tcW w:w="4045" w:type="dxa"/>
          </w:tcPr>
          <w:p w14:paraId="6A20F107" w14:textId="643AB82C"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hs-cTnT seems safe, efficient, and applicable for accelerated assessment of patients with non-specific chest pain. Sensitivity was 98.4%; NPV, 99.9%; and 90-day rule out morality; 0.3%.</w:t>
            </w:r>
          </w:p>
        </w:tc>
      </w:tr>
      <w:tr w:rsidR="00042CB3" w:rsidRPr="003F26ED" w14:paraId="2708507A" w14:textId="77777777" w:rsidTr="00042CB3">
        <w:tc>
          <w:tcPr>
            <w:tcW w:w="1435" w:type="dxa"/>
          </w:tcPr>
          <w:p w14:paraId="783DD86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Kaier</w:t>
            </w:r>
          </w:p>
          <w:p w14:paraId="77A48A5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J Am Heart Assoc</w:t>
            </w:r>
          </w:p>
          <w:p w14:paraId="7E5CF79C" w14:textId="59B7554F"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2019 </w:t>
            </w:r>
            <w:r w:rsidR="008E4FC8">
              <w:rPr>
                <w:rFonts w:ascii="Times New Roman" w:hAnsi="Times New Roman"/>
                <w:sz w:val="18"/>
                <w:szCs w:val="18"/>
              </w:rPr>
              <w:t>[51]</w:t>
            </w:r>
          </w:p>
        </w:tc>
        <w:tc>
          <w:tcPr>
            <w:tcW w:w="1440" w:type="dxa"/>
          </w:tcPr>
          <w:p w14:paraId="4F94162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Blood samples from ambulance paramedics</w:t>
            </w:r>
          </w:p>
        </w:tc>
        <w:tc>
          <w:tcPr>
            <w:tcW w:w="1260" w:type="dxa"/>
          </w:tcPr>
          <w:p w14:paraId="7F23BBF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England, Denmark, and Germany</w:t>
            </w:r>
          </w:p>
        </w:tc>
        <w:tc>
          <w:tcPr>
            <w:tcW w:w="1170" w:type="dxa"/>
          </w:tcPr>
          <w:p w14:paraId="18EE3FE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Cardiac myosin-binding protein C</w:t>
            </w:r>
          </w:p>
        </w:tc>
        <w:tc>
          <w:tcPr>
            <w:tcW w:w="4045" w:type="dxa"/>
          </w:tcPr>
          <w:p w14:paraId="0717619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Very early after symptom onset, cardiac myosin-binding protein C improves diagnostic discrimination and could significantly improve the early triage of patients with suspected AMI.</w:t>
            </w:r>
          </w:p>
        </w:tc>
      </w:tr>
      <w:tr w:rsidR="00042CB3" w:rsidRPr="003F26ED" w14:paraId="39C453F4" w14:textId="77777777" w:rsidTr="00042CB3">
        <w:tc>
          <w:tcPr>
            <w:tcW w:w="1435" w:type="dxa"/>
          </w:tcPr>
          <w:p w14:paraId="050411A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Alghamdi</w:t>
            </w:r>
          </w:p>
          <w:p w14:paraId="082598B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Emerg Med J</w:t>
            </w:r>
          </w:p>
          <w:p w14:paraId="255FAF85" w14:textId="54285E94"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2018 </w:t>
            </w:r>
            <w:r w:rsidR="008E4FC8">
              <w:rPr>
                <w:rFonts w:ascii="Times New Roman" w:hAnsi="Times New Roman"/>
                <w:sz w:val="18"/>
                <w:szCs w:val="18"/>
              </w:rPr>
              <w:t>[52]</w:t>
            </w:r>
          </w:p>
        </w:tc>
        <w:tc>
          <w:tcPr>
            <w:tcW w:w="1440" w:type="dxa"/>
          </w:tcPr>
          <w:p w14:paraId="62DD466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rule out of ACS</w:t>
            </w:r>
          </w:p>
        </w:tc>
        <w:tc>
          <w:tcPr>
            <w:tcW w:w="1260" w:type="dxa"/>
          </w:tcPr>
          <w:p w14:paraId="5DE2A30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Manchester, United Kingdom</w:t>
            </w:r>
          </w:p>
        </w:tc>
        <w:tc>
          <w:tcPr>
            <w:tcW w:w="1170" w:type="dxa"/>
          </w:tcPr>
          <w:p w14:paraId="5A95139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cTn (a review of 9 papers)</w:t>
            </w:r>
          </w:p>
        </w:tc>
        <w:tc>
          <w:tcPr>
            <w:tcW w:w="4045" w:type="dxa"/>
          </w:tcPr>
          <w:p w14:paraId="241C7B38"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Based on the currently available evidence, </w:t>
            </w:r>
          </w:p>
          <w:p w14:paraId="73AFC92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 troponin assays are insufficiently sensitive to rule out ACS in the prehospital environment.</w:t>
            </w:r>
          </w:p>
        </w:tc>
      </w:tr>
      <w:tr w:rsidR="00042CB3" w:rsidRPr="003F26ED" w14:paraId="1CCB2949" w14:textId="77777777" w:rsidTr="00042CB3">
        <w:tc>
          <w:tcPr>
            <w:tcW w:w="1435" w:type="dxa"/>
          </w:tcPr>
          <w:p w14:paraId="3BD58471" w14:textId="77777777" w:rsidR="00042CB3" w:rsidRPr="008E4FC8" w:rsidRDefault="00042CB3" w:rsidP="00042CB3">
            <w:pPr>
              <w:spacing w:line="240" w:lineRule="auto"/>
              <w:jc w:val="left"/>
              <w:rPr>
                <w:rFonts w:ascii="Times New Roman" w:hAnsi="Times New Roman"/>
                <w:sz w:val="18"/>
                <w:szCs w:val="18"/>
              </w:rPr>
            </w:pPr>
            <w:r w:rsidRPr="008E4FC8">
              <w:rPr>
                <w:rFonts w:ascii="Times New Roman" w:hAnsi="Times New Roman"/>
                <w:sz w:val="18"/>
                <w:szCs w:val="18"/>
              </w:rPr>
              <w:t>Kost</w:t>
            </w:r>
          </w:p>
          <w:p w14:paraId="0946C3DD" w14:textId="77777777" w:rsidR="00042CB3" w:rsidRPr="008E4FC8" w:rsidRDefault="00042CB3" w:rsidP="00042CB3">
            <w:pPr>
              <w:spacing w:line="240" w:lineRule="auto"/>
              <w:jc w:val="left"/>
              <w:rPr>
                <w:rFonts w:ascii="Times New Roman" w:hAnsi="Times New Roman"/>
                <w:sz w:val="18"/>
                <w:szCs w:val="18"/>
              </w:rPr>
            </w:pPr>
            <w:r w:rsidRPr="008E4FC8">
              <w:rPr>
                <w:rFonts w:ascii="Times New Roman" w:hAnsi="Times New Roman"/>
                <w:sz w:val="18"/>
                <w:szCs w:val="18"/>
              </w:rPr>
              <w:t>Point of Care</w:t>
            </w:r>
          </w:p>
          <w:p w14:paraId="7AD49C78" w14:textId="6C590458" w:rsidR="00042CB3" w:rsidRPr="003F26ED" w:rsidRDefault="00042CB3" w:rsidP="00042CB3">
            <w:pPr>
              <w:spacing w:line="240" w:lineRule="auto"/>
              <w:jc w:val="left"/>
              <w:rPr>
                <w:rFonts w:ascii="Times New Roman" w:hAnsi="Times New Roman"/>
                <w:sz w:val="18"/>
                <w:szCs w:val="18"/>
              </w:rPr>
            </w:pPr>
            <w:r w:rsidRPr="008E4FC8">
              <w:rPr>
                <w:rFonts w:ascii="Times New Roman" w:hAnsi="Times New Roman"/>
                <w:sz w:val="18"/>
                <w:szCs w:val="18"/>
              </w:rPr>
              <w:t xml:space="preserve">2018 </w:t>
            </w:r>
            <w:r w:rsidR="008E4FC8" w:rsidRPr="008E4FC8">
              <w:rPr>
                <w:rFonts w:ascii="Times New Roman" w:hAnsi="Times New Roman"/>
                <w:sz w:val="18"/>
                <w:szCs w:val="18"/>
              </w:rPr>
              <w:t>[</w:t>
            </w:r>
            <w:r w:rsidR="00241B6C">
              <w:rPr>
                <w:rFonts w:ascii="Times New Roman" w:hAnsi="Times New Roman"/>
                <w:sz w:val="18"/>
                <w:szCs w:val="18"/>
              </w:rPr>
              <w:t>32</w:t>
            </w:r>
            <w:r w:rsidR="008E4FC8" w:rsidRPr="008E4FC8">
              <w:rPr>
                <w:rFonts w:ascii="Times New Roman" w:hAnsi="Times New Roman"/>
                <w:sz w:val="18"/>
                <w:szCs w:val="18"/>
              </w:rPr>
              <w:t>]</w:t>
            </w:r>
          </w:p>
        </w:tc>
        <w:tc>
          <w:tcPr>
            <w:tcW w:w="1440" w:type="dxa"/>
          </w:tcPr>
          <w:p w14:paraId="4983A7B9" w14:textId="136A1CBD"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Design</w:t>
            </w:r>
            <w:r w:rsidR="008412BA" w:rsidRPr="003F26ED">
              <w:rPr>
                <w:rFonts w:ascii="Times New Roman" w:hAnsi="Times New Roman"/>
                <w:sz w:val="18"/>
                <w:szCs w:val="18"/>
              </w:rPr>
              <w:t>s for</w:t>
            </w:r>
            <w:r w:rsidRPr="003F26ED">
              <w:rPr>
                <w:rFonts w:ascii="Times New Roman" w:hAnsi="Times New Roman"/>
                <w:sz w:val="18"/>
                <w:szCs w:val="18"/>
              </w:rPr>
              <w:t xml:space="preserve"> </w:t>
            </w:r>
            <w:r w:rsidR="008412BA" w:rsidRPr="003F26ED">
              <w:rPr>
                <w:rFonts w:ascii="Times New Roman" w:hAnsi="Times New Roman"/>
                <w:sz w:val="18"/>
                <w:szCs w:val="18"/>
              </w:rPr>
              <w:t xml:space="preserve">AMI </w:t>
            </w:r>
            <w:r w:rsidRPr="003F26ED">
              <w:rPr>
                <w:rFonts w:ascii="Times New Roman" w:hAnsi="Times New Roman"/>
                <w:sz w:val="18"/>
                <w:szCs w:val="18"/>
              </w:rPr>
              <w:t>spatial care paths</w:t>
            </w:r>
          </w:p>
        </w:tc>
        <w:tc>
          <w:tcPr>
            <w:tcW w:w="1260" w:type="dxa"/>
          </w:tcPr>
          <w:p w14:paraId="5AC62F0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Central Vietnam</w:t>
            </w:r>
          </w:p>
        </w:tc>
        <w:tc>
          <w:tcPr>
            <w:tcW w:w="1170" w:type="dxa"/>
          </w:tcPr>
          <w:p w14:paraId="00083DE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Cardiac biomarkers</w:t>
            </w:r>
          </w:p>
        </w:tc>
        <w:tc>
          <w:tcPr>
            <w:tcW w:w="4045" w:type="dxa"/>
          </w:tcPr>
          <w:p w14:paraId="573B662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Early upstream POC cTn testing on spatial care paths will expedite transfers directly to hospitals capable of intervening, improving decision making and outcomes following coronary occlusion.</w:t>
            </w:r>
          </w:p>
        </w:tc>
      </w:tr>
      <w:tr w:rsidR="00042CB3" w:rsidRPr="003F26ED" w14:paraId="2D3F57A3" w14:textId="77777777" w:rsidTr="00042CB3">
        <w:tc>
          <w:tcPr>
            <w:tcW w:w="1435" w:type="dxa"/>
          </w:tcPr>
          <w:p w14:paraId="38FB965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Rasmussen</w:t>
            </w:r>
          </w:p>
          <w:p w14:paraId="26C3194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EHJACC</w:t>
            </w:r>
          </w:p>
          <w:p w14:paraId="25AE00A1" w14:textId="1AA933AA"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2017 </w:t>
            </w:r>
            <w:r w:rsidR="008E4FC8">
              <w:rPr>
                <w:rFonts w:ascii="Times New Roman" w:hAnsi="Times New Roman"/>
                <w:sz w:val="18"/>
                <w:szCs w:val="18"/>
              </w:rPr>
              <w:t>[5</w:t>
            </w:r>
            <w:r w:rsidR="00241B6C">
              <w:rPr>
                <w:rFonts w:ascii="Times New Roman" w:hAnsi="Times New Roman"/>
                <w:sz w:val="18"/>
                <w:szCs w:val="18"/>
              </w:rPr>
              <w:t>3</w:t>
            </w:r>
            <w:r w:rsidR="008E4FC8">
              <w:rPr>
                <w:rFonts w:ascii="Times New Roman" w:hAnsi="Times New Roman"/>
                <w:sz w:val="18"/>
                <w:szCs w:val="18"/>
              </w:rPr>
              <w:t>]</w:t>
            </w:r>
          </w:p>
        </w:tc>
        <w:tc>
          <w:tcPr>
            <w:tcW w:w="1440" w:type="dxa"/>
          </w:tcPr>
          <w:p w14:paraId="1F5AE4AD" w14:textId="69F00850"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Prehospital </w:t>
            </w:r>
            <w:r w:rsidR="008412BA" w:rsidRPr="003F26ED">
              <w:rPr>
                <w:rFonts w:ascii="Times New Roman" w:hAnsi="Times New Roman"/>
                <w:sz w:val="18"/>
                <w:szCs w:val="18"/>
              </w:rPr>
              <w:t>diagnosis</w:t>
            </w:r>
            <w:r w:rsidRPr="003F26ED">
              <w:rPr>
                <w:rFonts w:ascii="Times New Roman" w:hAnsi="Times New Roman"/>
                <w:sz w:val="18"/>
                <w:szCs w:val="18"/>
              </w:rPr>
              <w:t xml:space="preserve"> and risk stratification</w:t>
            </w:r>
          </w:p>
        </w:tc>
        <w:tc>
          <w:tcPr>
            <w:tcW w:w="1260" w:type="dxa"/>
          </w:tcPr>
          <w:p w14:paraId="7D037F8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Aarhus, Denmark</w:t>
            </w:r>
          </w:p>
        </w:tc>
        <w:tc>
          <w:tcPr>
            <w:tcW w:w="1170" w:type="dxa"/>
          </w:tcPr>
          <w:p w14:paraId="0A41926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cTnT</w:t>
            </w:r>
          </w:p>
        </w:tc>
        <w:tc>
          <w:tcPr>
            <w:tcW w:w="4045" w:type="dxa"/>
          </w:tcPr>
          <w:p w14:paraId="109B34A5" w14:textId="64B89FEF"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Patients presenting cTn T ≥50 ng/L had 24% 1-year mortality compared with 4.8% for cTnT &lt;50 ng/L (p&lt;0.001). Prehospital cTnT ≥50 ng/L has a poor prognosis irrespective of final diagnosis and high predictive value for identifying high-risk prehospital so that they may be rerouted directly for advanced care at an invasive center.</w:t>
            </w:r>
          </w:p>
        </w:tc>
      </w:tr>
      <w:tr w:rsidR="00042CB3" w:rsidRPr="003F26ED" w14:paraId="617CF4D8" w14:textId="77777777" w:rsidTr="00042CB3">
        <w:tc>
          <w:tcPr>
            <w:tcW w:w="1435" w:type="dxa"/>
          </w:tcPr>
          <w:p w14:paraId="7211DCC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Stengaard</w:t>
            </w:r>
          </w:p>
          <w:p w14:paraId="3250CDD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Biomarkers</w:t>
            </w:r>
          </w:p>
          <w:p w14:paraId="60F46B85" w14:textId="0C0AB1FA"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2016 </w:t>
            </w:r>
            <w:r w:rsidR="008E4FC8">
              <w:rPr>
                <w:rFonts w:ascii="Times New Roman" w:hAnsi="Times New Roman"/>
                <w:sz w:val="18"/>
                <w:szCs w:val="18"/>
              </w:rPr>
              <w:t>[5</w:t>
            </w:r>
            <w:r w:rsidR="00241B6C">
              <w:rPr>
                <w:rFonts w:ascii="Times New Roman" w:hAnsi="Times New Roman"/>
                <w:sz w:val="18"/>
                <w:szCs w:val="18"/>
              </w:rPr>
              <w:t>4</w:t>
            </w:r>
            <w:r w:rsidR="008E4FC8">
              <w:rPr>
                <w:rFonts w:ascii="Times New Roman" w:hAnsi="Times New Roman"/>
                <w:sz w:val="18"/>
                <w:szCs w:val="18"/>
              </w:rPr>
              <w:t>]</w:t>
            </w:r>
          </w:p>
        </w:tc>
        <w:tc>
          <w:tcPr>
            <w:tcW w:w="1440" w:type="dxa"/>
          </w:tcPr>
          <w:p w14:paraId="1BCDA7A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Optimizing prehospital triage</w:t>
            </w:r>
          </w:p>
        </w:tc>
        <w:tc>
          <w:tcPr>
            <w:tcW w:w="1260" w:type="dxa"/>
          </w:tcPr>
          <w:p w14:paraId="3BA69A4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Aarhus, Denmark</w:t>
            </w:r>
          </w:p>
        </w:tc>
        <w:tc>
          <w:tcPr>
            <w:tcW w:w="1170" w:type="dxa"/>
          </w:tcPr>
          <w:p w14:paraId="017A388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hs-cTnT,</w:t>
            </w:r>
          </w:p>
          <w:p w14:paraId="48D6F0C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copeptin in prehospital samples</w:t>
            </w:r>
          </w:p>
        </w:tc>
        <w:tc>
          <w:tcPr>
            <w:tcW w:w="4045" w:type="dxa"/>
          </w:tcPr>
          <w:p w14:paraId="78E0C1E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hs-cTnT and copeptin performed prehospital could potentially improve the diagnostic and prognostic classification of patients with suspected AMI (not POC).</w:t>
            </w:r>
          </w:p>
        </w:tc>
      </w:tr>
      <w:tr w:rsidR="00042CB3" w:rsidRPr="003F26ED" w14:paraId="7F066846" w14:textId="77777777" w:rsidTr="00042CB3">
        <w:tc>
          <w:tcPr>
            <w:tcW w:w="1435" w:type="dxa"/>
          </w:tcPr>
          <w:p w14:paraId="11C9E89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Ezekowitz</w:t>
            </w:r>
          </w:p>
          <w:p w14:paraId="09ECFF2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J Am Heart Assoc</w:t>
            </w:r>
          </w:p>
          <w:p w14:paraId="6405AFF8" w14:textId="5793C54A"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2015 </w:t>
            </w:r>
            <w:r w:rsidR="008E4FC8">
              <w:rPr>
                <w:rFonts w:ascii="Times New Roman" w:hAnsi="Times New Roman"/>
                <w:sz w:val="18"/>
                <w:szCs w:val="18"/>
              </w:rPr>
              <w:t>[5</w:t>
            </w:r>
            <w:r w:rsidR="00241B6C">
              <w:rPr>
                <w:rFonts w:ascii="Times New Roman" w:hAnsi="Times New Roman"/>
                <w:sz w:val="18"/>
                <w:szCs w:val="18"/>
              </w:rPr>
              <w:t>5</w:t>
            </w:r>
            <w:r w:rsidR="008E4FC8">
              <w:rPr>
                <w:rFonts w:ascii="Times New Roman" w:hAnsi="Times New Roman"/>
                <w:sz w:val="18"/>
                <w:szCs w:val="18"/>
              </w:rPr>
              <w:t>]</w:t>
            </w:r>
          </w:p>
        </w:tc>
        <w:tc>
          <w:tcPr>
            <w:tcW w:w="1440" w:type="dxa"/>
          </w:tcPr>
          <w:p w14:paraId="493CA26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cTn testing in ambulances</w:t>
            </w:r>
          </w:p>
        </w:tc>
        <w:tc>
          <w:tcPr>
            <w:tcW w:w="1260" w:type="dxa"/>
          </w:tcPr>
          <w:p w14:paraId="362EECB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Alberta, Canada</w:t>
            </w:r>
          </w:p>
        </w:tc>
        <w:tc>
          <w:tcPr>
            <w:tcW w:w="1170" w:type="dxa"/>
          </w:tcPr>
          <w:p w14:paraId="413BCAC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cTn</w:t>
            </w:r>
          </w:p>
        </w:tc>
        <w:tc>
          <w:tcPr>
            <w:tcW w:w="4045" w:type="dxa"/>
          </w:tcPr>
          <w:p w14:paraId="2DDFD54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Ambulance cTn accelerated the time to final disposition. Enhanced and more cost-effective early ED discharge of most patients with chest pain is an unrealized opportunity.</w:t>
            </w:r>
          </w:p>
        </w:tc>
      </w:tr>
      <w:tr w:rsidR="00042CB3" w:rsidRPr="003F26ED" w14:paraId="23D9E1D0" w14:textId="77777777" w:rsidTr="00042CB3">
        <w:tc>
          <w:tcPr>
            <w:tcW w:w="1435" w:type="dxa"/>
          </w:tcPr>
          <w:p w14:paraId="33DB30F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Tideman</w:t>
            </w:r>
          </w:p>
          <w:p w14:paraId="7AF1CD4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Med J Aust</w:t>
            </w:r>
          </w:p>
          <w:p w14:paraId="295D891E" w14:textId="561F9152"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2014 </w:t>
            </w:r>
            <w:r w:rsidR="008E4FC8">
              <w:rPr>
                <w:rFonts w:ascii="Times New Roman" w:hAnsi="Times New Roman"/>
                <w:sz w:val="18"/>
                <w:szCs w:val="18"/>
              </w:rPr>
              <w:t>[5</w:t>
            </w:r>
            <w:r w:rsidR="00241B6C">
              <w:rPr>
                <w:rFonts w:ascii="Times New Roman" w:hAnsi="Times New Roman"/>
                <w:sz w:val="18"/>
                <w:szCs w:val="18"/>
              </w:rPr>
              <w:t>6</w:t>
            </w:r>
            <w:r w:rsidR="008E4FC8">
              <w:rPr>
                <w:rFonts w:ascii="Times New Roman" w:hAnsi="Times New Roman"/>
                <w:sz w:val="18"/>
                <w:szCs w:val="18"/>
              </w:rPr>
              <w:t>]</w:t>
            </w:r>
          </w:p>
        </w:tc>
        <w:tc>
          <w:tcPr>
            <w:tcW w:w="1440" w:type="dxa"/>
          </w:tcPr>
          <w:p w14:paraId="046219D8"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Royal Air Service fixed wing air ambulance</w:t>
            </w:r>
          </w:p>
        </w:tc>
        <w:tc>
          <w:tcPr>
            <w:tcW w:w="1260" w:type="dxa"/>
          </w:tcPr>
          <w:p w14:paraId="4286340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Rural Australia</w:t>
            </w:r>
          </w:p>
        </w:tc>
        <w:tc>
          <w:tcPr>
            <w:tcW w:w="1170" w:type="dxa"/>
          </w:tcPr>
          <w:p w14:paraId="3187ECF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 cTn</w:t>
            </w:r>
          </w:p>
        </w:tc>
        <w:tc>
          <w:tcPr>
            <w:tcW w:w="4045" w:type="dxa"/>
          </w:tcPr>
          <w:p w14:paraId="469A2DB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Cardiologist-supported remote risk stratification, management, and facilitated access to tertiary hospital-based early invasive management are associated with improved 30-day mortality for patients who initially present to rural hospitals and are diagnosed with AMI. These interventions closed the gap in mortality between rural and metropolitan patients in South Australia.</w:t>
            </w:r>
          </w:p>
        </w:tc>
      </w:tr>
      <w:tr w:rsidR="00042CB3" w:rsidRPr="003F26ED" w14:paraId="7373E3C1" w14:textId="77777777" w:rsidTr="00042CB3">
        <w:tc>
          <w:tcPr>
            <w:tcW w:w="1435" w:type="dxa"/>
          </w:tcPr>
          <w:p w14:paraId="78B8B1D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Stengaard</w:t>
            </w:r>
          </w:p>
          <w:p w14:paraId="608B77A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Am J Cardiol</w:t>
            </w:r>
          </w:p>
          <w:p w14:paraId="617AD0FB" w14:textId="49546D69"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2013 </w:t>
            </w:r>
            <w:r w:rsidR="008E4FC8">
              <w:rPr>
                <w:rFonts w:ascii="Times New Roman" w:hAnsi="Times New Roman"/>
                <w:sz w:val="18"/>
                <w:szCs w:val="18"/>
              </w:rPr>
              <w:t>[5</w:t>
            </w:r>
            <w:r w:rsidR="00241B6C">
              <w:rPr>
                <w:rFonts w:ascii="Times New Roman" w:hAnsi="Times New Roman"/>
                <w:sz w:val="18"/>
                <w:szCs w:val="18"/>
              </w:rPr>
              <w:t>7</w:t>
            </w:r>
            <w:r w:rsidR="008E4FC8">
              <w:rPr>
                <w:rFonts w:ascii="Times New Roman" w:hAnsi="Times New Roman"/>
                <w:sz w:val="18"/>
                <w:szCs w:val="18"/>
              </w:rPr>
              <w:t>]</w:t>
            </w:r>
          </w:p>
        </w:tc>
        <w:tc>
          <w:tcPr>
            <w:tcW w:w="1440" w:type="dxa"/>
          </w:tcPr>
          <w:p w14:paraId="3FB022A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triage</w:t>
            </w:r>
          </w:p>
        </w:tc>
        <w:tc>
          <w:tcPr>
            <w:tcW w:w="1260" w:type="dxa"/>
          </w:tcPr>
          <w:p w14:paraId="632EF32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Aarhus, Central Denmark</w:t>
            </w:r>
          </w:p>
        </w:tc>
        <w:tc>
          <w:tcPr>
            <w:tcW w:w="1170" w:type="dxa"/>
          </w:tcPr>
          <w:p w14:paraId="1B32203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Quantitative cTnT</w:t>
            </w:r>
          </w:p>
        </w:tc>
        <w:tc>
          <w:tcPr>
            <w:tcW w:w="4045" w:type="dxa"/>
          </w:tcPr>
          <w:p w14:paraId="6D0BA98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Quantitative prehospital cTnT testing by paramedics is feasible and an elevated cTnT is highly predictive of mortality in suspected AMI.</w:t>
            </w:r>
          </w:p>
        </w:tc>
      </w:tr>
      <w:tr w:rsidR="00042CB3" w:rsidRPr="003F26ED" w14:paraId="29E83C0C" w14:textId="77777777" w:rsidTr="00042CB3">
        <w:tc>
          <w:tcPr>
            <w:tcW w:w="1435" w:type="dxa"/>
          </w:tcPr>
          <w:p w14:paraId="3FF54E0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Venturini</w:t>
            </w:r>
          </w:p>
          <w:p w14:paraId="40BF90E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 Emer Care</w:t>
            </w:r>
          </w:p>
          <w:p w14:paraId="1026BB66" w14:textId="6F60D51A"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2013 </w:t>
            </w:r>
            <w:r w:rsidR="008E4FC8">
              <w:rPr>
                <w:rFonts w:ascii="Times New Roman" w:hAnsi="Times New Roman"/>
                <w:sz w:val="18"/>
                <w:szCs w:val="18"/>
              </w:rPr>
              <w:t>[5</w:t>
            </w:r>
            <w:r w:rsidR="00241B6C">
              <w:rPr>
                <w:rFonts w:ascii="Times New Roman" w:hAnsi="Times New Roman"/>
                <w:sz w:val="18"/>
                <w:szCs w:val="18"/>
              </w:rPr>
              <w:t>8</w:t>
            </w:r>
            <w:r w:rsidR="008E4FC8">
              <w:rPr>
                <w:rFonts w:ascii="Times New Roman" w:hAnsi="Times New Roman"/>
                <w:sz w:val="18"/>
                <w:szCs w:val="18"/>
              </w:rPr>
              <w:t>]</w:t>
            </w:r>
          </w:p>
        </w:tc>
        <w:tc>
          <w:tcPr>
            <w:tcW w:w="1440" w:type="dxa"/>
          </w:tcPr>
          <w:p w14:paraId="38EFE47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Testing in moving ambulances versus the ED</w:t>
            </w:r>
          </w:p>
        </w:tc>
        <w:tc>
          <w:tcPr>
            <w:tcW w:w="1260" w:type="dxa"/>
          </w:tcPr>
          <w:p w14:paraId="661D5E3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Maywood, Illinois, USA</w:t>
            </w:r>
          </w:p>
        </w:tc>
        <w:tc>
          <w:tcPr>
            <w:tcW w:w="1170" w:type="dxa"/>
          </w:tcPr>
          <w:p w14:paraId="0FB500F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cTnI testing site comparison study</w:t>
            </w:r>
          </w:p>
        </w:tc>
        <w:tc>
          <w:tcPr>
            <w:tcW w:w="4045" w:type="dxa"/>
          </w:tcPr>
          <w:p w14:paraId="2DF1A23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No significant difference in whole-blood troponin results was found between cTnI performed in the moving ambulance and the ED.</w:t>
            </w:r>
          </w:p>
        </w:tc>
      </w:tr>
      <w:tr w:rsidR="00042CB3" w:rsidRPr="003F26ED" w14:paraId="753C57F6" w14:textId="77777777" w:rsidTr="00042CB3">
        <w:tc>
          <w:tcPr>
            <w:tcW w:w="1435" w:type="dxa"/>
          </w:tcPr>
          <w:p w14:paraId="4D5450B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lastRenderedPageBreak/>
              <w:t>Prosen</w:t>
            </w:r>
          </w:p>
          <w:p w14:paraId="36A8FA02" w14:textId="2160152D"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Crit Care</w:t>
            </w:r>
            <w:r w:rsidRPr="003F26ED">
              <w:rPr>
                <w:rFonts w:ascii="Times New Roman" w:hAnsi="Times New Roman"/>
                <w:sz w:val="18"/>
                <w:szCs w:val="18"/>
              </w:rPr>
              <w:br/>
              <w:t xml:space="preserve">2011 </w:t>
            </w:r>
            <w:r w:rsidR="008E4FC8">
              <w:rPr>
                <w:rFonts w:ascii="Times New Roman" w:hAnsi="Times New Roman"/>
                <w:sz w:val="18"/>
                <w:szCs w:val="18"/>
              </w:rPr>
              <w:t>[</w:t>
            </w:r>
            <w:r w:rsidR="00241B6C">
              <w:rPr>
                <w:rFonts w:ascii="Times New Roman" w:hAnsi="Times New Roman"/>
                <w:sz w:val="18"/>
                <w:szCs w:val="18"/>
              </w:rPr>
              <w:t>59</w:t>
            </w:r>
            <w:r w:rsidR="008E4FC8">
              <w:rPr>
                <w:rFonts w:ascii="Times New Roman" w:hAnsi="Times New Roman"/>
                <w:sz w:val="18"/>
                <w:szCs w:val="18"/>
              </w:rPr>
              <w:t>]</w:t>
            </w:r>
          </w:p>
        </w:tc>
        <w:tc>
          <w:tcPr>
            <w:tcW w:w="1440" w:type="dxa"/>
          </w:tcPr>
          <w:p w14:paraId="0B8BF8C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Differential Dx in prehospital emergencies</w:t>
            </w:r>
          </w:p>
        </w:tc>
        <w:tc>
          <w:tcPr>
            <w:tcW w:w="1260" w:type="dxa"/>
          </w:tcPr>
          <w:p w14:paraId="13D443F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Maribor, Slovenia</w:t>
            </w:r>
          </w:p>
        </w:tc>
        <w:tc>
          <w:tcPr>
            <w:tcW w:w="1170" w:type="dxa"/>
          </w:tcPr>
          <w:p w14:paraId="5140016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NT-proBNP, UTZ</w:t>
            </w:r>
          </w:p>
        </w:tc>
        <w:tc>
          <w:tcPr>
            <w:tcW w:w="4045" w:type="dxa"/>
          </w:tcPr>
          <w:p w14:paraId="1F824F0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UTZ comet-tail sign alone or in combination with NT-proBNP has high diagnostic accuracy in differentiating acute HF-related from </w:t>
            </w:r>
          </w:p>
          <w:p w14:paraId="651F1A2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COPD/asthma-related causes of acute dyspnea.</w:t>
            </w:r>
          </w:p>
        </w:tc>
      </w:tr>
      <w:tr w:rsidR="00042CB3" w:rsidRPr="003F26ED" w14:paraId="3BC2F13A" w14:textId="77777777" w:rsidTr="00042CB3">
        <w:tc>
          <w:tcPr>
            <w:tcW w:w="1435" w:type="dxa"/>
          </w:tcPr>
          <w:p w14:paraId="27075ED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Sorensen</w:t>
            </w:r>
          </w:p>
          <w:p w14:paraId="60CF571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Am J Cardiol</w:t>
            </w:r>
          </w:p>
          <w:p w14:paraId="0D4C2103" w14:textId="25669E22"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2011 </w:t>
            </w:r>
            <w:r w:rsidR="008E4FC8">
              <w:rPr>
                <w:rFonts w:ascii="Times New Roman" w:hAnsi="Times New Roman"/>
                <w:sz w:val="18"/>
                <w:szCs w:val="18"/>
              </w:rPr>
              <w:t>[6</w:t>
            </w:r>
            <w:r w:rsidR="00241B6C">
              <w:rPr>
                <w:rFonts w:ascii="Times New Roman" w:hAnsi="Times New Roman"/>
                <w:sz w:val="18"/>
                <w:szCs w:val="18"/>
              </w:rPr>
              <w:t>0</w:t>
            </w:r>
            <w:r w:rsidR="008E4FC8">
              <w:rPr>
                <w:rFonts w:ascii="Times New Roman" w:hAnsi="Times New Roman"/>
                <w:sz w:val="18"/>
                <w:szCs w:val="18"/>
              </w:rPr>
              <w:t>]</w:t>
            </w:r>
          </w:p>
        </w:tc>
        <w:tc>
          <w:tcPr>
            <w:tcW w:w="1440" w:type="dxa"/>
          </w:tcPr>
          <w:p w14:paraId="3C9B30E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Dx and triage of AMI</w:t>
            </w:r>
          </w:p>
        </w:tc>
        <w:tc>
          <w:tcPr>
            <w:tcW w:w="1260" w:type="dxa"/>
          </w:tcPr>
          <w:p w14:paraId="28AFEC5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Aarhus, Denmark</w:t>
            </w:r>
          </w:p>
        </w:tc>
        <w:tc>
          <w:tcPr>
            <w:tcW w:w="1170" w:type="dxa"/>
          </w:tcPr>
          <w:p w14:paraId="000A274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Qualitative cTnT, ECG</w:t>
            </w:r>
          </w:p>
        </w:tc>
        <w:tc>
          <w:tcPr>
            <w:tcW w:w="4045" w:type="dxa"/>
          </w:tcPr>
          <w:p w14:paraId="2090F98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Prehospital cTnT testing is feasible with a high success rate and indicates that implementation of quantitative tests with lower detection limits could identify most patients with AMI </w:t>
            </w:r>
          </w:p>
          <w:p w14:paraId="74C16EC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irrespective of ECG changes.</w:t>
            </w:r>
          </w:p>
        </w:tc>
      </w:tr>
      <w:tr w:rsidR="00042CB3" w:rsidRPr="003F26ED" w14:paraId="760E6CFA" w14:textId="77777777" w:rsidTr="00042CB3">
        <w:tc>
          <w:tcPr>
            <w:tcW w:w="1435" w:type="dxa"/>
          </w:tcPr>
          <w:p w14:paraId="40AD158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color w:val="000000" w:themeColor="text1"/>
                <w:sz w:val="18"/>
                <w:szCs w:val="18"/>
              </w:rPr>
              <w:t>Kost</w:t>
            </w:r>
          </w:p>
          <w:p w14:paraId="4B1F1B7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Point of Care</w:t>
            </w:r>
          </w:p>
          <w:p w14:paraId="036D1B51" w14:textId="1A44BDED"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2010 </w:t>
            </w:r>
            <w:r w:rsidR="008E4FC8">
              <w:rPr>
                <w:rFonts w:ascii="Times New Roman" w:hAnsi="Times New Roman"/>
                <w:sz w:val="18"/>
                <w:szCs w:val="18"/>
              </w:rPr>
              <w:t>[6</w:t>
            </w:r>
            <w:r w:rsidR="00241B6C">
              <w:rPr>
                <w:rFonts w:ascii="Times New Roman" w:hAnsi="Times New Roman"/>
                <w:sz w:val="18"/>
                <w:szCs w:val="18"/>
              </w:rPr>
              <w:t>1</w:t>
            </w:r>
            <w:r w:rsidR="008E4FC8">
              <w:rPr>
                <w:rFonts w:ascii="Times New Roman" w:hAnsi="Times New Roman"/>
                <w:sz w:val="18"/>
                <w:szCs w:val="18"/>
              </w:rPr>
              <w:t>]</w:t>
            </w:r>
          </w:p>
        </w:tc>
        <w:tc>
          <w:tcPr>
            <w:tcW w:w="1440" w:type="dxa"/>
          </w:tcPr>
          <w:p w14:paraId="0BBDB4A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Implementation of POC cTn testing in rural provinces</w:t>
            </w:r>
          </w:p>
        </w:tc>
        <w:tc>
          <w:tcPr>
            <w:tcW w:w="1260" w:type="dxa"/>
          </w:tcPr>
          <w:p w14:paraId="07C8A71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Thailand</w:t>
            </w:r>
          </w:p>
        </w:tc>
        <w:tc>
          <w:tcPr>
            <w:tcW w:w="1170" w:type="dxa"/>
          </w:tcPr>
          <w:p w14:paraId="37BFD6B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cTnT, NT-pro-BNP</w:t>
            </w:r>
          </w:p>
        </w:tc>
        <w:tc>
          <w:tcPr>
            <w:tcW w:w="4045" w:type="dxa"/>
          </w:tcPr>
          <w:p w14:paraId="559CA90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Following defining pilot studies of need and application, cobas 232 handheld cardiac biomarker testing was implemented in hundreds of sites transforming the care of patients with AMI.</w:t>
            </w:r>
          </w:p>
        </w:tc>
      </w:tr>
      <w:tr w:rsidR="00042CB3" w:rsidRPr="003F26ED" w14:paraId="44B205D2" w14:textId="77777777" w:rsidTr="00042CB3">
        <w:tc>
          <w:tcPr>
            <w:tcW w:w="1435" w:type="dxa"/>
          </w:tcPr>
          <w:p w14:paraId="2277AC6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Di Serio</w:t>
            </w:r>
          </w:p>
          <w:p w14:paraId="641ECA4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Clin Chem Lab Med</w:t>
            </w:r>
          </w:p>
          <w:p w14:paraId="0C440415" w14:textId="09EA0FB2"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2006 </w:t>
            </w:r>
            <w:r w:rsidR="008E4FC8">
              <w:rPr>
                <w:rFonts w:ascii="Times New Roman" w:hAnsi="Times New Roman"/>
                <w:sz w:val="18"/>
                <w:szCs w:val="18"/>
              </w:rPr>
              <w:t>[6</w:t>
            </w:r>
            <w:r w:rsidR="00241B6C">
              <w:rPr>
                <w:rFonts w:ascii="Times New Roman" w:hAnsi="Times New Roman"/>
                <w:sz w:val="18"/>
                <w:szCs w:val="18"/>
              </w:rPr>
              <w:t>2</w:t>
            </w:r>
            <w:r w:rsidR="008E4FC8">
              <w:rPr>
                <w:rFonts w:ascii="Times New Roman" w:hAnsi="Times New Roman"/>
                <w:sz w:val="18"/>
                <w:szCs w:val="18"/>
              </w:rPr>
              <w:t>]</w:t>
            </w:r>
          </w:p>
        </w:tc>
        <w:tc>
          <w:tcPr>
            <w:tcW w:w="1440" w:type="dxa"/>
          </w:tcPr>
          <w:p w14:paraId="285D42C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Ambulance tele-cardiology for managing AMI</w:t>
            </w:r>
          </w:p>
        </w:tc>
        <w:tc>
          <w:tcPr>
            <w:tcW w:w="1260" w:type="dxa"/>
          </w:tcPr>
          <w:p w14:paraId="1CD7285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Bari, Italy</w:t>
            </w:r>
          </w:p>
        </w:tc>
        <w:tc>
          <w:tcPr>
            <w:tcW w:w="1170" w:type="dxa"/>
          </w:tcPr>
          <w:p w14:paraId="0532F12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cTnI (i-Stat), ECG (no patients with ST-segment elevation)</w:t>
            </w:r>
          </w:p>
        </w:tc>
        <w:tc>
          <w:tcPr>
            <w:tcW w:w="4045" w:type="dxa"/>
          </w:tcPr>
          <w:p w14:paraId="0E5A992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For POCT, cTnI was &gt;0.09 microg/L in 20 AMI patients (91%). The median ambulance TAT was 12 min and median hospital TAT, 40 min. cTnI integrated with tele-medicine plays an important role in management of ACS patients related to the prehospital phase early Dx/Rx.</w:t>
            </w:r>
          </w:p>
        </w:tc>
      </w:tr>
      <w:tr w:rsidR="00042CB3" w:rsidRPr="003F26ED" w14:paraId="66BCD55E" w14:textId="77777777" w:rsidTr="00042CB3">
        <w:tc>
          <w:tcPr>
            <w:tcW w:w="1435" w:type="dxa"/>
          </w:tcPr>
          <w:p w14:paraId="7C9619E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Owens</w:t>
            </w:r>
          </w:p>
          <w:p w14:paraId="256CEA92" w14:textId="19DC6DF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J Electrocardiol</w:t>
            </w:r>
          </w:p>
          <w:p w14:paraId="5E6F9E4E" w14:textId="153FB75C"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2004 </w:t>
            </w:r>
            <w:r w:rsidR="008E4FC8">
              <w:rPr>
                <w:rFonts w:ascii="Times New Roman" w:hAnsi="Times New Roman"/>
                <w:sz w:val="18"/>
                <w:szCs w:val="18"/>
              </w:rPr>
              <w:t>[6</w:t>
            </w:r>
            <w:r w:rsidR="00241B6C">
              <w:rPr>
                <w:rFonts w:ascii="Times New Roman" w:hAnsi="Times New Roman"/>
                <w:sz w:val="18"/>
                <w:szCs w:val="18"/>
              </w:rPr>
              <w:t>3</w:t>
            </w:r>
            <w:r w:rsidR="008E4FC8">
              <w:rPr>
                <w:rFonts w:ascii="Times New Roman" w:hAnsi="Times New Roman"/>
                <w:sz w:val="18"/>
                <w:szCs w:val="18"/>
              </w:rPr>
              <w:t>]</w:t>
            </w:r>
          </w:p>
        </w:tc>
        <w:tc>
          <w:tcPr>
            <w:tcW w:w="1440" w:type="dxa"/>
          </w:tcPr>
          <w:p w14:paraId="7B190A2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Physician-manned mobile CCU</w:t>
            </w:r>
          </w:p>
        </w:tc>
        <w:tc>
          <w:tcPr>
            <w:tcW w:w="1260" w:type="dxa"/>
          </w:tcPr>
          <w:p w14:paraId="0AA8332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Belfast, Northern Ireland</w:t>
            </w:r>
          </w:p>
        </w:tc>
        <w:tc>
          <w:tcPr>
            <w:tcW w:w="1170" w:type="dxa"/>
          </w:tcPr>
          <w:p w14:paraId="71BEE15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80-lead ECG body map</w:t>
            </w:r>
          </w:p>
        </w:tc>
        <w:tc>
          <w:tcPr>
            <w:tcW w:w="4045" w:type="dxa"/>
          </w:tcPr>
          <w:p w14:paraId="42D7AAB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The 80-lead BSM is superior to the standard 12-lead ECG in predicting AMI prehospital.</w:t>
            </w:r>
          </w:p>
        </w:tc>
      </w:tr>
      <w:tr w:rsidR="00042CB3" w:rsidRPr="003F26ED" w14:paraId="78053405" w14:textId="77777777" w:rsidTr="00042CB3">
        <w:tc>
          <w:tcPr>
            <w:tcW w:w="1435" w:type="dxa"/>
          </w:tcPr>
          <w:p w14:paraId="75525B6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Schuchert</w:t>
            </w:r>
          </w:p>
          <w:p w14:paraId="7389599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Am Heart J</w:t>
            </w:r>
          </w:p>
          <w:p w14:paraId="773F6B64" w14:textId="25D37328"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1999 </w:t>
            </w:r>
            <w:r w:rsidR="008E4FC8">
              <w:rPr>
                <w:rFonts w:ascii="Times New Roman" w:hAnsi="Times New Roman"/>
                <w:sz w:val="18"/>
                <w:szCs w:val="18"/>
              </w:rPr>
              <w:t>[6</w:t>
            </w:r>
            <w:r w:rsidR="00241B6C">
              <w:rPr>
                <w:rFonts w:ascii="Times New Roman" w:hAnsi="Times New Roman"/>
                <w:sz w:val="18"/>
                <w:szCs w:val="18"/>
              </w:rPr>
              <w:t>4</w:t>
            </w:r>
            <w:r w:rsidR="008E4FC8">
              <w:rPr>
                <w:rFonts w:ascii="Times New Roman" w:hAnsi="Times New Roman"/>
                <w:sz w:val="18"/>
                <w:szCs w:val="18"/>
              </w:rPr>
              <w:t>]</w:t>
            </w:r>
          </w:p>
        </w:tc>
        <w:tc>
          <w:tcPr>
            <w:tcW w:w="1440" w:type="dxa"/>
          </w:tcPr>
          <w:p w14:paraId="5707E4A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Ambulance cTnT-6-mo follow-up of AMI and death</w:t>
            </w:r>
          </w:p>
        </w:tc>
        <w:tc>
          <w:tcPr>
            <w:tcW w:w="1260" w:type="dxa"/>
          </w:tcPr>
          <w:p w14:paraId="64DC726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Hamburg, Germany</w:t>
            </w:r>
          </w:p>
        </w:tc>
        <w:tc>
          <w:tcPr>
            <w:tcW w:w="1170" w:type="dxa"/>
          </w:tcPr>
          <w:p w14:paraId="781CA92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Qualitative cTnT</w:t>
            </w:r>
          </w:p>
        </w:tc>
        <w:tc>
          <w:tcPr>
            <w:tcW w:w="4045" w:type="dxa"/>
          </w:tcPr>
          <w:p w14:paraId="7E9367E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Rapid cTnT identified a minority of patients with AMI. Positive prehospital TnT was an objective marker for a worse outcome. During follow-up, patients positive prehospital for cTnT had cardiac events more often (9 of 11) than patients with a negative result (26 of 147; P &lt;.0001).</w:t>
            </w:r>
          </w:p>
        </w:tc>
      </w:tr>
      <w:tr w:rsidR="003161DB" w:rsidRPr="003F26ED" w14:paraId="3224C8E3" w14:textId="77777777" w:rsidTr="002D6FC8">
        <w:tc>
          <w:tcPr>
            <w:tcW w:w="9350" w:type="dxa"/>
            <w:gridSpan w:val="5"/>
          </w:tcPr>
          <w:p w14:paraId="2A203F2F" w14:textId="60B8C0B2" w:rsidR="003161DB" w:rsidRPr="003F26ED" w:rsidRDefault="003161DB" w:rsidP="00042CB3">
            <w:pPr>
              <w:rPr>
                <w:rFonts w:ascii="Times New Roman" w:hAnsi="Times New Roman"/>
                <w:sz w:val="18"/>
                <w:szCs w:val="18"/>
              </w:rPr>
            </w:pPr>
            <w:r w:rsidRPr="003F26ED">
              <w:rPr>
                <w:rFonts w:ascii="Times New Roman" w:hAnsi="Times New Roman"/>
                <w:b/>
                <w:bCs/>
                <w:sz w:val="18"/>
                <w:szCs w:val="18"/>
              </w:rPr>
              <w:t>• CRP</w:t>
            </w:r>
          </w:p>
        </w:tc>
      </w:tr>
      <w:tr w:rsidR="009904B0" w:rsidRPr="003F26ED" w14:paraId="2809F32C" w14:textId="77777777" w:rsidTr="002D6FC8">
        <w:tc>
          <w:tcPr>
            <w:tcW w:w="1435" w:type="dxa"/>
          </w:tcPr>
          <w:p w14:paraId="11FECE25" w14:textId="77777777" w:rsidR="009904B0" w:rsidRPr="003F26ED" w:rsidRDefault="009904B0" w:rsidP="009904B0">
            <w:pPr>
              <w:spacing w:line="240" w:lineRule="auto"/>
              <w:jc w:val="left"/>
              <w:rPr>
                <w:rFonts w:ascii="Times New Roman" w:hAnsi="Times New Roman"/>
                <w:sz w:val="18"/>
                <w:szCs w:val="18"/>
              </w:rPr>
            </w:pPr>
            <w:r w:rsidRPr="003F26ED">
              <w:rPr>
                <w:rFonts w:ascii="Times New Roman" w:hAnsi="Times New Roman"/>
                <w:sz w:val="18"/>
                <w:szCs w:val="18"/>
              </w:rPr>
              <w:t>Matthes A</w:t>
            </w:r>
          </w:p>
          <w:p w14:paraId="3901DDCD" w14:textId="77777777" w:rsidR="009904B0" w:rsidRPr="003F26ED" w:rsidRDefault="009904B0" w:rsidP="009904B0">
            <w:pPr>
              <w:spacing w:line="240" w:lineRule="auto"/>
              <w:jc w:val="left"/>
              <w:rPr>
                <w:rFonts w:ascii="Times New Roman" w:hAnsi="Times New Roman"/>
                <w:sz w:val="18"/>
                <w:szCs w:val="18"/>
              </w:rPr>
            </w:pPr>
            <w:r w:rsidRPr="003F26ED">
              <w:rPr>
                <w:rFonts w:ascii="Times New Roman" w:hAnsi="Times New Roman"/>
                <w:sz w:val="18"/>
                <w:szCs w:val="18"/>
              </w:rPr>
              <w:t>BMJ Open</w:t>
            </w:r>
          </w:p>
          <w:p w14:paraId="0DC151A1" w14:textId="7ABF7F42" w:rsidR="009904B0" w:rsidRPr="003F26ED" w:rsidRDefault="009904B0" w:rsidP="009904B0">
            <w:pPr>
              <w:spacing w:line="240" w:lineRule="auto"/>
              <w:jc w:val="left"/>
              <w:rPr>
                <w:rFonts w:ascii="Times New Roman" w:hAnsi="Times New Roman"/>
                <w:sz w:val="18"/>
                <w:szCs w:val="18"/>
              </w:rPr>
            </w:pPr>
            <w:r w:rsidRPr="003F26ED">
              <w:rPr>
                <w:rFonts w:ascii="Times New Roman" w:hAnsi="Times New Roman"/>
                <w:sz w:val="18"/>
                <w:szCs w:val="18"/>
              </w:rPr>
              <w:t xml:space="preserve">2023 </w:t>
            </w:r>
            <w:r w:rsidR="00241B6C">
              <w:rPr>
                <w:rFonts w:ascii="Times New Roman" w:hAnsi="Times New Roman"/>
                <w:sz w:val="18"/>
                <w:szCs w:val="18"/>
              </w:rPr>
              <w:t>[65]</w:t>
            </w:r>
          </w:p>
        </w:tc>
        <w:tc>
          <w:tcPr>
            <w:tcW w:w="1440" w:type="dxa"/>
          </w:tcPr>
          <w:p w14:paraId="4C6552CC" w14:textId="0D71BDE1" w:rsidR="009904B0" w:rsidRPr="003F26ED" w:rsidRDefault="009904B0" w:rsidP="009904B0">
            <w:pPr>
              <w:spacing w:line="240" w:lineRule="auto"/>
              <w:jc w:val="left"/>
              <w:rPr>
                <w:rFonts w:ascii="Times New Roman" w:hAnsi="Times New Roman"/>
                <w:sz w:val="18"/>
                <w:szCs w:val="18"/>
              </w:rPr>
            </w:pPr>
            <w:r w:rsidRPr="003F26ED">
              <w:rPr>
                <w:rFonts w:ascii="Times New Roman" w:hAnsi="Times New Roman"/>
                <w:sz w:val="18"/>
                <w:szCs w:val="18"/>
              </w:rPr>
              <w:t>Outpatient emergency medical services</w:t>
            </w:r>
          </w:p>
        </w:tc>
        <w:tc>
          <w:tcPr>
            <w:tcW w:w="1260" w:type="dxa"/>
          </w:tcPr>
          <w:p w14:paraId="6626369F" w14:textId="1FDE69FD" w:rsidR="009904B0" w:rsidRPr="003F26ED" w:rsidRDefault="009904B0" w:rsidP="009904B0">
            <w:pPr>
              <w:spacing w:line="240" w:lineRule="auto"/>
              <w:jc w:val="left"/>
              <w:rPr>
                <w:rFonts w:ascii="Times New Roman" w:hAnsi="Times New Roman"/>
                <w:sz w:val="18"/>
                <w:szCs w:val="18"/>
              </w:rPr>
            </w:pPr>
            <w:r w:rsidRPr="003F26ED">
              <w:rPr>
                <w:rFonts w:ascii="Times New Roman" w:hAnsi="Times New Roman"/>
                <w:sz w:val="18"/>
                <w:szCs w:val="18"/>
              </w:rPr>
              <w:t>Jena, Germany</w:t>
            </w:r>
          </w:p>
        </w:tc>
        <w:tc>
          <w:tcPr>
            <w:tcW w:w="1170" w:type="dxa"/>
          </w:tcPr>
          <w:p w14:paraId="630A5BC9" w14:textId="20CDF9C9" w:rsidR="009904B0" w:rsidRPr="003F26ED" w:rsidRDefault="009904B0" w:rsidP="009904B0">
            <w:pPr>
              <w:spacing w:line="240" w:lineRule="auto"/>
              <w:jc w:val="left"/>
              <w:rPr>
                <w:rFonts w:ascii="Times New Roman" w:hAnsi="Times New Roman"/>
                <w:sz w:val="18"/>
                <w:szCs w:val="18"/>
              </w:rPr>
            </w:pPr>
            <w:r w:rsidRPr="003F26ED">
              <w:rPr>
                <w:rFonts w:ascii="Times New Roman" w:hAnsi="Times New Roman"/>
                <w:sz w:val="18"/>
                <w:szCs w:val="18"/>
              </w:rPr>
              <w:t>POC CRP</w:t>
            </w:r>
          </w:p>
        </w:tc>
        <w:tc>
          <w:tcPr>
            <w:tcW w:w="4045" w:type="dxa"/>
          </w:tcPr>
          <w:p w14:paraId="1F7008AF" w14:textId="7F8DA737" w:rsidR="009904B0" w:rsidRPr="003F26ED" w:rsidRDefault="009904B0" w:rsidP="009904B0">
            <w:pPr>
              <w:spacing w:line="240" w:lineRule="auto"/>
              <w:jc w:val="left"/>
              <w:rPr>
                <w:rFonts w:ascii="Times New Roman" w:hAnsi="Times New Roman"/>
                <w:sz w:val="18"/>
                <w:szCs w:val="18"/>
              </w:rPr>
            </w:pPr>
            <w:r w:rsidRPr="003F26ED">
              <w:rPr>
                <w:rFonts w:ascii="Times New Roman" w:hAnsi="Times New Roman"/>
                <w:sz w:val="18"/>
                <w:szCs w:val="18"/>
              </w:rPr>
              <w:t>Quantitative POC CRP promotes step-down clinical decisions and  strengthens the clinical confidence of physicians in out-of-hours outpatient emergency medical services.</w:t>
            </w:r>
          </w:p>
        </w:tc>
      </w:tr>
      <w:tr w:rsidR="00042CB3" w:rsidRPr="003F26ED" w14:paraId="5A31181D" w14:textId="77777777" w:rsidTr="00042CB3">
        <w:tc>
          <w:tcPr>
            <w:tcW w:w="9350" w:type="dxa"/>
            <w:gridSpan w:val="5"/>
          </w:tcPr>
          <w:p w14:paraId="7AA9ABCF" w14:textId="77777777" w:rsidR="00042CB3" w:rsidRPr="003F26ED" w:rsidRDefault="00042CB3" w:rsidP="00042CB3">
            <w:pPr>
              <w:spacing w:line="240" w:lineRule="auto"/>
              <w:jc w:val="left"/>
              <w:rPr>
                <w:rFonts w:ascii="Times New Roman" w:hAnsi="Times New Roman"/>
                <w:b/>
                <w:bCs/>
                <w:sz w:val="18"/>
                <w:szCs w:val="18"/>
              </w:rPr>
            </w:pPr>
            <w:r w:rsidRPr="003F26ED">
              <w:rPr>
                <w:rFonts w:ascii="Times New Roman" w:hAnsi="Times New Roman"/>
                <w:b/>
                <w:bCs/>
                <w:sz w:val="18"/>
                <w:szCs w:val="18"/>
              </w:rPr>
              <w:t>• Electrolytes, Blood Gases, Ca</w:t>
            </w:r>
            <w:r w:rsidRPr="003F26ED">
              <w:rPr>
                <w:rFonts w:ascii="Times New Roman" w:hAnsi="Times New Roman"/>
                <w:b/>
                <w:bCs/>
                <w:sz w:val="18"/>
                <w:szCs w:val="18"/>
                <w:vertAlign w:val="superscript"/>
              </w:rPr>
              <w:t>++</w:t>
            </w:r>
            <w:r w:rsidRPr="003F26ED">
              <w:rPr>
                <w:rFonts w:ascii="Times New Roman" w:hAnsi="Times New Roman"/>
                <w:b/>
                <w:bCs/>
                <w:sz w:val="18"/>
                <w:szCs w:val="18"/>
              </w:rPr>
              <w:t>, and pH</w:t>
            </w:r>
          </w:p>
        </w:tc>
      </w:tr>
      <w:tr w:rsidR="00042CB3" w:rsidRPr="003F26ED" w14:paraId="74A8BE85" w14:textId="77777777" w:rsidTr="00042CB3">
        <w:tc>
          <w:tcPr>
            <w:tcW w:w="1435" w:type="dxa"/>
          </w:tcPr>
          <w:p w14:paraId="2876EA6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Collopy</w:t>
            </w:r>
          </w:p>
          <w:p w14:paraId="750A368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Air Med J</w:t>
            </w:r>
          </w:p>
          <w:p w14:paraId="23DB7240" w14:textId="7CFFDBA9"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2022 </w:t>
            </w:r>
            <w:r w:rsidR="00241B6C">
              <w:rPr>
                <w:rFonts w:ascii="Times New Roman" w:hAnsi="Times New Roman"/>
                <w:sz w:val="18"/>
                <w:szCs w:val="18"/>
              </w:rPr>
              <w:t>[66]</w:t>
            </w:r>
          </w:p>
        </w:tc>
        <w:tc>
          <w:tcPr>
            <w:tcW w:w="1440" w:type="dxa"/>
          </w:tcPr>
          <w:p w14:paraId="34BACF8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POCT during ground &amp; helicopter transport</w:t>
            </w:r>
          </w:p>
        </w:tc>
        <w:tc>
          <w:tcPr>
            <w:tcW w:w="1260" w:type="dxa"/>
          </w:tcPr>
          <w:p w14:paraId="7DB926F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Wilmington, North Carolina, USA</w:t>
            </w:r>
          </w:p>
        </w:tc>
        <w:tc>
          <w:tcPr>
            <w:tcW w:w="1170" w:type="dxa"/>
          </w:tcPr>
          <w:p w14:paraId="4317D9C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w:t>
            </w:r>
            <w:r w:rsidRPr="003F26ED">
              <w:rPr>
                <w:rFonts w:ascii="Times New Roman" w:hAnsi="Times New Roman"/>
                <w:sz w:val="18"/>
                <w:szCs w:val="18"/>
                <w:vertAlign w:val="subscript"/>
              </w:rPr>
              <w:t>2</w:t>
            </w:r>
            <w:r w:rsidRPr="003F26ED">
              <w:rPr>
                <w:rFonts w:ascii="Times New Roman" w:hAnsi="Times New Roman"/>
                <w:sz w:val="18"/>
                <w:szCs w:val="18"/>
              </w:rPr>
              <w:t>, pCO</w:t>
            </w:r>
            <w:r w:rsidRPr="003F26ED">
              <w:rPr>
                <w:rFonts w:ascii="Times New Roman" w:hAnsi="Times New Roman"/>
                <w:sz w:val="18"/>
                <w:szCs w:val="18"/>
                <w:vertAlign w:val="subscript"/>
              </w:rPr>
              <w:t>2</w:t>
            </w:r>
            <w:r w:rsidRPr="003F26ED">
              <w:rPr>
                <w:rFonts w:ascii="Times New Roman" w:hAnsi="Times New Roman"/>
                <w:sz w:val="18"/>
                <w:szCs w:val="18"/>
              </w:rPr>
              <w:t>, pH, Na</w:t>
            </w:r>
            <w:r w:rsidRPr="003F26ED">
              <w:rPr>
                <w:rFonts w:ascii="Times New Roman" w:hAnsi="Times New Roman"/>
                <w:sz w:val="18"/>
                <w:szCs w:val="18"/>
                <w:vertAlign w:val="superscript"/>
              </w:rPr>
              <w:t>+</w:t>
            </w:r>
            <w:r w:rsidRPr="003F26ED">
              <w:rPr>
                <w:rFonts w:ascii="Times New Roman" w:hAnsi="Times New Roman"/>
                <w:sz w:val="18"/>
                <w:szCs w:val="18"/>
              </w:rPr>
              <w:t>, K</w:t>
            </w:r>
            <w:r w:rsidRPr="003F26ED">
              <w:rPr>
                <w:rFonts w:ascii="Times New Roman" w:hAnsi="Times New Roman"/>
                <w:sz w:val="18"/>
                <w:szCs w:val="18"/>
                <w:vertAlign w:val="superscript"/>
              </w:rPr>
              <w:t>+</w:t>
            </w:r>
            <w:r w:rsidRPr="003F26ED">
              <w:rPr>
                <w:rFonts w:ascii="Times New Roman" w:hAnsi="Times New Roman"/>
                <w:sz w:val="18"/>
                <w:szCs w:val="18"/>
              </w:rPr>
              <w:t>, Ca</w:t>
            </w:r>
            <w:r w:rsidRPr="003F26ED">
              <w:rPr>
                <w:rFonts w:ascii="Times New Roman" w:hAnsi="Times New Roman"/>
                <w:sz w:val="18"/>
                <w:szCs w:val="18"/>
                <w:vertAlign w:val="superscript"/>
              </w:rPr>
              <w:t>++</w:t>
            </w:r>
            <w:r w:rsidRPr="003F26ED">
              <w:rPr>
                <w:rFonts w:ascii="Times New Roman" w:hAnsi="Times New Roman"/>
                <w:sz w:val="18"/>
                <w:szCs w:val="18"/>
              </w:rPr>
              <w:t>, Glu, Cr, Lactate, Hct, [epoc]</w:t>
            </w:r>
          </w:p>
        </w:tc>
        <w:tc>
          <w:tcPr>
            <w:tcW w:w="4045" w:type="dxa"/>
          </w:tcPr>
          <w:p w14:paraId="050A3BE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Care plan alterations occurred in 38.6% of patients undergoing POCT, which most frequently changed care for post-cardiac arrest syndrome (64.7%), sepsis/septic shock (61.8%), diabetic ketoacidosis (54.5%), and pneumonia (49.3%).</w:t>
            </w:r>
          </w:p>
        </w:tc>
      </w:tr>
      <w:tr w:rsidR="00042CB3" w:rsidRPr="003F26ED" w14:paraId="60318AD0" w14:textId="77777777" w:rsidTr="00042CB3">
        <w:tc>
          <w:tcPr>
            <w:tcW w:w="1435" w:type="dxa"/>
          </w:tcPr>
          <w:p w14:paraId="08A1D79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Morton</w:t>
            </w:r>
          </w:p>
          <w:p w14:paraId="43D8D5F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Air Med J</w:t>
            </w:r>
          </w:p>
          <w:p w14:paraId="7095F05F" w14:textId="62983E6B"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2022 </w:t>
            </w:r>
            <w:r w:rsidR="00241B6C">
              <w:rPr>
                <w:rFonts w:ascii="Times New Roman" w:hAnsi="Times New Roman"/>
                <w:sz w:val="18"/>
                <w:szCs w:val="18"/>
              </w:rPr>
              <w:t>[67]</w:t>
            </w:r>
          </w:p>
        </w:tc>
        <w:tc>
          <w:tcPr>
            <w:tcW w:w="1440" w:type="dxa"/>
          </w:tcPr>
          <w:p w14:paraId="433365D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helicopter emergency services</w:t>
            </w:r>
          </w:p>
        </w:tc>
        <w:tc>
          <w:tcPr>
            <w:tcW w:w="1260" w:type="dxa"/>
          </w:tcPr>
          <w:p w14:paraId="25D6062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England</w:t>
            </w:r>
          </w:p>
        </w:tc>
        <w:tc>
          <w:tcPr>
            <w:tcW w:w="1170" w:type="dxa"/>
          </w:tcPr>
          <w:p w14:paraId="1EB5D57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Arterial BG, lines (review)</w:t>
            </w:r>
          </w:p>
        </w:tc>
        <w:tc>
          <w:tcPr>
            <w:tcW w:w="4045" w:type="dxa"/>
          </w:tcPr>
          <w:p w14:paraId="40CBEA6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guidelines state that monitoring should match in-hospital standards. Clinicians</w:t>
            </w:r>
          </w:p>
          <w:p w14:paraId="69EC9B5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believed arterial BG would allow better </w:t>
            </w:r>
          </w:p>
          <w:p w14:paraId="3510CA6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monitoring and more targeted treatment.</w:t>
            </w:r>
          </w:p>
        </w:tc>
      </w:tr>
      <w:tr w:rsidR="00042CB3" w:rsidRPr="003F26ED" w14:paraId="28987A79" w14:textId="77777777" w:rsidTr="00042CB3">
        <w:tc>
          <w:tcPr>
            <w:tcW w:w="1435" w:type="dxa"/>
          </w:tcPr>
          <w:p w14:paraId="67A72CA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Murali</w:t>
            </w:r>
          </w:p>
          <w:p w14:paraId="1368A30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Clin Chem Lab Med</w:t>
            </w:r>
          </w:p>
          <w:p w14:paraId="30437C18" w14:textId="4C321AB1"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2022 </w:t>
            </w:r>
            <w:r w:rsidR="00241B6C">
              <w:rPr>
                <w:rFonts w:ascii="Times New Roman" w:hAnsi="Times New Roman"/>
                <w:sz w:val="18"/>
                <w:szCs w:val="18"/>
              </w:rPr>
              <w:t>[68]</w:t>
            </w:r>
          </w:p>
        </w:tc>
        <w:tc>
          <w:tcPr>
            <w:tcW w:w="1440" w:type="dxa"/>
          </w:tcPr>
          <w:p w14:paraId="27FC66C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Supporting environment-al stability during air transport</w:t>
            </w:r>
          </w:p>
        </w:tc>
        <w:tc>
          <w:tcPr>
            <w:tcW w:w="1260" w:type="dxa"/>
          </w:tcPr>
          <w:p w14:paraId="1900CE9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Pittsburgh, Pennsylvania, USA</w:t>
            </w:r>
          </w:p>
        </w:tc>
        <w:tc>
          <w:tcPr>
            <w:tcW w:w="1170" w:type="dxa"/>
          </w:tcPr>
          <w:p w14:paraId="4F035EC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BG</w:t>
            </w:r>
          </w:p>
        </w:tc>
        <w:tc>
          <w:tcPr>
            <w:tcW w:w="4045" w:type="dxa"/>
          </w:tcPr>
          <w:p w14:paraId="4F591C1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Temperature excursions are reduced by insulated transport bags with heating and cooling packs. POC blood gas results during air transport improved ventilator management, increased recognition of ventilation-perfusion mismatch, and improved patient tolerance of ventilation.</w:t>
            </w:r>
          </w:p>
        </w:tc>
      </w:tr>
      <w:tr w:rsidR="00042CB3" w:rsidRPr="003F26ED" w14:paraId="24F3BCFD" w14:textId="77777777" w:rsidTr="00042CB3">
        <w:tc>
          <w:tcPr>
            <w:tcW w:w="1435" w:type="dxa"/>
          </w:tcPr>
          <w:p w14:paraId="7C9F4A0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Cini</w:t>
            </w:r>
          </w:p>
          <w:p w14:paraId="05E8A34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Recenti Prog Med</w:t>
            </w:r>
          </w:p>
          <w:p w14:paraId="48CB8F83" w14:textId="2BEA5F98"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2021 </w:t>
            </w:r>
            <w:r w:rsidR="00241B6C">
              <w:rPr>
                <w:rFonts w:ascii="Times New Roman" w:hAnsi="Times New Roman"/>
                <w:sz w:val="18"/>
                <w:szCs w:val="18"/>
              </w:rPr>
              <w:t>[69]</w:t>
            </w:r>
          </w:p>
        </w:tc>
        <w:tc>
          <w:tcPr>
            <w:tcW w:w="1440" w:type="dxa"/>
          </w:tcPr>
          <w:p w14:paraId="444D767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Home evaluation of COVID-19 patients</w:t>
            </w:r>
          </w:p>
        </w:tc>
        <w:tc>
          <w:tcPr>
            <w:tcW w:w="1260" w:type="dxa"/>
          </w:tcPr>
          <w:p w14:paraId="6AC5D5C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Toscana Sud Est., Italy</w:t>
            </w:r>
          </w:p>
        </w:tc>
        <w:tc>
          <w:tcPr>
            <w:tcW w:w="1170" w:type="dxa"/>
          </w:tcPr>
          <w:p w14:paraId="42A7B98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Potable blood gas analyzer</w:t>
            </w:r>
          </w:p>
        </w:tc>
        <w:tc>
          <w:tcPr>
            <w:tcW w:w="4045" w:type="dxa"/>
          </w:tcPr>
          <w:p w14:paraId="3785D97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POCT blood gas analysis made it possible to evaluate and treat at home 52% of COVID-19 patients and admit others directly to the most appropriate ward.</w:t>
            </w:r>
          </w:p>
        </w:tc>
      </w:tr>
      <w:tr w:rsidR="00042CB3" w:rsidRPr="003F26ED" w14:paraId="3755F6FD" w14:textId="77777777" w:rsidTr="00042CB3">
        <w:tc>
          <w:tcPr>
            <w:tcW w:w="1435" w:type="dxa"/>
          </w:tcPr>
          <w:p w14:paraId="35A5EFD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Gruebl</w:t>
            </w:r>
          </w:p>
          <w:p w14:paraId="39EE818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SJTREM</w:t>
            </w:r>
          </w:p>
          <w:p w14:paraId="0DEB7534" w14:textId="19637765"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2021 </w:t>
            </w:r>
            <w:r w:rsidR="00241B6C">
              <w:rPr>
                <w:rFonts w:ascii="Times New Roman" w:hAnsi="Times New Roman"/>
                <w:sz w:val="18"/>
                <w:szCs w:val="18"/>
              </w:rPr>
              <w:t>[70]</w:t>
            </w:r>
          </w:p>
        </w:tc>
        <w:tc>
          <w:tcPr>
            <w:tcW w:w="1440" w:type="dxa"/>
          </w:tcPr>
          <w:p w14:paraId="1CFC13F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Prehospital Dx and Rx for out-of-hospital cardiac arrest </w:t>
            </w:r>
          </w:p>
        </w:tc>
        <w:tc>
          <w:tcPr>
            <w:tcW w:w="1260" w:type="dxa"/>
          </w:tcPr>
          <w:p w14:paraId="0D97074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Essen, Netherlands</w:t>
            </w:r>
          </w:p>
        </w:tc>
        <w:tc>
          <w:tcPr>
            <w:tcW w:w="1170" w:type="dxa"/>
          </w:tcPr>
          <w:p w14:paraId="75FE339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w:t>
            </w:r>
            <w:r w:rsidRPr="003F26ED">
              <w:rPr>
                <w:rFonts w:ascii="Times New Roman" w:hAnsi="Times New Roman"/>
                <w:sz w:val="18"/>
                <w:szCs w:val="18"/>
                <w:vertAlign w:val="subscript"/>
              </w:rPr>
              <w:t>2</w:t>
            </w:r>
            <w:r w:rsidRPr="003F26ED">
              <w:rPr>
                <w:rFonts w:ascii="Times New Roman" w:hAnsi="Times New Roman"/>
                <w:sz w:val="18"/>
                <w:szCs w:val="18"/>
              </w:rPr>
              <w:t>, pCO</w:t>
            </w:r>
            <w:r w:rsidRPr="003F26ED">
              <w:rPr>
                <w:rFonts w:ascii="Times New Roman" w:hAnsi="Times New Roman"/>
                <w:sz w:val="18"/>
                <w:szCs w:val="18"/>
                <w:vertAlign w:val="subscript"/>
              </w:rPr>
              <w:t>2</w:t>
            </w:r>
            <w:r w:rsidRPr="003F26ED">
              <w:rPr>
                <w:rFonts w:ascii="Times New Roman" w:hAnsi="Times New Roman"/>
                <w:sz w:val="18"/>
                <w:szCs w:val="18"/>
              </w:rPr>
              <w:t>, pH, Na</w:t>
            </w:r>
            <w:r w:rsidRPr="003F26ED">
              <w:rPr>
                <w:rFonts w:ascii="Times New Roman" w:hAnsi="Times New Roman"/>
                <w:sz w:val="18"/>
                <w:szCs w:val="18"/>
                <w:vertAlign w:val="superscript"/>
              </w:rPr>
              <w:t>+</w:t>
            </w:r>
            <w:r w:rsidRPr="003F26ED">
              <w:rPr>
                <w:rFonts w:ascii="Times New Roman" w:hAnsi="Times New Roman"/>
                <w:sz w:val="18"/>
                <w:szCs w:val="18"/>
              </w:rPr>
              <w:t>, K</w:t>
            </w:r>
            <w:r w:rsidRPr="003F26ED">
              <w:rPr>
                <w:rFonts w:ascii="Times New Roman" w:hAnsi="Times New Roman"/>
                <w:sz w:val="18"/>
                <w:szCs w:val="18"/>
                <w:vertAlign w:val="superscript"/>
              </w:rPr>
              <w:t>+</w:t>
            </w:r>
            <w:r w:rsidRPr="003F26ED">
              <w:rPr>
                <w:rFonts w:ascii="Times New Roman" w:hAnsi="Times New Roman"/>
                <w:sz w:val="18"/>
                <w:szCs w:val="18"/>
              </w:rPr>
              <w:t>, Ca</w:t>
            </w:r>
            <w:r w:rsidRPr="003F26ED">
              <w:rPr>
                <w:rFonts w:ascii="Times New Roman" w:hAnsi="Times New Roman"/>
                <w:sz w:val="18"/>
                <w:szCs w:val="18"/>
                <w:vertAlign w:val="superscript"/>
              </w:rPr>
              <w:t>++</w:t>
            </w:r>
            <w:r w:rsidRPr="003F26ED">
              <w:rPr>
                <w:rFonts w:ascii="Times New Roman" w:hAnsi="Times New Roman"/>
                <w:sz w:val="18"/>
                <w:szCs w:val="18"/>
              </w:rPr>
              <w:t>, glucose, lactate, Hct, Cr [epoc]</w:t>
            </w:r>
          </w:p>
        </w:tc>
        <w:tc>
          <w:tcPr>
            <w:tcW w:w="4045" w:type="dxa"/>
          </w:tcPr>
          <w:p w14:paraId="340ED03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POCT allows rapid detection of pathological acid-base imbalances and potassium and specific interventions that improve the probability of survival. 21% of patients survived to hospital discharge (with POCT, 30%, versus no POCT, 16%, p = 0.01).</w:t>
            </w:r>
          </w:p>
        </w:tc>
      </w:tr>
      <w:tr w:rsidR="00042CB3" w:rsidRPr="003F26ED" w14:paraId="2DCEF74F" w14:textId="77777777" w:rsidTr="00042CB3">
        <w:tc>
          <w:tcPr>
            <w:tcW w:w="1435" w:type="dxa"/>
          </w:tcPr>
          <w:p w14:paraId="77F1262B" w14:textId="77777777" w:rsidR="00042CB3" w:rsidRPr="003F26ED" w:rsidRDefault="00042CB3" w:rsidP="00042CB3">
            <w:pPr>
              <w:spacing w:line="240" w:lineRule="auto"/>
              <w:jc w:val="left"/>
              <w:rPr>
                <w:rFonts w:ascii="Times New Roman" w:hAnsi="Times New Roman"/>
                <w:b/>
                <w:bCs/>
                <w:sz w:val="18"/>
                <w:szCs w:val="18"/>
                <w:vertAlign w:val="superscript"/>
              </w:rPr>
            </w:pPr>
            <w:r w:rsidRPr="003F26ED">
              <w:rPr>
                <w:rFonts w:ascii="Times New Roman" w:hAnsi="Times New Roman"/>
                <w:sz w:val="18"/>
                <w:szCs w:val="18"/>
              </w:rPr>
              <w:lastRenderedPageBreak/>
              <w:t>Nawrocki</w:t>
            </w:r>
          </w:p>
          <w:p w14:paraId="79522CC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Front Physiol</w:t>
            </w:r>
          </w:p>
          <w:p w14:paraId="608D343F" w14:textId="18FFDBB5"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2021 </w:t>
            </w:r>
            <w:r w:rsidR="00241B6C">
              <w:rPr>
                <w:rFonts w:ascii="Times New Roman" w:hAnsi="Times New Roman"/>
                <w:sz w:val="18"/>
                <w:szCs w:val="18"/>
              </w:rPr>
              <w:t>[71]</w:t>
            </w:r>
          </w:p>
        </w:tc>
        <w:tc>
          <w:tcPr>
            <w:tcW w:w="1440" w:type="dxa"/>
          </w:tcPr>
          <w:p w14:paraId="241A404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High altitude hospital (760 m) and clinic (3,100 m)</w:t>
            </w:r>
          </w:p>
        </w:tc>
        <w:tc>
          <w:tcPr>
            <w:tcW w:w="1260" w:type="dxa"/>
          </w:tcPr>
          <w:p w14:paraId="1E2008F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Zurich, Switzerland</w:t>
            </w:r>
          </w:p>
        </w:tc>
        <w:tc>
          <w:tcPr>
            <w:tcW w:w="1170" w:type="dxa"/>
          </w:tcPr>
          <w:p w14:paraId="4E05595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Portable blood gas analyzer (epoc)</w:t>
            </w:r>
          </w:p>
        </w:tc>
        <w:tc>
          <w:tcPr>
            <w:tcW w:w="4045" w:type="dxa"/>
          </w:tcPr>
          <w:p w14:paraId="3E40C4A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Because of portability and ease of handling, portable blood gas analyzers are valuable diagnostic tools for use in everyday </w:t>
            </w:r>
          </w:p>
          <w:p w14:paraId="55C626E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practice as well as under challenging field conditions at high altitudes.</w:t>
            </w:r>
          </w:p>
        </w:tc>
      </w:tr>
      <w:tr w:rsidR="00042CB3" w:rsidRPr="003F26ED" w14:paraId="4B9002EB" w14:textId="77777777" w:rsidTr="00042CB3">
        <w:tc>
          <w:tcPr>
            <w:tcW w:w="1435" w:type="dxa"/>
          </w:tcPr>
          <w:p w14:paraId="77F25C8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McPherson</w:t>
            </w:r>
          </w:p>
          <w:p w14:paraId="27D578A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J Paramed Pract</w:t>
            </w:r>
          </w:p>
          <w:p w14:paraId="4383243E" w14:textId="487631BC"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2019 </w:t>
            </w:r>
            <w:r w:rsidR="00241B6C">
              <w:rPr>
                <w:rFonts w:ascii="Times New Roman" w:hAnsi="Times New Roman"/>
                <w:sz w:val="18"/>
                <w:szCs w:val="18"/>
              </w:rPr>
              <w:t>[72]</w:t>
            </w:r>
          </w:p>
        </w:tc>
        <w:tc>
          <w:tcPr>
            <w:tcW w:w="1440" w:type="dxa"/>
          </w:tcPr>
          <w:p w14:paraId="19123C7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patient disposition</w:t>
            </w:r>
          </w:p>
        </w:tc>
        <w:tc>
          <w:tcPr>
            <w:tcW w:w="1260" w:type="dxa"/>
          </w:tcPr>
          <w:p w14:paraId="6BA7325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So. Central Ambulance, England</w:t>
            </w:r>
          </w:p>
        </w:tc>
        <w:tc>
          <w:tcPr>
            <w:tcW w:w="1170" w:type="dxa"/>
          </w:tcPr>
          <w:p w14:paraId="084336E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VBG, urea, lactate, Hct, Hgb, electrolytes</w:t>
            </w:r>
          </w:p>
        </w:tc>
        <w:tc>
          <w:tcPr>
            <w:tcW w:w="4045" w:type="dxa"/>
          </w:tcPr>
          <w:p w14:paraId="159D3892" w14:textId="77777777"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sz w:val="18"/>
                <w:szCs w:val="18"/>
              </w:rPr>
              <w:t>POCT improved clinician confidence in decision making and patient disposition validated by better discharge on scene and recontact rates. POCT knowledge increased.</w:t>
            </w:r>
          </w:p>
        </w:tc>
      </w:tr>
      <w:tr w:rsidR="00042CB3" w:rsidRPr="003F26ED" w14:paraId="0D8248FE" w14:textId="77777777" w:rsidTr="00042CB3">
        <w:tc>
          <w:tcPr>
            <w:tcW w:w="1435" w:type="dxa"/>
          </w:tcPr>
          <w:p w14:paraId="6ECCCEF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Shin</w:t>
            </w:r>
          </w:p>
          <w:p w14:paraId="422C61D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Crit Care</w:t>
            </w:r>
          </w:p>
          <w:p w14:paraId="3BB1A6CE" w14:textId="43F90818"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2017 </w:t>
            </w:r>
            <w:r w:rsidR="00241B6C">
              <w:rPr>
                <w:rFonts w:ascii="Times New Roman" w:hAnsi="Times New Roman"/>
                <w:sz w:val="18"/>
                <w:szCs w:val="18"/>
              </w:rPr>
              <w:t>[73]</w:t>
            </w:r>
          </w:p>
        </w:tc>
        <w:tc>
          <w:tcPr>
            <w:tcW w:w="1440" w:type="dxa"/>
          </w:tcPr>
          <w:p w14:paraId="29590DC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Out of hospital cardiac arrest with ER Rx</w:t>
            </w:r>
          </w:p>
        </w:tc>
        <w:tc>
          <w:tcPr>
            <w:tcW w:w="1260" w:type="dxa"/>
          </w:tcPr>
          <w:p w14:paraId="5873003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Seoul and multicenter sites, South Korea</w:t>
            </w:r>
          </w:p>
        </w:tc>
        <w:tc>
          <w:tcPr>
            <w:tcW w:w="1170" w:type="dxa"/>
          </w:tcPr>
          <w:p w14:paraId="4EDCCF5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pH, K</w:t>
            </w:r>
            <w:r w:rsidRPr="003F26ED">
              <w:rPr>
                <w:rFonts w:ascii="Times New Roman" w:hAnsi="Times New Roman"/>
                <w:sz w:val="18"/>
                <w:szCs w:val="18"/>
                <w:vertAlign w:val="superscript"/>
              </w:rPr>
              <w:t>+</w:t>
            </w:r>
            <w:r w:rsidRPr="003F26ED">
              <w:rPr>
                <w:rFonts w:ascii="Times New Roman" w:hAnsi="Times New Roman"/>
                <w:sz w:val="18"/>
                <w:szCs w:val="18"/>
              </w:rPr>
              <w:t>, and other ER POC tests</w:t>
            </w:r>
          </w:p>
        </w:tc>
        <w:tc>
          <w:tcPr>
            <w:tcW w:w="4045" w:type="dxa"/>
          </w:tcPr>
          <w:p w14:paraId="080A483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pH and K</w:t>
            </w:r>
            <w:r w:rsidRPr="003F26ED">
              <w:rPr>
                <w:rFonts w:ascii="Times New Roman" w:hAnsi="Times New Roman"/>
                <w:sz w:val="18"/>
                <w:szCs w:val="18"/>
                <w:vertAlign w:val="superscript"/>
              </w:rPr>
              <w:t>+</w:t>
            </w:r>
            <w:r w:rsidRPr="003F26ED">
              <w:rPr>
                <w:rFonts w:ascii="Times New Roman" w:hAnsi="Times New Roman"/>
                <w:sz w:val="18"/>
                <w:szCs w:val="18"/>
              </w:rPr>
              <w:t xml:space="preserve"> levels were independent factors associated with survival to hospital discharge, and pH level was an independent factor related to neurological recovery.</w:t>
            </w:r>
          </w:p>
        </w:tc>
      </w:tr>
      <w:tr w:rsidR="00042CB3" w:rsidRPr="003F26ED" w14:paraId="646BDE02" w14:textId="77777777" w:rsidTr="00042CB3">
        <w:tc>
          <w:tcPr>
            <w:tcW w:w="1435" w:type="dxa"/>
          </w:tcPr>
          <w:p w14:paraId="5A37034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Mikkelsen</w:t>
            </w:r>
          </w:p>
          <w:p w14:paraId="0B858DD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SJTREM</w:t>
            </w:r>
          </w:p>
          <w:p w14:paraId="1D9E484B" w14:textId="3474B1DF"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2015 </w:t>
            </w:r>
            <w:r w:rsidR="00241B6C">
              <w:rPr>
                <w:rFonts w:ascii="Times New Roman" w:hAnsi="Times New Roman"/>
                <w:sz w:val="18"/>
                <w:szCs w:val="18"/>
              </w:rPr>
              <w:t>[74]</w:t>
            </w:r>
          </w:p>
        </w:tc>
        <w:tc>
          <w:tcPr>
            <w:tcW w:w="1440" w:type="dxa"/>
          </w:tcPr>
          <w:p w14:paraId="5C48360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blood gas, pH, and metabolite analysis in a mobile emergency care unit</w:t>
            </w:r>
          </w:p>
        </w:tc>
        <w:tc>
          <w:tcPr>
            <w:tcW w:w="1260" w:type="dxa"/>
          </w:tcPr>
          <w:p w14:paraId="594D305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Odense, Denmark</w:t>
            </w:r>
          </w:p>
        </w:tc>
        <w:tc>
          <w:tcPr>
            <w:tcW w:w="1170" w:type="dxa"/>
          </w:tcPr>
          <w:p w14:paraId="0143466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WBA (Radiometer ABL-90)</w:t>
            </w:r>
          </w:p>
        </w:tc>
        <w:tc>
          <w:tcPr>
            <w:tcW w:w="4045" w:type="dxa"/>
          </w:tcPr>
          <w:p w14:paraId="0CEFBE80" w14:textId="77777777"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sz w:val="18"/>
                <w:szCs w:val="18"/>
              </w:rPr>
              <w:t>Only minute changes were needed to use the ABL-90, which helped direct Rx of COPD; release of patients with suspected CO poisoning; speed Dx, blood cultures, and antibiotic Rx of septic shock and septicemia; obviate cyanide toxicity/ anaerobic metabolism from fire exposure through determining lactate levels; and adjust respiratory parameters for intubated patients with elevated intracranial pressure, for which BG pCO</w:t>
            </w:r>
            <w:r w:rsidRPr="003F26ED">
              <w:rPr>
                <w:rFonts w:ascii="Times New Roman" w:hAnsi="Times New Roman"/>
                <w:sz w:val="18"/>
                <w:szCs w:val="18"/>
                <w:vertAlign w:val="subscript"/>
              </w:rPr>
              <w:t>2</w:t>
            </w:r>
            <w:r w:rsidRPr="003F26ED">
              <w:rPr>
                <w:rFonts w:ascii="Times New Roman" w:hAnsi="Times New Roman"/>
                <w:sz w:val="18"/>
                <w:szCs w:val="18"/>
              </w:rPr>
              <w:t xml:space="preserve"> fine tuning excelled management using end-tidal CO</w:t>
            </w:r>
            <w:r w:rsidRPr="003F26ED">
              <w:rPr>
                <w:rFonts w:ascii="Times New Roman" w:hAnsi="Times New Roman"/>
                <w:sz w:val="18"/>
                <w:szCs w:val="18"/>
                <w:vertAlign w:val="subscript"/>
              </w:rPr>
              <w:t>2</w:t>
            </w:r>
            <w:r w:rsidRPr="003F26ED">
              <w:rPr>
                <w:rFonts w:ascii="Times New Roman" w:hAnsi="Times New Roman"/>
                <w:sz w:val="18"/>
                <w:szCs w:val="18"/>
              </w:rPr>
              <w:t>.</w:t>
            </w:r>
          </w:p>
        </w:tc>
      </w:tr>
      <w:tr w:rsidR="00042CB3" w:rsidRPr="003F26ED" w14:paraId="5998CF9C" w14:textId="77777777" w:rsidTr="00042CB3">
        <w:tc>
          <w:tcPr>
            <w:tcW w:w="1435" w:type="dxa"/>
          </w:tcPr>
          <w:p w14:paraId="1930F03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Di Serio</w:t>
            </w:r>
          </w:p>
          <w:p w14:paraId="057B7AE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Clin Chem Lab Med</w:t>
            </w:r>
          </w:p>
          <w:p w14:paraId="6D2656AA" w14:textId="5956D31A"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2010 </w:t>
            </w:r>
            <w:r w:rsidR="00241B6C">
              <w:rPr>
                <w:rFonts w:ascii="Times New Roman" w:hAnsi="Times New Roman"/>
                <w:sz w:val="18"/>
                <w:szCs w:val="18"/>
              </w:rPr>
              <w:t>[75]</w:t>
            </w:r>
          </w:p>
        </w:tc>
        <w:tc>
          <w:tcPr>
            <w:tcW w:w="1440" w:type="dxa"/>
          </w:tcPr>
          <w:p w14:paraId="72D7AFC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Performing SWOT analysis for air ambulances</w:t>
            </w:r>
          </w:p>
        </w:tc>
        <w:tc>
          <w:tcPr>
            <w:tcW w:w="1260" w:type="dxa"/>
          </w:tcPr>
          <w:p w14:paraId="577FD84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Bari, Italy</w:t>
            </w:r>
          </w:p>
        </w:tc>
        <w:tc>
          <w:tcPr>
            <w:tcW w:w="1170" w:type="dxa"/>
          </w:tcPr>
          <w:p w14:paraId="5E9944C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Arterial BG, glucose, Na</w:t>
            </w:r>
            <w:r w:rsidRPr="003F26ED">
              <w:rPr>
                <w:rFonts w:ascii="Times New Roman" w:hAnsi="Times New Roman"/>
                <w:sz w:val="18"/>
                <w:szCs w:val="18"/>
                <w:vertAlign w:val="superscript"/>
              </w:rPr>
              <w:t>+</w:t>
            </w:r>
            <w:r w:rsidRPr="003F26ED">
              <w:rPr>
                <w:rFonts w:ascii="Times New Roman" w:hAnsi="Times New Roman"/>
                <w:sz w:val="18"/>
                <w:szCs w:val="18"/>
              </w:rPr>
              <w:t>, K</w:t>
            </w:r>
            <w:r w:rsidRPr="003F26ED">
              <w:rPr>
                <w:rFonts w:ascii="Times New Roman" w:hAnsi="Times New Roman"/>
                <w:sz w:val="18"/>
                <w:szCs w:val="18"/>
                <w:vertAlign w:val="superscript"/>
              </w:rPr>
              <w:t>+</w:t>
            </w:r>
            <w:r w:rsidRPr="003F26ED">
              <w:rPr>
                <w:rFonts w:ascii="Times New Roman" w:hAnsi="Times New Roman"/>
                <w:sz w:val="18"/>
                <w:szCs w:val="18"/>
              </w:rPr>
              <w:t>, Ca</w:t>
            </w:r>
            <w:r w:rsidRPr="003F26ED">
              <w:rPr>
                <w:rFonts w:ascii="Times New Roman" w:hAnsi="Times New Roman"/>
                <w:sz w:val="18"/>
                <w:szCs w:val="18"/>
                <w:vertAlign w:val="superscript"/>
              </w:rPr>
              <w:t>++</w:t>
            </w:r>
            <w:r w:rsidRPr="003F26ED">
              <w:rPr>
                <w:rFonts w:ascii="Times New Roman" w:hAnsi="Times New Roman"/>
                <w:sz w:val="18"/>
                <w:szCs w:val="18"/>
              </w:rPr>
              <w:t>, Hct/ Hgb</w:t>
            </w:r>
          </w:p>
        </w:tc>
        <w:tc>
          <w:tcPr>
            <w:tcW w:w="4045" w:type="dxa"/>
          </w:tcPr>
          <w:p w14:paraId="38EF90F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Clinical study results suggest that critical tests performed during the transport of critically ill patients improve patient care. Real-time results during transport must be considered an integral part of the patient care process. Excellent channels of communication are needed between the ICUs, EMS, and laboratories.</w:t>
            </w:r>
          </w:p>
        </w:tc>
      </w:tr>
      <w:tr w:rsidR="00042CB3" w:rsidRPr="003F26ED" w14:paraId="7D19C75D" w14:textId="77777777" w:rsidTr="00042CB3">
        <w:tc>
          <w:tcPr>
            <w:tcW w:w="1435" w:type="dxa"/>
          </w:tcPr>
          <w:p w14:paraId="56616DE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Jousi</w:t>
            </w:r>
          </w:p>
          <w:p w14:paraId="72C16B9D" w14:textId="790DC76F"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World J Emer Surg 2010 </w:t>
            </w:r>
            <w:r w:rsidR="00241B6C">
              <w:rPr>
                <w:rFonts w:ascii="Times New Roman" w:hAnsi="Times New Roman"/>
                <w:sz w:val="18"/>
                <w:szCs w:val="18"/>
              </w:rPr>
              <w:t>[76]</w:t>
            </w:r>
          </w:p>
        </w:tc>
        <w:tc>
          <w:tcPr>
            <w:tcW w:w="1440" w:type="dxa"/>
          </w:tcPr>
          <w:p w14:paraId="014A513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Trauma resuscitation with POCT at accident site</w:t>
            </w:r>
          </w:p>
        </w:tc>
        <w:tc>
          <w:tcPr>
            <w:tcW w:w="1260" w:type="dxa"/>
          </w:tcPr>
          <w:p w14:paraId="1B19485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Helsinki, Finland</w:t>
            </w:r>
          </w:p>
        </w:tc>
        <w:tc>
          <w:tcPr>
            <w:tcW w:w="1170" w:type="dxa"/>
          </w:tcPr>
          <w:p w14:paraId="33F8603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BG</w:t>
            </w:r>
          </w:p>
        </w:tc>
        <w:tc>
          <w:tcPr>
            <w:tcW w:w="4045" w:type="dxa"/>
          </w:tcPr>
          <w:p w14:paraId="5A90B918" w14:textId="77777777" w:rsidR="00042CB3" w:rsidRPr="003F26ED" w:rsidRDefault="00042CB3" w:rsidP="00042CB3">
            <w:pPr>
              <w:pStyle w:val="NormalWeb"/>
              <w:spacing w:line="240" w:lineRule="auto"/>
              <w:jc w:val="left"/>
              <w:rPr>
                <w:rFonts w:ascii="Times New Roman" w:hAnsi="Times New Roman"/>
                <w:color w:val="211E1E"/>
                <w:sz w:val="18"/>
                <w:szCs w:val="18"/>
              </w:rPr>
            </w:pPr>
            <w:r w:rsidRPr="003F26ED">
              <w:rPr>
                <w:rFonts w:ascii="Times New Roman" w:hAnsi="Times New Roman"/>
                <w:color w:val="211E1E"/>
                <w:sz w:val="18"/>
                <w:szCs w:val="18"/>
              </w:rPr>
              <w:t xml:space="preserve">A portable BG analyzer was useful in prehospital monitoring for trauma resuscitation and led to significantly greater awareness of base excess and pH values. </w:t>
            </w:r>
          </w:p>
        </w:tc>
      </w:tr>
      <w:tr w:rsidR="00042CB3" w:rsidRPr="003F26ED" w14:paraId="52C80413" w14:textId="77777777" w:rsidTr="00042CB3">
        <w:tc>
          <w:tcPr>
            <w:tcW w:w="1435" w:type="dxa"/>
          </w:tcPr>
          <w:p w14:paraId="610223A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Vos</w:t>
            </w:r>
          </w:p>
          <w:p w14:paraId="2A1FD5C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World J Emerg Surg</w:t>
            </w:r>
          </w:p>
          <w:p w14:paraId="225A0286" w14:textId="56D1ECB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2010 </w:t>
            </w:r>
            <w:r w:rsidR="00241B6C">
              <w:rPr>
                <w:rFonts w:ascii="Times New Roman" w:hAnsi="Times New Roman"/>
                <w:sz w:val="18"/>
                <w:szCs w:val="18"/>
              </w:rPr>
              <w:t>[77]</w:t>
            </w:r>
          </w:p>
        </w:tc>
        <w:tc>
          <w:tcPr>
            <w:tcW w:w="1440" w:type="dxa"/>
          </w:tcPr>
          <w:p w14:paraId="721F9B7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POCT during interhospital transport of critically ill pediatric patients</w:t>
            </w:r>
          </w:p>
        </w:tc>
        <w:tc>
          <w:tcPr>
            <w:tcW w:w="1260" w:type="dxa"/>
          </w:tcPr>
          <w:p w14:paraId="419C9E7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Maastricht, Netherlands</w:t>
            </w:r>
          </w:p>
        </w:tc>
        <w:tc>
          <w:tcPr>
            <w:tcW w:w="1170" w:type="dxa"/>
          </w:tcPr>
          <w:p w14:paraId="3079155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BG, K</w:t>
            </w:r>
            <w:r w:rsidRPr="003F26ED">
              <w:rPr>
                <w:rFonts w:ascii="Times New Roman" w:hAnsi="Times New Roman"/>
                <w:sz w:val="18"/>
                <w:szCs w:val="18"/>
                <w:vertAlign w:val="superscript"/>
              </w:rPr>
              <w:t>+</w:t>
            </w:r>
            <w:r w:rsidRPr="003F26ED">
              <w:rPr>
                <w:rFonts w:ascii="Times New Roman" w:hAnsi="Times New Roman"/>
                <w:sz w:val="18"/>
                <w:szCs w:val="18"/>
              </w:rPr>
              <w:t>, Hct, others</w:t>
            </w:r>
          </w:p>
        </w:tc>
        <w:tc>
          <w:tcPr>
            <w:tcW w:w="4045" w:type="dxa"/>
          </w:tcPr>
          <w:p w14:paraId="3033EAEB" w14:textId="77777777" w:rsidR="00042CB3" w:rsidRPr="003F26ED" w:rsidRDefault="00042CB3" w:rsidP="00042CB3">
            <w:pPr>
              <w:pStyle w:val="NormalWeb"/>
              <w:spacing w:line="240" w:lineRule="auto"/>
              <w:jc w:val="left"/>
              <w:rPr>
                <w:rFonts w:ascii="Times New Roman" w:hAnsi="Times New Roman"/>
                <w:color w:val="211E1E"/>
                <w:sz w:val="18"/>
                <w:szCs w:val="18"/>
              </w:rPr>
            </w:pPr>
            <w:r w:rsidRPr="003F26ED">
              <w:rPr>
                <w:rFonts w:ascii="Times New Roman" w:hAnsi="Times New Roman"/>
                <w:color w:val="211E1E"/>
                <w:sz w:val="18"/>
                <w:szCs w:val="18"/>
              </w:rPr>
              <w:t>POCT led to 42.9% of therapeutic interventions for life threatening results that could not have been discovered otherwise. We recommend POC BG, electrolytes, glucose, and hematocrit during interhospital transports, especially for mechanical ventilator adjustment.</w:t>
            </w:r>
          </w:p>
        </w:tc>
      </w:tr>
      <w:tr w:rsidR="00042CB3" w:rsidRPr="003F26ED" w14:paraId="59CEC4F6" w14:textId="77777777" w:rsidTr="00042CB3">
        <w:tc>
          <w:tcPr>
            <w:tcW w:w="1435" w:type="dxa"/>
          </w:tcPr>
          <w:p w14:paraId="5E512A6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Gruszecki</w:t>
            </w:r>
          </w:p>
          <w:p w14:paraId="6AD4F25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Clin Chem</w:t>
            </w:r>
          </w:p>
          <w:p w14:paraId="066282B3" w14:textId="35C1D8D3"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2003 </w:t>
            </w:r>
            <w:r w:rsidR="00241B6C">
              <w:rPr>
                <w:rFonts w:ascii="Times New Roman" w:hAnsi="Times New Roman"/>
                <w:sz w:val="18"/>
                <w:szCs w:val="18"/>
              </w:rPr>
              <w:t>[78]</w:t>
            </w:r>
          </w:p>
        </w:tc>
        <w:tc>
          <w:tcPr>
            <w:tcW w:w="1440" w:type="dxa"/>
          </w:tcPr>
          <w:p w14:paraId="0C3CC76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Critical care transport in ambulances and twin-engine jets</w:t>
            </w:r>
          </w:p>
        </w:tc>
        <w:tc>
          <w:tcPr>
            <w:tcW w:w="1260" w:type="dxa"/>
          </w:tcPr>
          <w:p w14:paraId="12BA5AA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Birmingham Alabama, USA</w:t>
            </w:r>
          </w:p>
        </w:tc>
        <w:tc>
          <w:tcPr>
            <w:tcW w:w="1170" w:type="dxa"/>
          </w:tcPr>
          <w:p w14:paraId="1233FD1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w:t>
            </w:r>
            <w:r w:rsidRPr="003F26ED">
              <w:rPr>
                <w:rFonts w:ascii="Times New Roman" w:hAnsi="Times New Roman"/>
                <w:sz w:val="18"/>
                <w:szCs w:val="18"/>
                <w:vertAlign w:val="subscript"/>
              </w:rPr>
              <w:t>2</w:t>
            </w:r>
            <w:r w:rsidRPr="003F26ED">
              <w:rPr>
                <w:rFonts w:ascii="Times New Roman" w:hAnsi="Times New Roman"/>
                <w:sz w:val="18"/>
                <w:szCs w:val="18"/>
              </w:rPr>
              <w:t>, pCO</w:t>
            </w:r>
            <w:r w:rsidRPr="003F26ED">
              <w:rPr>
                <w:rFonts w:ascii="Times New Roman" w:hAnsi="Times New Roman"/>
                <w:sz w:val="18"/>
                <w:szCs w:val="18"/>
                <w:vertAlign w:val="subscript"/>
              </w:rPr>
              <w:t>2</w:t>
            </w:r>
            <w:r w:rsidRPr="003F26ED">
              <w:rPr>
                <w:rFonts w:ascii="Times New Roman" w:hAnsi="Times New Roman"/>
                <w:sz w:val="18"/>
                <w:szCs w:val="18"/>
              </w:rPr>
              <w:t>, pH, TCO</w:t>
            </w:r>
            <w:r w:rsidRPr="003F26ED">
              <w:rPr>
                <w:rFonts w:ascii="Times New Roman" w:hAnsi="Times New Roman"/>
                <w:sz w:val="18"/>
                <w:szCs w:val="18"/>
                <w:vertAlign w:val="subscript"/>
              </w:rPr>
              <w:t>2</w:t>
            </w:r>
            <w:r w:rsidRPr="003F26ED">
              <w:rPr>
                <w:rFonts w:ascii="Times New Roman" w:hAnsi="Times New Roman"/>
                <w:sz w:val="18"/>
                <w:szCs w:val="18"/>
              </w:rPr>
              <w:t>, O</w:t>
            </w:r>
            <w:r w:rsidRPr="003F26ED">
              <w:rPr>
                <w:rFonts w:ascii="Times New Roman" w:hAnsi="Times New Roman"/>
                <w:sz w:val="18"/>
                <w:szCs w:val="18"/>
                <w:vertAlign w:val="subscript"/>
              </w:rPr>
              <w:t xml:space="preserve">2 </w:t>
            </w:r>
            <w:r w:rsidRPr="003F26ED">
              <w:rPr>
                <w:rFonts w:ascii="Times New Roman" w:hAnsi="Times New Roman"/>
                <w:sz w:val="18"/>
                <w:szCs w:val="18"/>
              </w:rPr>
              <w:t>Sat, Na</w:t>
            </w:r>
            <w:r w:rsidRPr="003F26ED">
              <w:rPr>
                <w:rFonts w:ascii="Times New Roman" w:hAnsi="Times New Roman"/>
                <w:sz w:val="18"/>
                <w:szCs w:val="18"/>
                <w:vertAlign w:val="superscript"/>
              </w:rPr>
              <w:t>+</w:t>
            </w:r>
            <w:r w:rsidRPr="003F26ED">
              <w:rPr>
                <w:rFonts w:ascii="Times New Roman" w:hAnsi="Times New Roman"/>
                <w:sz w:val="18"/>
                <w:szCs w:val="18"/>
              </w:rPr>
              <w:t>, K</w:t>
            </w:r>
            <w:r w:rsidRPr="003F26ED">
              <w:rPr>
                <w:rFonts w:ascii="Times New Roman" w:hAnsi="Times New Roman"/>
                <w:sz w:val="18"/>
                <w:szCs w:val="18"/>
                <w:vertAlign w:val="superscript"/>
              </w:rPr>
              <w:t>+</w:t>
            </w:r>
            <w:r w:rsidRPr="003F26ED">
              <w:rPr>
                <w:rFonts w:ascii="Times New Roman" w:hAnsi="Times New Roman"/>
                <w:sz w:val="18"/>
                <w:szCs w:val="18"/>
              </w:rPr>
              <w:t>, Cl</w:t>
            </w:r>
            <w:r w:rsidRPr="003F26ED">
              <w:rPr>
                <w:rFonts w:ascii="Times New Roman" w:hAnsi="Times New Roman"/>
                <w:sz w:val="18"/>
                <w:szCs w:val="18"/>
                <w:vertAlign w:val="superscript"/>
              </w:rPr>
              <w:t>-</w:t>
            </w:r>
            <w:r w:rsidRPr="003F26ED">
              <w:rPr>
                <w:rFonts w:ascii="Times New Roman" w:hAnsi="Times New Roman"/>
                <w:sz w:val="18"/>
                <w:szCs w:val="18"/>
              </w:rPr>
              <w:t>, urea, Cr, Hct, glucose</w:t>
            </w:r>
          </w:p>
        </w:tc>
        <w:tc>
          <w:tcPr>
            <w:tcW w:w="4045" w:type="dxa"/>
          </w:tcPr>
          <w:p w14:paraId="6F8198C6" w14:textId="77777777"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sz w:val="18"/>
                <w:szCs w:val="18"/>
              </w:rPr>
              <w:t>Our experience shows that POCT can be performed with high reliability and provides rapid critical analyte and blood gas results where no other laboratory analysis is available. POCT in the transport setting is infrequent and is relatively inexpensive. Use of POCT led to changes in patient treatment 30% of the times when testing was performed.</w:t>
            </w:r>
          </w:p>
        </w:tc>
      </w:tr>
      <w:tr w:rsidR="00042CB3" w:rsidRPr="003F26ED" w14:paraId="32F65521" w14:textId="77777777" w:rsidTr="00042CB3">
        <w:tc>
          <w:tcPr>
            <w:tcW w:w="1435" w:type="dxa"/>
          </w:tcPr>
          <w:p w14:paraId="6C66F3E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Backer</w:t>
            </w:r>
          </w:p>
          <w:p w14:paraId="44A792E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 Ann Emerg Med</w:t>
            </w:r>
          </w:p>
          <w:p w14:paraId="6BBC55F4" w14:textId="0564E30D"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1999 </w:t>
            </w:r>
            <w:r w:rsidR="00241B6C">
              <w:rPr>
                <w:rFonts w:ascii="Times New Roman" w:hAnsi="Times New Roman"/>
                <w:sz w:val="18"/>
                <w:szCs w:val="18"/>
              </w:rPr>
              <w:t>[79]</w:t>
            </w:r>
          </w:p>
        </w:tc>
        <w:tc>
          <w:tcPr>
            <w:tcW w:w="1440" w:type="dxa"/>
          </w:tcPr>
          <w:p w14:paraId="333A52E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Back-country evaluation of heat symptoms</w:t>
            </w:r>
          </w:p>
        </w:tc>
        <w:tc>
          <w:tcPr>
            <w:tcW w:w="1260" w:type="dxa"/>
          </w:tcPr>
          <w:p w14:paraId="5F8B12B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Grand Canyon National Park, USA</w:t>
            </w:r>
          </w:p>
        </w:tc>
        <w:tc>
          <w:tcPr>
            <w:tcW w:w="1170" w:type="dxa"/>
          </w:tcPr>
          <w:p w14:paraId="7559525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Na</w:t>
            </w:r>
            <w:r w:rsidRPr="003F26ED">
              <w:rPr>
                <w:rFonts w:ascii="Times New Roman" w:hAnsi="Times New Roman"/>
                <w:sz w:val="18"/>
                <w:szCs w:val="18"/>
                <w:vertAlign w:val="superscript"/>
              </w:rPr>
              <w:t>+</w:t>
            </w:r>
            <w:r w:rsidRPr="003F26ED">
              <w:rPr>
                <w:rFonts w:ascii="Times New Roman" w:hAnsi="Times New Roman"/>
                <w:sz w:val="18"/>
                <w:szCs w:val="18"/>
              </w:rPr>
              <w:t xml:space="preserve"> (i-Stat)</w:t>
            </w:r>
          </w:p>
        </w:tc>
        <w:tc>
          <w:tcPr>
            <w:tcW w:w="4045" w:type="dxa"/>
          </w:tcPr>
          <w:p w14:paraId="7EB9A4DB" w14:textId="77777777"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sz w:val="18"/>
                <w:szCs w:val="18"/>
              </w:rPr>
              <w:t>POC Na</w:t>
            </w:r>
            <w:r w:rsidRPr="003F26ED">
              <w:rPr>
                <w:rFonts w:ascii="Times New Roman" w:hAnsi="Times New Roman"/>
                <w:sz w:val="18"/>
                <w:szCs w:val="18"/>
                <w:vertAlign w:val="superscript"/>
              </w:rPr>
              <w:t>+</w:t>
            </w:r>
            <w:r w:rsidRPr="003F26ED">
              <w:rPr>
                <w:rFonts w:ascii="Times New Roman" w:hAnsi="Times New Roman"/>
                <w:sz w:val="18"/>
                <w:szCs w:val="18"/>
              </w:rPr>
              <w:t xml:space="preserve"> reliably identified exercise-associated hyponatremia, an important cause of heat illness during endurance exercise. The results helped make Rx and disposition decisions.</w:t>
            </w:r>
          </w:p>
        </w:tc>
      </w:tr>
      <w:tr w:rsidR="00042CB3" w:rsidRPr="003F26ED" w14:paraId="0928B1DF" w14:textId="77777777" w:rsidTr="00042CB3">
        <w:tc>
          <w:tcPr>
            <w:tcW w:w="1435" w:type="dxa"/>
          </w:tcPr>
          <w:p w14:paraId="2F2C984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Herr</w:t>
            </w:r>
          </w:p>
          <w:p w14:paraId="5CDB761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Am J Clin Path</w:t>
            </w:r>
          </w:p>
          <w:p w14:paraId="6A4F6D48" w14:textId="4BA0716F"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1995 </w:t>
            </w:r>
            <w:r w:rsidR="00241B6C">
              <w:rPr>
                <w:rFonts w:ascii="Times New Roman" w:hAnsi="Times New Roman"/>
                <w:sz w:val="18"/>
                <w:szCs w:val="18"/>
              </w:rPr>
              <w:t>[80]</w:t>
            </w:r>
          </w:p>
        </w:tc>
        <w:tc>
          <w:tcPr>
            <w:tcW w:w="1440" w:type="dxa"/>
          </w:tcPr>
          <w:p w14:paraId="0420643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Performing prehospital Dx and Rx on helicopters</w:t>
            </w:r>
          </w:p>
        </w:tc>
        <w:tc>
          <w:tcPr>
            <w:tcW w:w="1260" w:type="dxa"/>
          </w:tcPr>
          <w:p w14:paraId="69B030A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Rochester, Minnesota, USA</w:t>
            </w:r>
          </w:p>
        </w:tc>
        <w:tc>
          <w:tcPr>
            <w:tcW w:w="1170" w:type="dxa"/>
          </w:tcPr>
          <w:p w14:paraId="274808E8"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Na</w:t>
            </w:r>
            <w:r w:rsidRPr="003F26ED">
              <w:rPr>
                <w:rFonts w:ascii="Times New Roman" w:hAnsi="Times New Roman"/>
                <w:sz w:val="18"/>
                <w:szCs w:val="18"/>
                <w:vertAlign w:val="superscript"/>
              </w:rPr>
              <w:t>+</w:t>
            </w:r>
            <w:r w:rsidRPr="003F26ED">
              <w:rPr>
                <w:rFonts w:ascii="Times New Roman" w:hAnsi="Times New Roman"/>
                <w:sz w:val="18"/>
                <w:szCs w:val="18"/>
              </w:rPr>
              <w:t>, K</w:t>
            </w:r>
            <w:r w:rsidRPr="003F26ED">
              <w:rPr>
                <w:rFonts w:ascii="Times New Roman" w:hAnsi="Times New Roman"/>
                <w:sz w:val="18"/>
                <w:szCs w:val="18"/>
                <w:vertAlign w:val="superscript"/>
              </w:rPr>
              <w:t>+</w:t>
            </w:r>
            <w:r w:rsidRPr="003F26ED">
              <w:rPr>
                <w:rFonts w:ascii="Times New Roman" w:hAnsi="Times New Roman"/>
                <w:sz w:val="18"/>
                <w:szCs w:val="18"/>
              </w:rPr>
              <w:t>, Hct, Hgb (i-Stat)</w:t>
            </w:r>
          </w:p>
        </w:tc>
        <w:tc>
          <w:tcPr>
            <w:tcW w:w="4045" w:type="dxa"/>
          </w:tcPr>
          <w:p w14:paraId="118A7EA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Fifteen (18.5%) patients were treated with transfusions, glucose, or insulin based on results obtained during helicopter flight.</w:t>
            </w:r>
          </w:p>
        </w:tc>
      </w:tr>
      <w:tr w:rsidR="00042CB3" w:rsidRPr="003F26ED" w14:paraId="1C67BDEE" w14:textId="77777777" w:rsidTr="00042CB3">
        <w:tc>
          <w:tcPr>
            <w:tcW w:w="9350" w:type="dxa"/>
            <w:gridSpan w:val="5"/>
          </w:tcPr>
          <w:p w14:paraId="793C6125" w14:textId="77777777" w:rsidR="00042CB3" w:rsidRPr="003F26ED" w:rsidRDefault="00042CB3" w:rsidP="00042CB3">
            <w:pPr>
              <w:spacing w:line="240" w:lineRule="auto"/>
              <w:jc w:val="left"/>
              <w:rPr>
                <w:rFonts w:ascii="Times New Roman" w:hAnsi="Times New Roman"/>
                <w:b/>
                <w:bCs/>
                <w:sz w:val="18"/>
                <w:szCs w:val="18"/>
              </w:rPr>
            </w:pPr>
            <w:r w:rsidRPr="003F26ED">
              <w:rPr>
                <w:rFonts w:ascii="Times New Roman" w:hAnsi="Times New Roman"/>
                <w:b/>
                <w:bCs/>
                <w:sz w:val="18"/>
                <w:szCs w:val="18"/>
              </w:rPr>
              <w:t>• Glucose and Lactate</w:t>
            </w:r>
          </w:p>
        </w:tc>
      </w:tr>
      <w:tr w:rsidR="00042CB3" w:rsidRPr="003F26ED" w14:paraId="35F27DB6" w14:textId="77777777" w:rsidTr="00042CB3">
        <w:tc>
          <w:tcPr>
            <w:tcW w:w="1435" w:type="dxa"/>
          </w:tcPr>
          <w:p w14:paraId="52EE261B" w14:textId="77777777" w:rsidR="00042CB3" w:rsidRPr="00780964" w:rsidRDefault="00042CB3" w:rsidP="00042CB3">
            <w:pPr>
              <w:spacing w:line="240" w:lineRule="auto"/>
              <w:jc w:val="left"/>
              <w:rPr>
                <w:rFonts w:ascii="Times New Roman" w:hAnsi="Times New Roman"/>
                <w:color w:val="FFFFFF" w:themeColor="background1"/>
                <w:sz w:val="18"/>
                <w:szCs w:val="18"/>
                <w:vertAlign w:val="superscript"/>
              </w:rPr>
            </w:pPr>
            <w:r w:rsidRPr="00780964">
              <w:rPr>
                <w:rFonts w:ascii="Times New Roman" w:hAnsi="Times New Roman"/>
                <w:sz w:val="18"/>
                <w:szCs w:val="18"/>
              </w:rPr>
              <w:t>Fuzery</w:t>
            </w:r>
          </w:p>
          <w:p w14:paraId="1538C110" w14:textId="77777777" w:rsidR="00042CB3" w:rsidRPr="00780964" w:rsidRDefault="00042CB3" w:rsidP="00042CB3">
            <w:pPr>
              <w:spacing w:line="240" w:lineRule="auto"/>
              <w:jc w:val="left"/>
              <w:rPr>
                <w:rFonts w:ascii="Times New Roman" w:hAnsi="Times New Roman"/>
                <w:sz w:val="18"/>
                <w:szCs w:val="18"/>
              </w:rPr>
            </w:pPr>
            <w:r w:rsidRPr="00780964">
              <w:rPr>
                <w:rFonts w:ascii="Times New Roman" w:hAnsi="Times New Roman"/>
                <w:sz w:val="18"/>
                <w:szCs w:val="18"/>
              </w:rPr>
              <w:t>Clin Lab News</w:t>
            </w:r>
          </w:p>
          <w:p w14:paraId="3D5341D4" w14:textId="2052DDF0" w:rsidR="00042CB3" w:rsidRPr="00780964" w:rsidRDefault="00042CB3" w:rsidP="00042CB3">
            <w:pPr>
              <w:spacing w:line="240" w:lineRule="auto"/>
              <w:jc w:val="left"/>
              <w:rPr>
                <w:rFonts w:ascii="Times New Roman" w:hAnsi="Times New Roman"/>
                <w:sz w:val="18"/>
                <w:szCs w:val="18"/>
              </w:rPr>
            </w:pPr>
            <w:r w:rsidRPr="00780964">
              <w:rPr>
                <w:rFonts w:ascii="Times New Roman" w:hAnsi="Times New Roman"/>
                <w:sz w:val="18"/>
                <w:szCs w:val="18"/>
              </w:rPr>
              <w:t xml:space="preserve">2021 </w:t>
            </w:r>
            <w:r w:rsidR="00780964" w:rsidRPr="00780964">
              <w:rPr>
                <w:rFonts w:ascii="Times New Roman" w:hAnsi="Times New Roman"/>
                <w:sz w:val="18"/>
                <w:szCs w:val="18"/>
              </w:rPr>
              <w:t>[2]</w:t>
            </w:r>
          </w:p>
          <w:p w14:paraId="3E1132A4" w14:textId="77777777" w:rsidR="00042CB3" w:rsidRPr="00780964" w:rsidRDefault="00042CB3" w:rsidP="00042CB3">
            <w:pPr>
              <w:spacing w:line="240" w:lineRule="auto"/>
              <w:jc w:val="left"/>
              <w:rPr>
                <w:rFonts w:ascii="Times New Roman" w:hAnsi="Times New Roman"/>
                <w:sz w:val="18"/>
                <w:szCs w:val="18"/>
              </w:rPr>
            </w:pPr>
            <w:r w:rsidRPr="00780964">
              <w:rPr>
                <w:rFonts w:ascii="Times New Roman" w:hAnsi="Times New Roman"/>
                <w:sz w:val="18"/>
                <w:szCs w:val="18"/>
              </w:rPr>
              <w:lastRenderedPageBreak/>
              <w:t>Arch Path Lab Med</w:t>
            </w:r>
          </w:p>
          <w:p w14:paraId="34D08223" w14:textId="2F285E2E" w:rsidR="00042CB3" w:rsidRPr="003F26ED" w:rsidRDefault="00042CB3" w:rsidP="00042CB3">
            <w:pPr>
              <w:spacing w:line="240" w:lineRule="auto"/>
              <w:jc w:val="left"/>
              <w:rPr>
                <w:rFonts w:ascii="Times New Roman" w:hAnsi="Times New Roman"/>
                <w:sz w:val="18"/>
                <w:szCs w:val="18"/>
              </w:rPr>
            </w:pPr>
            <w:r w:rsidRPr="00780964">
              <w:rPr>
                <w:rFonts w:ascii="Times New Roman" w:hAnsi="Times New Roman"/>
                <w:sz w:val="18"/>
                <w:szCs w:val="18"/>
              </w:rPr>
              <w:t xml:space="preserve">2020 </w:t>
            </w:r>
            <w:r w:rsidR="00780964" w:rsidRPr="00780964">
              <w:rPr>
                <w:rFonts w:ascii="Times New Roman" w:hAnsi="Times New Roman"/>
                <w:sz w:val="18"/>
                <w:szCs w:val="18"/>
              </w:rPr>
              <w:t>[3]</w:t>
            </w:r>
          </w:p>
        </w:tc>
        <w:tc>
          <w:tcPr>
            <w:tcW w:w="1440" w:type="dxa"/>
          </w:tcPr>
          <w:p w14:paraId="3E1D5A4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lastRenderedPageBreak/>
              <w:t>Ambulance preparedness and protocols</w:t>
            </w:r>
          </w:p>
        </w:tc>
        <w:tc>
          <w:tcPr>
            <w:tcW w:w="1260" w:type="dxa"/>
          </w:tcPr>
          <w:p w14:paraId="071CF5F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Alberta Health Services, Canada</w:t>
            </w:r>
          </w:p>
        </w:tc>
        <w:tc>
          <w:tcPr>
            <w:tcW w:w="1170" w:type="dxa"/>
          </w:tcPr>
          <w:p w14:paraId="7D13CF1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Glucose</w:t>
            </w:r>
          </w:p>
        </w:tc>
        <w:tc>
          <w:tcPr>
            <w:tcW w:w="4045" w:type="dxa"/>
          </w:tcPr>
          <w:p w14:paraId="7BFD0D41" w14:textId="77777777" w:rsidR="00042CB3" w:rsidRPr="003F26ED" w:rsidRDefault="00042CB3" w:rsidP="00042CB3">
            <w:pPr>
              <w:spacing w:line="240" w:lineRule="auto"/>
              <w:jc w:val="left"/>
              <w:rPr>
                <w:rFonts w:ascii="Times New Roman" w:hAnsi="Times New Roman"/>
                <w:b/>
                <w:bCs/>
                <w:sz w:val="18"/>
                <w:szCs w:val="18"/>
              </w:rPr>
            </w:pPr>
            <w:r w:rsidRPr="003F26ED">
              <w:rPr>
                <w:rFonts w:ascii="Times New Roman" w:hAnsi="Times New Roman"/>
                <w:bCs/>
                <w:sz w:val="18"/>
                <w:szCs w:val="18"/>
              </w:rPr>
              <w:t xml:space="preserve">All ground ambulances operated by AHS have glucose meters, which can be operated by paramedics trained in basic life support only. Paramedics follow written protocols if they suspect </w:t>
            </w:r>
            <w:r w:rsidRPr="003F26ED">
              <w:rPr>
                <w:rFonts w:ascii="Times New Roman" w:hAnsi="Times New Roman"/>
                <w:bCs/>
                <w:sz w:val="18"/>
                <w:szCs w:val="18"/>
              </w:rPr>
              <w:lastRenderedPageBreak/>
              <w:t>hyper/hypoglycemia. The protocols provide direction on when to do a glucose meter test and how to act on the result.</w:t>
            </w:r>
          </w:p>
        </w:tc>
      </w:tr>
      <w:tr w:rsidR="00042CB3" w:rsidRPr="003F26ED" w14:paraId="3B70228A" w14:textId="77777777" w:rsidTr="00042CB3">
        <w:tc>
          <w:tcPr>
            <w:tcW w:w="1435" w:type="dxa"/>
          </w:tcPr>
          <w:p w14:paraId="32CD75C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lastRenderedPageBreak/>
              <w:t>Hill</w:t>
            </w:r>
          </w:p>
          <w:p w14:paraId="0F2C11C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Air Med J</w:t>
            </w:r>
          </w:p>
          <w:p w14:paraId="28B3123B" w14:textId="0B4B897D"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2020 </w:t>
            </w:r>
            <w:r w:rsidR="00780964">
              <w:rPr>
                <w:rFonts w:ascii="Times New Roman" w:hAnsi="Times New Roman"/>
                <w:sz w:val="18"/>
                <w:szCs w:val="18"/>
              </w:rPr>
              <w:t>[81]</w:t>
            </w:r>
          </w:p>
        </w:tc>
        <w:tc>
          <w:tcPr>
            <w:tcW w:w="1440" w:type="dxa"/>
          </w:tcPr>
          <w:p w14:paraId="78CF1C7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Air ambulances in Midwest America</w:t>
            </w:r>
          </w:p>
        </w:tc>
        <w:tc>
          <w:tcPr>
            <w:tcW w:w="1260" w:type="dxa"/>
          </w:tcPr>
          <w:p w14:paraId="3C84534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Colorado &amp; Ohio, USA</w:t>
            </w:r>
          </w:p>
          <w:p w14:paraId="3B7AC3D9" w14:textId="387363EA"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[nondiabetic patients]</w:t>
            </w:r>
          </w:p>
        </w:tc>
        <w:tc>
          <w:tcPr>
            <w:tcW w:w="1170" w:type="dxa"/>
          </w:tcPr>
          <w:p w14:paraId="6FB8308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Glucose</w:t>
            </w:r>
          </w:p>
        </w:tc>
        <w:tc>
          <w:tcPr>
            <w:tcW w:w="4045" w:type="dxa"/>
          </w:tcPr>
          <w:p w14:paraId="0829821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 glucose greater than 220 mg/dL should prompt prehospital aggressive balanced resuscitation before arrival at the trauma center to prevent worsening hypotension and hemorrhagic shock.</w:t>
            </w:r>
          </w:p>
        </w:tc>
      </w:tr>
      <w:tr w:rsidR="00042CB3" w:rsidRPr="003F26ED" w14:paraId="43773ACB" w14:textId="77777777" w:rsidTr="00042CB3">
        <w:tc>
          <w:tcPr>
            <w:tcW w:w="1435" w:type="dxa"/>
          </w:tcPr>
          <w:p w14:paraId="57E9E9D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Remick</w:t>
            </w:r>
          </w:p>
          <w:p w14:paraId="43BCB18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 Emer Care</w:t>
            </w:r>
          </w:p>
          <w:p w14:paraId="38F43CE6" w14:textId="16E6562B"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2017 </w:t>
            </w:r>
            <w:r w:rsidR="00780964">
              <w:rPr>
                <w:rFonts w:ascii="Times New Roman" w:hAnsi="Times New Roman"/>
                <w:sz w:val="18"/>
                <w:szCs w:val="18"/>
              </w:rPr>
              <w:t>[82]</w:t>
            </w:r>
          </w:p>
        </w:tc>
        <w:tc>
          <w:tcPr>
            <w:tcW w:w="1440" w:type="dxa"/>
          </w:tcPr>
          <w:p w14:paraId="0CD112C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Assessing prehospital seizures in pediatric patients</w:t>
            </w:r>
          </w:p>
        </w:tc>
        <w:tc>
          <w:tcPr>
            <w:tcW w:w="1260" w:type="dxa"/>
          </w:tcPr>
          <w:p w14:paraId="4BC94FB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Harbor-UCLA Hospital, California, USA</w:t>
            </w:r>
          </w:p>
        </w:tc>
        <w:tc>
          <w:tcPr>
            <w:tcW w:w="1170" w:type="dxa"/>
          </w:tcPr>
          <w:p w14:paraId="050475B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Glucose</w:t>
            </w:r>
          </w:p>
        </w:tc>
        <w:tc>
          <w:tcPr>
            <w:tcW w:w="4045" w:type="dxa"/>
          </w:tcPr>
          <w:p w14:paraId="172439C8"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Findings suggest the importance assessing </w:t>
            </w:r>
          </w:p>
          <w:p w14:paraId="63C97AC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seizure protocols, which should be studied to identify unique cases where glucose testing might be useful in view of the rarity of prehospital seizures in pediatric patients.</w:t>
            </w:r>
          </w:p>
        </w:tc>
      </w:tr>
      <w:tr w:rsidR="00042CB3" w:rsidRPr="003F26ED" w14:paraId="7C2A394D" w14:textId="77777777" w:rsidTr="00042CB3">
        <w:tc>
          <w:tcPr>
            <w:tcW w:w="1435" w:type="dxa"/>
          </w:tcPr>
          <w:p w14:paraId="5017612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Lerner</w:t>
            </w:r>
          </w:p>
          <w:p w14:paraId="2BF7D69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Am J Emerg Med</w:t>
            </w:r>
          </w:p>
          <w:p w14:paraId="5DF101A7" w14:textId="4E5FC701"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2003 </w:t>
            </w:r>
            <w:r w:rsidR="00780964">
              <w:rPr>
                <w:rFonts w:ascii="Times New Roman" w:hAnsi="Times New Roman"/>
                <w:sz w:val="18"/>
                <w:szCs w:val="18"/>
              </w:rPr>
              <w:t>[83]</w:t>
            </w:r>
          </w:p>
        </w:tc>
        <w:tc>
          <w:tcPr>
            <w:tcW w:w="1440" w:type="dxa"/>
          </w:tcPr>
          <w:p w14:paraId="01D93B7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Paramedic decision making in the field</w:t>
            </w:r>
          </w:p>
        </w:tc>
        <w:tc>
          <w:tcPr>
            <w:tcW w:w="1260" w:type="dxa"/>
          </w:tcPr>
          <w:p w14:paraId="05CBD96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Buffalo, New York, USA</w:t>
            </w:r>
          </w:p>
        </w:tc>
        <w:tc>
          <w:tcPr>
            <w:tcW w:w="1170" w:type="dxa"/>
          </w:tcPr>
          <w:p w14:paraId="785FA6E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Glucose</w:t>
            </w:r>
          </w:p>
        </w:tc>
        <w:tc>
          <w:tcPr>
            <w:tcW w:w="4045" w:type="dxa"/>
          </w:tcPr>
          <w:p w14:paraId="0892A0A9" w14:textId="77777777"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sz w:val="18"/>
                <w:szCs w:val="18"/>
              </w:rPr>
              <w:t>Paramedics successfully treated, without complication, most of the patients with uncomplicated hypoglycemic events. Patients preferred discharge without transport to an ED.</w:t>
            </w:r>
          </w:p>
        </w:tc>
      </w:tr>
      <w:tr w:rsidR="00042CB3" w:rsidRPr="003F26ED" w14:paraId="3FE7F4AB" w14:textId="77777777" w:rsidTr="00042CB3">
        <w:tc>
          <w:tcPr>
            <w:tcW w:w="1435" w:type="dxa"/>
          </w:tcPr>
          <w:p w14:paraId="7AE52AD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Novak</w:t>
            </w:r>
          </w:p>
          <w:p w14:paraId="44AA761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J Paramed Pract</w:t>
            </w:r>
          </w:p>
          <w:p w14:paraId="5A8047E9" w14:textId="6392D0A5"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2022 </w:t>
            </w:r>
            <w:r w:rsidR="00780964">
              <w:rPr>
                <w:rFonts w:ascii="Times New Roman" w:hAnsi="Times New Roman"/>
                <w:sz w:val="18"/>
                <w:szCs w:val="18"/>
              </w:rPr>
              <w:t>[84]</w:t>
            </w:r>
          </w:p>
        </w:tc>
        <w:tc>
          <w:tcPr>
            <w:tcW w:w="1440" w:type="dxa"/>
          </w:tcPr>
          <w:p w14:paraId="0653986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Rapid response vehicle with POCT</w:t>
            </w:r>
          </w:p>
        </w:tc>
        <w:tc>
          <w:tcPr>
            <w:tcW w:w="1260" w:type="dxa"/>
          </w:tcPr>
          <w:p w14:paraId="500A6A5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Oxford, England</w:t>
            </w:r>
          </w:p>
        </w:tc>
        <w:tc>
          <w:tcPr>
            <w:tcW w:w="1170" w:type="dxa"/>
          </w:tcPr>
          <w:p w14:paraId="3A9DFA3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Lactate, pH, TCO</w:t>
            </w:r>
            <w:r w:rsidRPr="003F26ED">
              <w:rPr>
                <w:rFonts w:ascii="Times New Roman" w:hAnsi="Times New Roman"/>
                <w:sz w:val="18"/>
                <w:szCs w:val="18"/>
                <w:vertAlign w:val="subscript"/>
              </w:rPr>
              <w:t>2</w:t>
            </w:r>
            <w:r w:rsidRPr="003F26ED">
              <w:rPr>
                <w:rFonts w:ascii="Times New Roman" w:hAnsi="Times New Roman"/>
                <w:sz w:val="18"/>
                <w:szCs w:val="18"/>
              </w:rPr>
              <w:t>, Ca</w:t>
            </w:r>
            <w:r w:rsidRPr="003F26ED">
              <w:rPr>
                <w:rFonts w:ascii="Times New Roman" w:hAnsi="Times New Roman"/>
                <w:sz w:val="18"/>
                <w:szCs w:val="18"/>
                <w:vertAlign w:val="superscript"/>
              </w:rPr>
              <w:t>++</w:t>
            </w:r>
            <w:r w:rsidRPr="003F26ED">
              <w:rPr>
                <w:rFonts w:ascii="Times New Roman" w:hAnsi="Times New Roman"/>
                <w:sz w:val="18"/>
                <w:szCs w:val="18"/>
              </w:rPr>
              <w:t>, Cr,</w:t>
            </w:r>
          </w:p>
          <w:p w14:paraId="5995312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others (i-Stat)</w:t>
            </w:r>
          </w:p>
        </w:tc>
        <w:tc>
          <w:tcPr>
            <w:tcW w:w="4045" w:type="dxa"/>
          </w:tcPr>
          <w:p w14:paraId="4B8B73D8"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POCT by ambulance services is feasible and when combined with telephone advice and decision support from physicians, may be effective in reducing hospital admissions for frail patients in supportive care environments.</w:t>
            </w:r>
          </w:p>
        </w:tc>
      </w:tr>
      <w:tr w:rsidR="00042CB3" w:rsidRPr="003F26ED" w14:paraId="2E4C85D1" w14:textId="77777777" w:rsidTr="00042CB3">
        <w:tc>
          <w:tcPr>
            <w:tcW w:w="1435" w:type="dxa"/>
          </w:tcPr>
          <w:p w14:paraId="40A21DB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Galvagno</w:t>
            </w:r>
          </w:p>
          <w:p w14:paraId="265B986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Shock</w:t>
            </w:r>
          </w:p>
          <w:p w14:paraId="22F3735A" w14:textId="589BCB6D"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2020 </w:t>
            </w:r>
            <w:r w:rsidR="00780964">
              <w:rPr>
                <w:rFonts w:ascii="Times New Roman" w:hAnsi="Times New Roman"/>
                <w:sz w:val="18"/>
                <w:szCs w:val="18"/>
              </w:rPr>
              <w:t>[85]</w:t>
            </w:r>
          </w:p>
        </w:tc>
        <w:tc>
          <w:tcPr>
            <w:tcW w:w="1440" w:type="dxa"/>
          </w:tcPr>
          <w:p w14:paraId="709D10C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Helicopter prehospital Dx and intervention</w:t>
            </w:r>
          </w:p>
        </w:tc>
        <w:tc>
          <w:tcPr>
            <w:tcW w:w="1260" w:type="dxa"/>
          </w:tcPr>
          <w:p w14:paraId="549A386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Baltimore, Maryland, USA</w:t>
            </w:r>
          </w:p>
        </w:tc>
        <w:tc>
          <w:tcPr>
            <w:tcW w:w="1170" w:type="dxa"/>
          </w:tcPr>
          <w:p w14:paraId="3B73910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Lactate (i-Stat)</w:t>
            </w:r>
          </w:p>
        </w:tc>
        <w:tc>
          <w:tcPr>
            <w:tcW w:w="4045" w:type="dxa"/>
          </w:tcPr>
          <w:p w14:paraId="5B8F94C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Lactate outperformed vital signs, including shock index, for detecting shock and predicting the need for LSIs. A lactate level &gt; 4 mmol/L was highly associated with need for LSIs.</w:t>
            </w:r>
          </w:p>
        </w:tc>
      </w:tr>
      <w:tr w:rsidR="00042CB3" w:rsidRPr="003F26ED" w14:paraId="6E5462A7" w14:textId="77777777" w:rsidTr="00042CB3">
        <w:tc>
          <w:tcPr>
            <w:tcW w:w="1435" w:type="dxa"/>
          </w:tcPr>
          <w:p w14:paraId="48B67ABE" w14:textId="77777777" w:rsidR="00042CB3" w:rsidRPr="003F26ED" w:rsidRDefault="00042CB3" w:rsidP="00042CB3">
            <w:pPr>
              <w:spacing w:line="240" w:lineRule="auto"/>
              <w:jc w:val="left"/>
              <w:rPr>
                <w:rFonts w:ascii="Times New Roman" w:hAnsi="Times New Roman"/>
                <w:color w:val="000000" w:themeColor="text1"/>
                <w:sz w:val="18"/>
                <w:szCs w:val="18"/>
              </w:rPr>
            </w:pPr>
            <w:r w:rsidRPr="003F26ED">
              <w:rPr>
                <w:rFonts w:ascii="Times New Roman" w:hAnsi="Times New Roman"/>
                <w:sz w:val="18"/>
                <w:szCs w:val="18"/>
              </w:rPr>
              <w:t>Martin-Rodriquez</w:t>
            </w:r>
          </w:p>
          <w:p w14:paraId="1B8FA05F" w14:textId="77777777" w:rsidR="00042CB3" w:rsidRPr="003F26ED" w:rsidRDefault="00042CB3" w:rsidP="00042CB3">
            <w:pPr>
              <w:spacing w:line="240" w:lineRule="auto"/>
              <w:jc w:val="left"/>
              <w:rPr>
                <w:rFonts w:ascii="Times New Roman" w:hAnsi="Times New Roman"/>
                <w:color w:val="000000" w:themeColor="text1"/>
                <w:sz w:val="18"/>
                <w:szCs w:val="18"/>
              </w:rPr>
            </w:pPr>
            <w:r w:rsidRPr="003F26ED">
              <w:rPr>
                <w:rFonts w:ascii="Times New Roman" w:hAnsi="Times New Roman"/>
                <w:color w:val="000000" w:themeColor="text1"/>
                <w:sz w:val="18"/>
                <w:szCs w:val="18"/>
              </w:rPr>
              <w:t>Eur J Clin Invest</w:t>
            </w:r>
          </w:p>
          <w:p w14:paraId="70080BB7" w14:textId="0176CD6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color w:val="000000" w:themeColor="text1"/>
                <w:sz w:val="18"/>
                <w:szCs w:val="18"/>
              </w:rPr>
              <w:t xml:space="preserve">2020 </w:t>
            </w:r>
            <w:r w:rsidR="00780964">
              <w:rPr>
                <w:rFonts w:ascii="Times New Roman" w:hAnsi="Times New Roman"/>
                <w:color w:val="000000" w:themeColor="text1"/>
                <w:sz w:val="18"/>
                <w:szCs w:val="18"/>
              </w:rPr>
              <w:t>[86]</w:t>
            </w:r>
          </w:p>
        </w:tc>
        <w:tc>
          <w:tcPr>
            <w:tcW w:w="1440" w:type="dxa"/>
          </w:tcPr>
          <w:p w14:paraId="7FB655F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POCT on ambulances</w:t>
            </w:r>
          </w:p>
        </w:tc>
        <w:tc>
          <w:tcPr>
            <w:tcW w:w="1260" w:type="dxa"/>
          </w:tcPr>
          <w:p w14:paraId="110C4FD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Valladolid, Spain</w:t>
            </w:r>
          </w:p>
        </w:tc>
        <w:tc>
          <w:tcPr>
            <w:tcW w:w="1170" w:type="dxa"/>
          </w:tcPr>
          <w:p w14:paraId="205F37E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Lactate</w:t>
            </w:r>
          </w:p>
        </w:tc>
        <w:tc>
          <w:tcPr>
            <w:tcW w:w="4045" w:type="dxa"/>
          </w:tcPr>
          <w:p w14:paraId="7FF17CF9" w14:textId="3DCCD0EA"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4 mmol/L was the cutoff for low versus high mortality, highlighting the importance of lactate to determine risk of early in-hospital mortality. EMS lactate could improve identification of risky patients and better care.</w:t>
            </w:r>
          </w:p>
        </w:tc>
      </w:tr>
      <w:tr w:rsidR="00042CB3" w:rsidRPr="003F26ED" w14:paraId="0D54FB2F" w14:textId="77777777" w:rsidTr="00042CB3">
        <w:tc>
          <w:tcPr>
            <w:tcW w:w="1435" w:type="dxa"/>
          </w:tcPr>
          <w:p w14:paraId="365986C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Martin-Rodriquez</w:t>
            </w:r>
          </w:p>
          <w:p w14:paraId="239509C4" w14:textId="6354F346"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Am J Emer Med 2018 </w:t>
            </w:r>
            <w:r w:rsidR="00780964">
              <w:rPr>
                <w:rFonts w:ascii="Times New Roman" w:hAnsi="Times New Roman"/>
                <w:sz w:val="18"/>
                <w:szCs w:val="18"/>
              </w:rPr>
              <w:t>[87]</w:t>
            </w:r>
          </w:p>
        </w:tc>
        <w:tc>
          <w:tcPr>
            <w:tcW w:w="1440" w:type="dxa"/>
          </w:tcPr>
          <w:p w14:paraId="27A46CE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Prehospital prediction of early (&lt; 30 d) mortality </w:t>
            </w:r>
          </w:p>
        </w:tc>
        <w:tc>
          <w:tcPr>
            <w:tcW w:w="1260" w:type="dxa"/>
          </w:tcPr>
          <w:p w14:paraId="69F1FB48"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University of Valladolid, Spain</w:t>
            </w:r>
          </w:p>
        </w:tc>
        <w:tc>
          <w:tcPr>
            <w:tcW w:w="1170" w:type="dxa"/>
          </w:tcPr>
          <w:p w14:paraId="0341E98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Lactate</w:t>
            </w:r>
          </w:p>
        </w:tc>
        <w:tc>
          <w:tcPr>
            <w:tcW w:w="4045" w:type="dxa"/>
          </w:tcPr>
          <w:p w14:paraId="12A98B6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 lactate with the best sensitivity (84%) and specificity (70%) overall was 4.25 mmol/L. The level can guide us early in the detection of critical patients.</w:t>
            </w:r>
          </w:p>
        </w:tc>
      </w:tr>
      <w:tr w:rsidR="00042CB3" w:rsidRPr="003F26ED" w14:paraId="5AE5DC3F" w14:textId="77777777" w:rsidTr="00042CB3">
        <w:tc>
          <w:tcPr>
            <w:tcW w:w="9350" w:type="dxa"/>
            <w:gridSpan w:val="5"/>
          </w:tcPr>
          <w:p w14:paraId="1034F69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b/>
                <w:bCs/>
                <w:sz w:val="18"/>
                <w:szCs w:val="18"/>
              </w:rPr>
              <w:t>• Hemoglobin A1c</w:t>
            </w:r>
          </w:p>
        </w:tc>
      </w:tr>
      <w:tr w:rsidR="0051009E" w:rsidRPr="003F26ED" w14:paraId="66D350EB" w14:textId="77777777" w:rsidTr="002D6FC8">
        <w:tc>
          <w:tcPr>
            <w:tcW w:w="1435" w:type="dxa"/>
          </w:tcPr>
          <w:p w14:paraId="148B5618" w14:textId="77777777" w:rsidR="0051009E" w:rsidRPr="003F26ED" w:rsidRDefault="0051009E" w:rsidP="0051009E">
            <w:pPr>
              <w:spacing w:line="240" w:lineRule="auto"/>
              <w:jc w:val="left"/>
              <w:rPr>
                <w:rFonts w:ascii="Times New Roman" w:hAnsi="Times New Roman"/>
                <w:sz w:val="18"/>
                <w:szCs w:val="18"/>
              </w:rPr>
            </w:pPr>
            <w:r w:rsidRPr="003F26ED">
              <w:rPr>
                <w:rFonts w:ascii="Times New Roman" w:hAnsi="Times New Roman"/>
                <w:sz w:val="18"/>
                <w:szCs w:val="18"/>
              </w:rPr>
              <w:t>Krass</w:t>
            </w:r>
          </w:p>
          <w:p w14:paraId="30C5FC6D" w14:textId="77777777" w:rsidR="0051009E" w:rsidRPr="003F26ED" w:rsidRDefault="0051009E" w:rsidP="0051009E">
            <w:pPr>
              <w:spacing w:line="240" w:lineRule="auto"/>
              <w:jc w:val="left"/>
              <w:rPr>
                <w:rFonts w:ascii="Times New Roman" w:hAnsi="Times New Roman"/>
                <w:sz w:val="18"/>
                <w:szCs w:val="18"/>
              </w:rPr>
            </w:pPr>
            <w:r w:rsidRPr="003F26ED">
              <w:rPr>
                <w:rFonts w:ascii="Times New Roman" w:hAnsi="Times New Roman"/>
                <w:sz w:val="18"/>
                <w:szCs w:val="18"/>
              </w:rPr>
              <w:t>Diabetes Res Clin Pract</w:t>
            </w:r>
          </w:p>
          <w:p w14:paraId="0F6DC71E" w14:textId="7B9231B1" w:rsidR="0051009E" w:rsidRPr="003F26ED" w:rsidRDefault="0051009E" w:rsidP="0051009E">
            <w:pPr>
              <w:spacing w:line="240" w:lineRule="auto"/>
              <w:jc w:val="left"/>
              <w:rPr>
                <w:rFonts w:ascii="Times New Roman" w:hAnsi="Times New Roman"/>
                <w:sz w:val="18"/>
                <w:szCs w:val="18"/>
              </w:rPr>
            </w:pPr>
            <w:r w:rsidRPr="003F26ED">
              <w:rPr>
                <w:rFonts w:ascii="Times New Roman" w:hAnsi="Times New Roman"/>
                <w:sz w:val="18"/>
                <w:szCs w:val="18"/>
              </w:rPr>
              <w:t xml:space="preserve">2023 </w:t>
            </w:r>
            <w:r w:rsidR="00780964">
              <w:rPr>
                <w:rFonts w:ascii="Times New Roman" w:hAnsi="Times New Roman"/>
                <w:sz w:val="18"/>
                <w:szCs w:val="18"/>
              </w:rPr>
              <w:t>[88]</w:t>
            </w:r>
          </w:p>
        </w:tc>
        <w:tc>
          <w:tcPr>
            <w:tcW w:w="1440" w:type="dxa"/>
          </w:tcPr>
          <w:p w14:paraId="017C7390" w14:textId="01B5B0D7" w:rsidR="0051009E" w:rsidRPr="003F26ED" w:rsidRDefault="0051009E" w:rsidP="0051009E">
            <w:pPr>
              <w:spacing w:line="240" w:lineRule="auto"/>
              <w:jc w:val="left"/>
              <w:rPr>
                <w:rFonts w:ascii="Times New Roman" w:hAnsi="Times New Roman"/>
                <w:sz w:val="18"/>
                <w:szCs w:val="18"/>
              </w:rPr>
            </w:pPr>
            <w:r w:rsidRPr="003F26ED">
              <w:rPr>
                <w:rFonts w:ascii="Times New Roman" w:hAnsi="Times New Roman"/>
                <w:sz w:val="18"/>
                <w:szCs w:val="18"/>
              </w:rPr>
              <w:t>Pharamacy-based screening for type 2 diabetes</w:t>
            </w:r>
          </w:p>
        </w:tc>
        <w:tc>
          <w:tcPr>
            <w:tcW w:w="1260" w:type="dxa"/>
          </w:tcPr>
          <w:p w14:paraId="1E6A0E7E" w14:textId="116EF99B" w:rsidR="0051009E" w:rsidRPr="003F26ED" w:rsidRDefault="0051009E" w:rsidP="0051009E">
            <w:pPr>
              <w:spacing w:line="240" w:lineRule="auto"/>
              <w:jc w:val="left"/>
              <w:rPr>
                <w:rFonts w:ascii="Times New Roman" w:hAnsi="Times New Roman"/>
                <w:sz w:val="18"/>
                <w:szCs w:val="18"/>
              </w:rPr>
            </w:pPr>
            <w:r w:rsidRPr="003F26ED">
              <w:rPr>
                <w:rFonts w:ascii="Times New Roman" w:hAnsi="Times New Roman"/>
                <w:sz w:val="18"/>
                <w:szCs w:val="18"/>
              </w:rPr>
              <w:t>Multicenter, Australia</w:t>
            </w:r>
          </w:p>
        </w:tc>
        <w:tc>
          <w:tcPr>
            <w:tcW w:w="1170" w:type="dxa"/>
          </w:tcPr>
          <w:p w14:paraId="65BAAD92" w14:textId="58695C10" w:rsidR="0051009E" w:rsidRPr="003F26ED" w:rsidRDefault="0051009E" w:rsidP="0051009E">
            <w:pPr>
              <w:spacing w:line="240" w:lineRule="auto"/>
              <w:jc w:val="left"/>
              <w:rPr>
                <w:rFonts w:ascii="Times New Roman" w:hAnsi="Times New Roman"/>
                <w:sz w:val="18"/>
                <w:szCs w:val="18"/>
              </w:rPr>
            </w:pPr>
            <w:r w:rsidRPr="003F26ED">
              <w:rPr>
                <w:rFonts w:ascii="Times New Roman" w:hAnsi="Times New Roman"/>
                <w:sz w:val="18"/>
                <w:szCs w:val="18"/>
              </w:rPr>
              <w:t>HbA1c, risk assessment, and capillary glucose</w:t>
            </w:r>
          </w:p>
        </w:tc>
        <w:tc>
          <w:tcPr>
            <w:tcW w:w="4045" w:type="dxa"/>
          </w:tcPr>
          <w:p w14:paraId="44F2669C" w14:textId="793B8BB4" w:rsidR="0051009E" w:rsidRPr="003F26ED" w:rsidRDefault="0051009E" w:rsidP="0051009E">
            <w:pPr>
              <w:spacing w:line="240" w:lineRule="auto"/>
              <w:jc w:val="left"/>
              <w:rPr>
                <w:rFonts w:ascii="Times New Roman" w:hAnsi="Times New Roman"/>
                <w:sz w:val="18"/>
                <w:szCs w:val="18"/>
              </w:rPr>
            </w:pPr>
            <w:r w:rsidRPr="003F26ED">
              <w:rPr>
                <w:rFonts w:ascii="Times New Roman" w:hAnsi="Times New Roman"/>
                <w:sz w:val="18"/>
                <w:szCs w:val="18"/>
              </w:rPr>
              <w:t xml:space="preserve">In community pharmacies, the most effective method to uncover undiagnosed T2DM was a stepwise approach — initial risk assessment and if </w:t>
            </w:r>
          </w:p>
          <w:p w14:paraId="45A1AF6A" w14:textId="2257521B" w:rsidR="0051009E" w:rsidRPr="003F26ED" w:rsidRDefault="0051009E" w:rsidP="0051009E">
            <w:pPr>
              <w:spacing w:line="240" w:lineRule="auto"/>
              <w:jc w:val="left"/>
              <w:rPr>
                <w:rFonts w:ascii="Times New Roman" w:hAnsi="Times New Roman"/>
                <w:sz w:val="18"/>
                <w:szCs w:val="18"/>
              </w:rPr>
            </w:pPr>
            <w:r w:rsidRPr="003F26ED">
              <w:rPr>
                <w:rFonts w:ascii="Times New Roman" w:hAnsi="Times New Roman"/>
                <w:sz w:val="18"/>
                <w:szCs w:val="18"/>
              </w:rPr>
              <w:t>appropriate an HbA1C POC test and referral.</w:t>
            </w:r>
          </w:p>
        </w:tc>
      </w:tr>
      <w:tr w:rsidR="00042CB3" w:rsidRPr="003F26ED" w14:paraId="3F010040" w14:textId="77777777" w:rsidTr="00042CB3">
        <w:tc>
          <w:tcPr>
            <w:tcW w:w="1435" w:type="dxa"/>
          </w:tcPr>
          <w:p w14:paraId="3F3F365A" w14:textId="77777777" w:rsidR="00042CB3" w:rsidRPr="003F26ED" w:rsidRDefault="00042CB3" w:rsidP="0051009E">
            <w:pPr>
              <w:spacing w:line="240" w:lineRule="auto"/>
              <w:jc w:val="left"/>
              <w:rPr>
                <w:rFonts w:ascii="Times New Roman" w:hAnsi="Times New Roman"/>
                <w:sz w:val="18"/>
                <w:szCs w:val="18"/>
              </w:rPr>
            </w:pPr>
            <w:r w:rsidRPr="003F26ED">
              <w:rPr>
                <w:rFonts w:ascii="Times New Roman" w:hAnsi="Times New Roman"/>
                <w:sz w:val="18"/>
                <w:szCs w:val="18"/>
              </w:rPr>
              <w:t>Ventura</w:t>
            </w:r>
          </w:p>
          <w:p w14:paraId="7714EFE3" w14:textId="77777777" w:rsidR="00042CB3" w:rsidRPr="003F26ED" w:rsidRDefault="00042CB3" w:rsidP="0051009E">
            <w:pPr>
              <w:spacing w:line="240" w:lineRule="auto"/>
              <w:jc w:val="left"/>
              <w:rPr>
                <w:rFonts w:ascii="Times New Roman" w:hAnsi="Times New Roman"/>
                <w:sz w:val="18"/>
                <w:szCs w:val="18"/>
              </w:rPr>
            </w:pPr>
            <w:r w:rsidRPr="003F26ED">
              <w:rPr>
                <w:rFonts w:ascii="Times New Roman" w:hAnsi="Times New Roman"/>
                <w:sz w:val="18"/>
                <w:szCs w:val="18"/>
              </w:rPr>
              <w:t>Point of Care</w:t>
            </w:r>
          </w:p>
          <w:p w14:paraId="7943C575" w14:textId="16FA34BD" w:rsidR="00042CB3" w:rsidRPr="003F26ED" w:rsidRDefault="00042CB3" w:rsidP="0051009E">
            <w:pPr>
              <w:spacing w:line="240" w:lineRule="auto"/>
              <w:jc w:val="left"/>
              <w:rPr>
                <w:rFonts w:ascii="Times New Roman" w:hAnsi="Times New Roman"/>
                <w:sz w:val="18"/>
                <w:szCs w:val="18"/>
              </w:rPr>
            </w:pPr>
            <w:r w:rsidRPr="003F26ED">
              <w:rPr>
                <w:rFonts w:ascii="Times New Roman" w:hAnsi="Times New Roman"/>
                <w:sz w:val="18"/>
                <w:szCs w:val="18"/>
              </w:rPr>
              <w:t xml:space="preserve">2019 </w:t>
            </w:r>
            <w:r w:rsidR="00780964">
              <w:rPr>
                <w:rFonts w:ascii="Times New Roman" w:hAnsi="Times New Roman"/>
                <w:sz w:val="18"/>
                <w:szCs w:val="18"/>
              </w:rPr>
              <w:t>[89]</w:t>
            </w:r>
          </w:p>
        </w:tc>
        <w:tc>
          <w:tcPr>
            <w:tcW w:w="1440" w:type="dxa"/>
          </w:tcPr>
          <w:p w14:paraId="37FB0C38" w14:textId="77777777" w:rsidR="00042CB3" w:rsidRPr="003F26ED" w:rsidRDefault="00042CB3" w:rsidP="0051009E">
            <w:pPr>
              <w:spacing w:line="240" w:lineRule="auto"/>
              <w:jc w:val="left"/>
              <w:rPr>
                <w:rFonts w:ascii="Times New Roman" w:hAnsi="Times New Roman"/>
                <w:sz w:val="18"/>
                <w:szCs w:val="18"/>
              </w:rPr>
            </w:pPr>
            <w:r w:rsidRPr="003F26ED">
              <w:rPr>
                <w:rFonts w:ascii="Times New Roman" w:hAnsi="Times New Roman"/>
                <w:sz w:val="18"/>
                <w:szCs w:val="18"/>
              </w:rPr>
              <w:t>Management of prediabetes and diabetes in community health centers</w:t>
            </w:r>
          </w:p>
        </w:tc>
        <w:tc>
          <w:tcPr>
            <w:tcW w:w="1260" w:type="dxa"/>
          </w:tcPr>
          <w:p w14:paraId="35109DC8" w14:textId="77777777" w:rsidR="00042CB3" w:rsidRPr="003F26ED" w:rsidRDefault="00042CB3" w:rsidP="0051009E">
            <w:pPr>
              <w:spacing w:line="240" w:lineRule="auto"/>
              <w:jc w:val="left"/>
              <w:rPr>
                <w:rFonts w:ascii="Times New Roman" w:hAnsi="Times New Roman"/>
                <w:sz w:val="18"/>
                <w:szCs w:val="18"/>
              </w:rPr>
            </w:pPr>
            <w:r w:rsidRPr="003F26ED">
              <w:rPr>
                <w:rFonts w:ascii="Times New Roman" w:hAnsi="Times New Roman"/>
                <w:sz w:val="18"/>
                <w:szCs w:val="18"/>
              </w:rPr>
              <w:t>Rural Central Vietnam</w:t>
            </w:r>
          </w:p>
        </w:tc>
        <w:tc>
          <w:tcPr>
            <w:tcW w:w="1170" w:type="dxa"/>
          </w:tcPr>
          <w:p w14:paraId="5981C88A" w14:textId="77777777" w:rsidR="00042CB3" w:rsidRPr="003F26ED" w:rsidRDefault="00042CB3" w:rsidP="0051009E">
            <w:pPr>
              <w:spacing w:line="240" w:lineRule="auto"/>
              <w:jc w:val="left"/>
              <w:rPr>
                <w:rFonts w:ascii="Times New Roman" w:hAnsi="Times New Roman"/>
                <w:sz w:val="18"/>
                <w:szCs w:val="18"/>
              </w:rPr>
            </w:pPr>
            <w:r w:rsidRPr="003F26ED">
              <w:rPr>
                <w:rFonts w:ascii="Times New Roman" w:hAnsi="Times New Roman"/>
                <w:sz w:val="18"/>
                <w:szCs w:val="18"/>
              </w:rPr>
              <w:t>HbA1c</w:t>
            </w:r>
          </w:p>
        </w:tc>
        <w:tc>
          <w:tcPr>
            <w:tcW w:w="4045" w:type="dxa"/>
          </w:tcPr>
          <w:p w14:paraId="62F72987" w14:textId="77777777" w:rsidR="00042CB3" w:rsidRPr="003F26ED" w:rsidRDefault="00042CB3" w:rsidP="0051009E">
            <w:pPr>
              <w:pStyle w:val="NormalWeb"/>
              <w:spacing w:line="240" w:lineRule="auto"/>
              <w:jc w:val="left"/>
              <w:rPr>
                <w:rFonts w:ascii="Times New Roman" w:hAnsi="Times New Roman"/>
                <w:sz w:val="18"/>
                <w:szCs w:val="18"/>
              </w:rPr>
            </w:pPr>
            <w:r w:rsidRPr="003F26ED">
              <w:rPr>
                <w:rFonts w:ascii="Times New Roman" w:hAnsi="Times New Roman"/>
                <w:sz w:val="18"/>
                <w:szCs w:val="18"/>
              </w:rPr>
              <w:t xml:space="preserve">HbA1c and blood glucose instruments should be available; public health must fund self-monitoring, glucose meters, and enhanced access; and diagnostic cutoffs for HbA1c should be harmonized after checking population differences. </w:t>
            </w:r>
          </w:p>
        </w:tc>
      </w:tr>
      <w:tr w:rsidR="00042CB3" w:rsidRPr="003F26ED" w14:paraId="3ED60FF2" w14:textId="77777777" w:rsidTr="00042CB3">
        <w:tc>
          <w:tcPr>
            <w:tcW w:w="1435" w:type="dxa"/>
          </w:tcPr>
          <w:p w14:paraId="247379C8"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Shephard</w:t>
            </w:r>
          </w:p>
          <w:p w14:paraId="7D13C20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Clin Biochem</w:t>
            </w:r>
          </w:p>
          <w:p w14:paraId="7A074E3F" w14:textId="5F655FD8"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2017 </w:t>
            </w:r>
            <w:r w:rsidR="00780964">
              <w:rPr>
                <w:rFonts w:ascii="Times New Roman" w:hAnsi="Times New Roman"/>
                <w:sz w:val="18"/>
                <w:szCs w:val="18"/>
              </w:rPr>
              <w:t>[90]</w:t>
            </w:r>
          </w:p>
        </w:tc>
        <w:tc>
          <w:tcPr>
            <w:tcW w:w="1440" w:type="dxa"/>
          </w:tcPr>
          <w:p w14:paraId="0551C0A6" w14:textId="1FF28BD0"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National </w:t>
            </w:r>
            <w:r w:rsidR="008412BA" w:rsidRPr="003F26ED">
              <w:rPr>
                <w:rFonts w:ascii="Times New Roman" w:hAnsi="Times New Roman"/>
                <w:sz w:val="18"/>
                <w:szCs w:val="18"/>
              </w:rPr>
              <w:t>rural i</w:t>
            </w:r>
            <w:r w:rsidRPr="003F26ED">
              <w:rPr>
                <w:rFonts w:ascii="Times New Roman" w:hAnsi="Times New Roman"/>
                <w:sz w:val="18"/>
                <w:szCs w:val="18"/>
              </w:rPr>
              <w:t>ndigenous POCT program for diabetes</w:t>
            </w:r>
          </w:p>
        </w:tc>
        <w:tc>
          <w:tcPr>
            <w:tcW w:w="1260" w:type="dxa"/>
          </w:tcPr>
          <w:p w14:paraId="2C585A3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Rural Australia</w:t>
            </w:r>
          </w:p>
        </w:tc>
        <w:tc>
          <w:tcPr>
            <w:tcW w:w="1170" w:type="dxa"/>
          </w:tcPr>
          <w:p w14:paraId="548A263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HbA1c and quality control</w:t>
            </w:r>
          </w:p>
        </w:tc>
        <w:tc>
          <w:tcPr>
            <w:tcW w:w="4045" w:type="dxa"/>
          </w:tcPr>
          <w:p w14:paraId="52E88F8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HbA1c POCT in the Aboriginal and Torres Strait Islander Medical Services program has remained analytically sound, matched the quality achieved by Australasian laboratories, and met profession-derived analytical goals for 15years.</w:t>
            </w:r>
          </w:p>
        </w:tc>
      </w:tr>
      <w:tr w:rsidR="00042CB3" w:rsidRPr="003F26ED" w14:paraId="14B9188C" w14:textId="77777777" w:rsidTr="00042CB3">
        <w:trPr>
          <w:trHeight w:val="1268"/>
        </w:trPr>
        <w:tc>
          <w:tcPr>
            <w:tcW w:w="1435" w:type="dxa"/>
          </w:tcPr>
          <w:p w14:paraId="352E86B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Motta</w:t>
            </w:r>
          </w:p>
          <w:p w14:paraId="54F2DF1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Primary Care Diabetes</w:t>
            </w:r>
          </w:p>
          <w:p w14:paraId="04664410" w14:textId="1461E8B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2017 </w:t>
            </w:r>
            <w:r w:rsidR="00780964">
              <w:rPr>
                <w:rFonts w:ascii="Times New Roman" w:hAnsi="Times New Roman"/>
                <w:sz w:val="18"/>
                <w:szCs w:val="18"/>
              </w:rPr>
              <w:t>[91]</w:t>
            </w:r>
          </w:p>
        </w:tc>
        <w:tc>
          <w:tcPr>
            <w:tcW w:w="1440" w:type="dxa"/>
          </w:tcPr>
          <w:p w14:paraId="624DDC3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Primary care delivery</w:t>
            </w:r>
          </w:p>
        </w:tc>
        <w:tc>
          <w:tcPr>
            <w:tcW w:w="1260" w:type="dxa"/>
          </w:tcPr>
          <w:p w14:paraId="600567D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South Africa</w:t>
            </w:r>
          </w:p>
        </w:tc>
        <w:tc>
          <w:tcPr>
            <w:tcW w:w="1170" w:type="dxa"/>
          </w:tcPr>
          <w:p w14:paraId="4A6CAE38"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HbA1c</w:t>
            </w:r>
          </w:p>
        </w:tc>
        <w:tc>
          <w:tcPr>
            <w:tcW w:w="4045" w:type="dxa"/>
          </w:tcPr>
          <w:p w14:paraId="4664666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POCT changed clinical practice by facilitating access to HbA1c testing. Patients achieving optimal glycemic control (HbA1c ≤ 6.5-7.5%) increased by 125%, while those with very poor control (HbA1c &gt; 10%) halved. Mean HbA1c at the first POC test decreased from 9.7% ± 2.4 to 8.4% ± 2.4 for the most recent (paired t-test p&lt;0.01).</w:t>
            </w:r>
          </w:p>
        </w:tc>
      </w:tr>
      <w:tr w:rsidR="00042CB3" w:rsidRPr="003F26ED" w14:paraId="1CC9B8C5" w14:textId="77777777" w:rsidTr="00042CB3">
        <w:tc>
          <w:tcPr>
            <w:tcW w:w="1435" w:type="dxa"/>
          </w:tcPr>
          <w:p w14:paraId="1BEF5CE6" w14:textId="77777777" w:rsidR="00042CB3" w:rsidRPr="00780964" w:rsidRDefault="00042CB3" w:rsidP="00042CB3">
            <w:pPr>
              <w:spacing w:line="240" w:lineRule="auto"/>
              <w:jc w:val="left"/>
              <w:rPr>
                <w:rFonts w:ascii="Times New Roman" w:hAnsi="Times New Roman"/>
                <w:sz w:val="18"/>
                <w:szCs w:val="18"/>
              </w:rPr>
            </w:pPr>
            <w:r w:rsidRPr="00780964">
              <w:rPr>
                <w:rFonts w:ascii="Times New Roman" w:hAnsi="Times New Roman"/>
                <w:sz w:val="18"/>
                <w:szCs w:val="18"/>
              </w:rPr>
              <w:t>Kost</w:t>
            </w:r>
          </w:p>
          <w:p w14:paraId="48CB9335" w14:textId="77777777" w:rsidR="00042CB3" w:rsidRPr="00780964" w:rsidRDefault="00042CB3" w:rsidP="00042CB3">
            <w:pPr>
              <w:spacing w:line="240" w:lineRule="auto"/>
              <w:jc w:val="left"/>
              <w:rPr>
                <w:rFonts w:ascii="Times New Roman" w:hAnsi="Times New Roman"/>
                <w:sz w:val="18"/>
                <w:szCs w:val="18"/>
              </w:rPr>
            </w:pPr>
            <w:r w:rsidRPr="00780964">
              <w:rPr>
                <w:rFonts w:ascii="Times New Roman" w:hAnsi="Times New Roman"/>
                <w:sz w:val="18"/>
                <w:szCs w:val="18"/>
              </w:rPr>
              <w:t>Point of Care</w:t>
            </w:r>
          </w:p>
          <w:p w14:paraId="44DB462C" w14:textId="62528C04" w:rsidR="00042CB3" w:rsidRPr="00780964" w:rsidRDefault="00042CB3" w:rsidP="00042CB3">
            <w:pPr>
              <w:spacing w:line="240" w:lineRule="auto"/>
              <w:jc w:val="left"/>
              <w:rPr>
                <w:rFonts w:ascii="Times New Roman" w:hAnsi="Times New Roman"/>
                <w:sz w:val="18"/>
                <w:szCs w:val="18"/>
              </w:rPr>
            </w:pPr>
            <w:r w:rsidRPr="00780964">
              <w:rPr>
                <w:rFonts w:ascii="Times New Roman" w:hAnsi="Times New Roman"/>
                <w:sz w:val="18"/>
                <w:szCs w:val="18"/>
              </w:rPr>
              <w:t xml:space="preserve">2017 </w:t>
            </w:r>
            <w:r w:rsidR="00780964" w:rsidRPr="00780964">
              <w:rPr>
                <w:rFonts w:ascii="Times New Roman" w:hAnsi="Times New Roman"/>
                <w:sz w:val="18"/>
                <w:szCs w:val="18"/>
              </w:rPr>
              <w:t>[31]</w:t>
            </w:r>
          </w:p>
          <w:p w14:paraId="2B1FF1BC" w14:textId="5D6272C4" w:rsidR="00042CB3" w:rsidRPr="003F26ED" w:rsidRDefault="00042CB3" w:rsidP="00042CB3">
            <w:pPr>
              <w:spacing w:line="240" w:lineRule="auto"/>
              <w:jc w:val="left"/>
              <w:rPr>
                <w:rFonts w:ascii="Times New Roman" w:hAnsi="Times New Roman"/>
                <w:sz w:val="18"/>
                <w:szCs w:val="18"/>
              </w:rPr>
            </w:pPr>
            <w:r w:rsidRPr="00780964">
              <w:rPr>
                <w:rFonts w:ascii="Times New Roman" w:hAnsi="Times New Roman"/>
                <w:sz w:val="18"/>
                <w:szCs w:val="18"/>
              </w:rPr>
              <w:t xml:space="preserve">2011 </w:t>
            </w:r>
            <w:r w:rsidR="00780964" w:rsidRPr="00780964">
              <w:rPr>
                <w:rFonts w:ascii="Times New Roman" w:hAnsi="Times New Roman"/>
                <w:sz w:val="18"/>
                <w:szCs w:val="18"/>
              </w:rPr>
              <w:t>[92]</w:t>
            </w:r>
          </w:p>
        </w:tc>
        <w:tc>
          <w:tcPr>
            <w:tcW w:w="1440" w:type="dxa"/>
          </w:tcPr>
          <w:p w14:paraId="0389746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Rotating POCT in several rural villages, drones for specimen transport</w:t>
            </w:r>
          </w:p>
        </w:tc>
        <w:tc>
          <w:tcPr>
            <w:tcW w:w="1260" w:type="dxa"/>
          </w:tcPr>
          <w:p w14:paraId="4B43EC6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Limited-resource</w:t>
            </w:r>
          </w:p>
          <w:p w14:paraId="07D1533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provinces in Isan and </w:t>
            </w:r>
            <w:r w:rsidRPr="003F26ED">
              <w:rPr>
                <w:rFonts w:ascii="Times New Roman" w:hAnsi="Times New Roman"/>
                <w:sz w:val="18"/>
                <w:szCs w:val="18"/>
              </w:rPr>
              <w:lastRenderedPageBreak/>
              <w:t>northwest Thailand</w:t>
            </w:r>
          </w:p>
        </w:tc>
        <w:tc>
          <w:tcPr>
            <w:tcW w:w="1170" w:type="dxa"/>
          </w:tcPr>
          <w:p w14:paraId="0471002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lastRenderedPageBreak/>
              <w:t>HbA1c</w:t>
            </w:r>
          </w:p>
        </w:tc>
        <w:tc>
          <w:tcPr>
            <w:tcW w:w="4045" w:type="dxa"/>
          </w:tcPr>
          <w:p w14:paraId="7E1F95FB" w14:textId="77777777"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sz w:val="18"/>
                <w:szCs w:val="18"/>
              </w:rPr>
              <w:t>Rapid on-site HbA1c testing efficiently identified those poorly controlled. Elevated HbA1c</w:t>
            </w:r>
            <w:r w:rsidRPr="003F26ED">
              <w:rPr>
                <w:rFonts w:ascii="Times New Roman" w:hAnsi="Times New Roman"/>
                <w:position w:val="-2"/>
                <w:sz w:val="18"/>
                <w:szCs w:val="18"/>
              </w:rPr>
              <w:t xml:space="preserve"> </w:t>
            </w:r>
            <w:r w:rsidRPr="003F26ED">
              <w:rPr>
                <w:rFonts w:ascii="Times New Roman" w:hAnsi="Times New Roman"/>
                <w:sz w:val="18"/>
                <w:szCs w:val="18"/>
              </w:rPr>
              <w:t xml:space="preserve">changed primary care strategy, pulling together a rotating team of physicians, nurses, and a pharmacist who </w:t>
            </w:r>
            <w:r w:rsidRPr="003F26ED">
              <w:rPr>
                <w:rFonts w:ascii="Times New Roman" w:hAnsi="Times New Roman"/>
                <w:sz w:val="18"/>
                <w:szCs w:val="18"/>
              </w:rPr>
              <w:lastRenderedPageBreak/>
              <w:t>adjust therapy and check for albuminuria to prevent advancing disease, dialysis, and adverse outcomes.</w:t>
            </w:r>
          </w:p>
        </w:tc>
      </w:tr>
      <w:tr w:rsidR="00042CB3" w:rsidRPr="003F26ED" w14:paraId="3EA4FC22" w14:textId="77777777" w:rsidTr="00042CB3">
        <w:tc>
          <w:tcPr>
            <w:tcW w:w="1435" w:type="dxa"/>
          </w:tcPr>
          <w:p w14:paraId="01C2175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lastRenderedPageBreak/>
              <w:t>Spaeth</w:t>
            </w:r>
          </w:p>
          <w:p w14:paraId="0E0619C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Rural Remote Health</w:t>
            </w:r>
          </w:p>
          <w:p w14:paraId="1B18CC55" w14:textId="2166C708"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2014 </w:t>
            </w:r>
            <w:r w:rsidR="00780964">
              <w:rPr>
                <w:rFonts w:ascii="Times New Roman" w:hAnsi="Times New Roman"/>
                <w:sz w:val="18"/>
                <w:szCs w:val="18"/>
              </w:rPr>
              <w:t>[93]</w:t>
            </w:r>
          </w:p>
        </w:tc>
        <w:tc>
          <w:tcPr>
            <w:tcW w:w="1440" w:type="dxa"/>
          </w:tcPr>
          <w:p w14:paraId="216390D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 HbA1c screening and monitoring</w:t>
            </w:r>
          </w:p>
        </w:tc>
        <w:tc>
          <w:tcPr>
            <w:tcW w:w="1260" w:type="dxa"/>
          </w:tcPr>
          <w:p w14:paraId="03B8C8F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Indigenous populations in remote Australia</w:t>
            </w:r>
          </w:p>
        </w:tc>
        <w:tc>
          <w:tcPr>
            <w:tcW w:w="1170" w:type="dxa"/>
          </w:tcPr>
          <w:p w14:paraId="6302C0C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HbA1c</w:t>
            </w:r>
          </w:p>
        </w:tc>
        <w:tc>
          <w:tcPr>
            <w:tcW w:w="4045" w:type="dxa"/>
          </w:tcPr>
          <w:p w14:paraId="7BA9DD8A" w14:textId="77777777"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sz w:val="18"/>
                <w:szCs w:val="18"/>
              </w:rPr>
              <w:t>We demonstrated POCT can improve timeliness and clinical follow-up in remote locations, while also reinforcing clinical and cultural effectiveness in assisting to improve diabetes management in Indigenous Australians.</w:t>
            </w:r>
          </w:p>
        </w:tc>
      </w:tr>
      <w:tr w:rsidR="00042CB3" w:rsidRPr="003F26ED" w14:paraId="610284FF" w14:textId="77777777" w:rsidTr="00042CB3">
        <w:tc>
          <w:tcPr>
            <w:tcW w:w="1435" w:type="dxa"/>
          </w:tcPr>
          <w:p w14:paraId="5A6967B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Martin</w:t>
            </w:r>
          </w:p>
          <w:p w14:paraId="18BC964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Med J Aust</w:t>
            </w:r>
          </w:p>
          <w:p w14:paraId="15DDB727" w14:textId="52341AE5"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2005 </w:t>
            </w:r>
            <w:r w:rsidR="00780964">
              <w:rPr>
                <w:rFonts w:ascii="Times New Roman" w:hAnsi="Times New Roman"/>
                <w:sz w:val="18"/>
                <w:szCs w:val="18"/>
              </w:rPr>
              <w:t>[94]</w:t>
            </w:r>
          </w:p>
          <w:p w14:paraId="75C7FDB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Shephard</w:t>
            </w:r>
          </w:p>
          <w:p w14:paraId="145DA90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Rural Remote Health</w:t>
            </w:r>
          </w:p>
          <w:p w14:paraId="68295C82" w14:textId="48140FE0"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2005 </w:t>
            </w:r>
            <w:r w:rsidR="00780964">
              <w:rPr>
                <w:rFonts w:ascii="Times New Roman" w:hAnsi="Times New Roman"/>
                <w:sz w:val="18"/>
                <w:szCs w:val="18"/>
              </w:rPr>
              <w:t>[95]</w:t>
            </w:r>
          </w:p>
        </w:tc>
        <w:tc>
          <w:tcPr>
            <w:tcW w:w="1440" w:type="dxa"/>
          </w:tcPr>
          <w:p w14:paraId="15CEDC9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Managing diabetes along the rural Mallee Track — top 10 health problems</w:t>
            </w:r>
          </w:p>
        </w:tc>
        <w:tc>
          <w:tcPr>
            <w:tcW w:w="1260" w:type="dxa"/>
          </w:tcPr>
          <w:p w14:paraId="3BF06B6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Building Health Communities, Victoria State, Australia</w:t>
            </w:r>
          </w:p>
        </w:tc>
        <w:tc>
          <w:tcPr>
            <w:tcW w:w="1170" w:type="dxa"/>
          </w:tcPr>
          <w:p w14:paraId="11547E1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HbA1c</w:t>
            </w:r>
          </w:p>
        </w:tc>
        <w:tc>
          <w:tcPr>
            <w:tcW w:w="4045" w:type="dxa"/>
          </w:tcPr>
          <w:p w14:paraId="71764358" w14:textId="77777777"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sz w:val="18"/>
                <w:szCs w:val="18"/>
              </w:rPr>
              <w:t>POC capillary HbA1c testing offers an accurate, practical, and community-friendly way of monitoring diabetes in rural and remote clinical settings. All community and health professional groups surveyed agreed that the POC model should be available to all rural people.</w:t>
            </w:r>
          </w:p>
        </w:tc>
      </w:tr>
      <w:tr w:rsidR="00042CB3" w:rsidRPr="003F26ED" w14:paraId="167BEB56" w14:textId="77777777" w:rsidTr="00042CB3">
        <w:trPr>
          <w:trHeight w:val="49"/>
        </w:trPr>
        <w:tc>
          <w:tcPr>
            <w:tcW w:w="9350" w:type="dxa"/>
            <w:gridSpan w:val="5"/>
          </w:tcPr>
          <w:p w14:paraId="38B5188F" w14:textId="77777777" w:rsidR="00042CB3" w:rsidRPr="003F26ED" w:rsidRDefault="00042CB3" w:rsidP="00042CB3">
            <w:pPr>
              <w:spacing w:line="240" w:lineRule="auto"/>
              <w:jc w:val="left"/>
              <w:rPr>
                <w:rFonts w:ascii="Times New Roman" w:hAnsi="Times New Roman"/>
                <w:b/>
                <w:bCs/>
                <w:sz w:val="18"/>
                <w:szCs w:val="18"/>
              </w:rPr>
            </w:pPr>
            <w:r w:rsidRPr="003F26ED">
              <w:rPr>
                <w:rFonts w:ascii="Times New Roman" w:hAnsi="Times New Roman"/>
                <w:b/>
                <w:bCs/>
                <w:sz w:val="18"/>
                <w:szCs w:val="18"/>
              </w:rPr>
              <w:t>• Hemostasis and D-dimer</w:t>
            </w:r>
          </w:p>
        </w:tc>
      </w:tr>
      <w:tr w:rsidR="00042CB3" w:rsidRPr="003F26ED" w14:paraId="6794CB42" w14:textId="77777777" w:rsidTr="00042CB3">
        <w:tc>
          <w:tcPr>
            <w:tcW w:w="1435" w:type="dxa"/>
          </w:tcPr>
          <w:p w14:paraId="2AFFFD5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Schober</w:t>
            </w:r>
          </w:p>
          <w:p w14:paraId="39A7985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Am J Emer Med</w:t>
            </w:r>
          </w:p>
          <w:p w14:paraId="6D8B8330" w14:textId="5D91A66C"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2021 </w:t>
            </w:r>
            <w:r w:rsidR="00780964">
              <w:rPr>
                <w:rFonts w:ascii="Times New Roman" w:hAnsi="Times New Roman"/>
                <w:sz w:val="18"/>
                <w:szCs w:val="18"/>
              </w:rPr>
              <w:t>[96]</w:t>
            </w:r>
          </w:p>
        </w:tc>
        <w:tc>
          <w:tcPr>
            <w:tcW w:w="1440" w:type="dxa"/>
          </w:tcPr>
          <w:p w14:paraId="1C34BCE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Helicopter feasibility decision making</w:t>
            </w:r>
          </w:p>
        </w:tc>
        <w:tc>
          <w:tcPr>
            <w:tcW w:w="1260" w:type="dxa"/>
          </w:tcPr>
          <w:p w14:paraId="2E3EC1B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Amsterdam, Netherlands</w:t>
            </w:r>
          </w:p>
        </w:tc>
        <w:tc>
          <w:tcPr>
            <w:tcW w:w="1170" w:type="dxa"/>
          </w:tcPr>
          <w:p w14:paraId="3899F88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PT and INR (i-Stat)</w:t>
            </w:r>
          </w:p>
        </w:tc>
        <w:tc>
          <w:tcPr>
            <w:tcW w:w="4045" w:type="dxa"/>
          </w:tcPr>
          <w:p w14:paraId="05E0EAC1" w14:textId="757770BB"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Coagulopathy in trauma (e.g., coagulation factor consumption) and nontrauma cases (e.g. </w:t>
            </w:r>
          </w:p>
          <w:p w14:paraId="209AA41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anticoagulant) demand PT/INR results which were proven feasible in helicopter EMS.</w:t>
            </w:r>
          </w:p>
        </w:tc>
      </w:tr>
      <w:tr w:rsidR="00042CB3" w:rsidRPr="003F26ED" w14:paraId="4DEF8F4C" w14:textId="77777777" w:rsidTr="00042CB3">
        <w:tc>
          <w:tcPr>
            <w:tcW w:w="1435" w:type="dxa"/>
          </w:tcPr>
          <w:p w14:paraId="52468DD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Beynon</w:t>
            </w:r>
          </w:p>
          <w:p w14:paraId="77BBB23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SJTREM</w:t>
            </w:r>
          </w:p>
          <w:p w14:paraId="76B1BF26" w14:textId="427CB3CE"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2015 </w:t>
            </w:r>
            <w:r w:rsidR="00780964">
              <w:rPr>
                <w:rFonts w:ascii="Times New Roman" w:hAnsi="Times New Roman"/>
                <w:sz w:val="18"/>
                <w:szCs w:val="18"/>
              </w:rPr>
              <w:t>97]</w:t>
            </w:r>
          </w:p>
        </w:tc>
        <w:tc>
          <w:tcPr>
            <w:tcW w:w="1440" w:type="dxa"/>
          </w:tcPr>
          <w:p w14:paraId="1BFF11B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hemostasis monitoring</w:t>
            </w:r>
          </w:p>
        </w:tc>
        <w:tc>
          <w:tcPr>
            <w:tcW w:w="1260" w:type="dxa"/>
          </w:tcPr>
          <w:p w14:paraId="2357452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Heidelberg, Germany</w:t>
            </w:r>
          </w:p>
        </w:tc>
        <w:tc>
          <w:tcPr>
            <w:tcW w:w="1170" w:type="dxa"/>
          </w:tcPr>
          <w:p w14:paraId="6605322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PT, INR</w:t>
            </w:r>
          </w:p>
        </w:tc>
        <w:tc>
          <w:tcPr>
            <w:tcW w:w="4045" w:type="dxa"/>
          </w:tcPr>
          <w:p w14:paraId="7060D59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Assessment of INR in prehospital emergency care provides valuable information on hemostatic parameters in patients.</w:t>
            </w:r>
          </w:p>
        </w:tc>
      </w:tr>
      <w:tr w:rsidR="00042CB3" w:rsidRPr="003F26ED" w14:paraId="18234E95" w14:textId="77777777" w:rsidTr="00042CB3">
        <w:tc>
          <w:tcPr>
            <w:tcW w:w="1435" w:type="dxa"/>
          </w:tcPr>
          <w:p w14:paraId="7A59375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Rumpf</w:t>
            </w:r>
          </w:p>
          <w:p w14:paraId="4BACF18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Crit Care</w:t>
            </w:r>
          </w:p>
          <w:p w14:paraId="44BB8C42" w14:textId="026EA02F"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2006 </w:t>
            </w:r>
            <w:r w:rsidR="00780964">
              <w:rPr>
                <w:rFonts w:ascii="Times New Roman" w:hAnsi="Times New Roman"/>
                <w:sz w:val="18"/>
                <w:szCs w:val="18"/>
              </w:rPr>
              <w:t>[98]</w:t>
            </w:r>
          </w:p>
        </w:tc>
        <w:tc>
          <w:tcPr>
            <w:tcW w:w="1440" w:type="dxa"/>
          </w:tcPr>
          <w:p w14:paraId="6A00983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Dx of PE in prehospital emergency setting </w:t>
            </w:r>
          </w:p>
        </w:tc>
        <w:tc>
          <w:tcPr>
            <w:tcW w:w="1260" w:type="dxa"/>
          </w:tcPr>
          <w:p w14:paraId="33DD5B5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Maribor, Slovenia</w:t>
            </w:r>
          </w:p>
        </w:tc>
        <w:tc>
          <w:tcPr>
            <w:tcW w:w="1170" w:type="dxa"/>
          </w:tcPr>
          <w:p w14:paraId="4E04EF4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D-dimer, PetCO</w:t>
            </w:r>
            <w:r w:rsidRPr="003F26ED">
              <w:rPr>
                <w:rFonts w:ascii="Times New Roman" w:hAnsi="Times New Roman"/>
                <w:sz w:val="18"/>
                <w:szCs w:val="18"/>
                <w:vertAlign w:val="subscript"/>
              </w:rPr>
              <w:t>2</w:t>
            </w:r>
            <w:r w:rsidRPr="003F26ED">
              <w:rPr>
                <w:rFonts w:ascii="Times New Roman" w:hAnsi="Times New Roman"/>
                <w:sz w:val="18"/>
                <w:szCs w:val="18"/>
              </w:rPr>
              <w:t xml:space="preserve"> </w:t>
            </w:r>
          </w:p>
        </w:tc>
        <w:tc>
          <w:tcPr>
            <w:tcW w:w="4045" w:type="dxa"/>
          </w:tcPr>
          <w:p w14:paraId="2E5BF06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For PE confirmation, PetCO</w:t>
            </w:r>
            <w:r w:rsidRPr="003F26ED">
              <w:rPr>
                <w:rFonts w:ascii="Times New Roman" w:hAnsi="Times New Roman"/>
                <w:sz w:val="18"/>
                <w:szCs w:val="18"/>
                <w:vertAlign w:val="subscript"/>
              </w:rPr>
              <w:t>2</w:t>
            </w:r>
            <w:r w:rsidRPr="003F26ED">
              <w:rPr>
                <w:rFonts w:ascii="Times New Roman" w:hAnsi="Times New Roman"/>
                <w:sz w:val="18"/>
                <w:szCs w:val="18"/>
              </w:rPr>
              <w:t xml:space="preserve"> had sensitivity 92.6%, NPV 94.2%, specificity 83%, and PPV 79.2%. Combined clinical probability and PetCO</w:t>
            </w:r>
            <w:r w:rsidRPr="003F26ED">
              <w:rPr>
                <w:rFonts w:ascii="Times New Roman" w:hAnsi="Times New Roman"/>
                <w:sz w:val="18"/>
                <w:szCs w:val="18"/>
                <w:vertAlign w:val="subscript"/>
              </w:rPr>
              <w:t>2</w:t>
            </w:r>
            <w:r w:rsidRPr="003F26ED">
              <w:rPr>
                <w:rFonts w:ascii="Times New Roman" w:hAnsi="Times New Roman"/>
                <w:sz w:val="18"/>
                <w:szCs w:val="18"/>
              </w:rPr>
              <w:t xml:space="preserve"> may safely rule out PE in patients with suspected PE and positive D-dimer prehospital.</w:t>
            </w:r>
          </w:p>
        </w:tc>
      </w:tr>
      <w:tr w:rsidR="00042CB3" w:rsidRPr="003F26ED" w14:paraId="5FBD1A69" w14:textId="77777777" w:rsidTr="00042CB3">
        <w:tc>
          <w:tcPr>
            <w:tcW w:w="9350" w:type="dxa"/>
            <w:gridSpan w:val="5"/>
          </w:tcPr>
          <w:p w14:paraId="1D8A5A76" w14:textId="77777777" w:rsidR="00042CB3" w:rsidRPr="003F26ED" w:rsidRDefault="00042CB3" w:rsidP="00042CB3">
            <w:pPr>
              <w:spacing w:line="240" w:lineRule="auto"/>
              <w:jc w:val="left"/>
              <w:rPr>
                <w:rFonts w:ascii="Times New Roman" w:hAnsi="Times New Roman"/>
                <w:b/>
                <w:bCs/>
                <w:sz w:val="18"/>
                <w:szCs w:val="18"/>
              </w:rPr>
            </w:pPr>
            <w:r w:rsidRPr="003F26ED">
              <w:rPr>
                <w:rFonts w:ascii="Times New Roman" w:hAnsi="Times New Roman"/>
                <w:b/>
                <w:bCs/>
                <w:sz w:val="18"/>
                <w:szCs w:val="18"/>
              </w:rPr>
              <w:t>• Ultrasound Imaging</w:t>
            </w:r>
          </w:p>
        </w:tc>
      </w:tr>
      <w:tr w:rsidR="00042CB3" w:rsidRPr="003F26ED" w14:paraId="3D4F06AA" w14:textId="77777777" w:rsidTr="00042CB3">
        <w:tc>
          <w:tcPr>
            <w:tcW w:w="1435" w:type="dxa"/>
          </w:tcPr>
          <w:p w14:paraId="74AB1B2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Christenson</w:t>
            </w:r>
          </w:p>
          <w:p w14:paraId="633DFF1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SJTREM</w:t>
            </w:r>
          </w:p>
          <w:p w14:paraId="5C70C1E4" w14:textId="7EBD4103"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2022 </w:t>
            </w:r>
            <w:r w:rsidR="001F6011">
              <w:rPr>
                <w:rFonts w:ascii="Times New Roman" w:hAnsi="Times New Roman"/>
                <w:sz w:val="18"/>
                <w:szCs w:val="18"/>
              </w:rPr>
              <w:t>[99]</w:t>
            </w:r>
          </w:p>
        </w:tc>
        <w:tc>
          <w:tcPr>
            <w:tcW w:w="1440" w:type="dxa"/>
          </w:tcPr>
          <w:p w14:paraId="6CCB372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Home COPD POC intervention</w:t>
            </w:r>
          </w:p>
        </w:tc>
        <w:tc>
          <w:tcPr>
            <w:tcW w:w="1260" w:type="dxa"/>
          </w:tcPr>
          <w:p w14:paraId="4B1069A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Odense, Denmark</w:t>
            </w:r>
          </w:p>
        </w:tc>
        <w:tc>
          <w:tcPr>
            <w:tcW w:w="1170" w:type="dxa"/>
          </w:tcPr>
          <w:p w14:paraId="4FB2F1D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Ultrasound and blood analysis</w:t>
            </w:r>
          </w:p>
        </w:tc>
        <w:tc>
          <w:tcPr>
            <w:tcW w:w="4045" w:type="dxa"/>
          </w:tcPr>
          <w:p w14:paraId="1EF4460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Emergency medical technicians must show experience and safety in handling shortness </w:t>
            </w:r>
          </w:p>
          <w:p w14:paraId="1C2E751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of breath as well as POC diagnostics.</w:t>
            </w:r>
          </w:p>
        </w:tc>
      </w:tr>
      <w:tr w:rsidR="00042CB3" w:rsidRPr="003F26ED" w14:paraId="3CDF8578" w14:textId="77777777" w:rsidTr="00042CB3">
        <w:tc>
          <w:tcPr>
            <w:tcW w:w="1435" w:type="dxa"/>
          </w:tcPr>
          <w:p w14:paraId="1BBF85A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Ienghong</w:t>
            </w:r>
          </w:p>
          <w:p w14:paraId="1D76D54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 Dis Med</w:t>
            </w:r>
          </w:p>
          <w:p w14:paraId="72E09919" w14:textId="44954446"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2022 </w:t>
            </w:r>
            <w:r w:rsidR="001F6011">
              <w:rPr>
                <w:rFonts w:ascii="Times New Roman" w:hAnsi="Times New Roman"/>
                <w:sz w:val="18"/>
                <w:szCs w:val="18"/>
              </w:rPr>
              <w:t>[100]</w:t>
            </w:r>
          </w:p>
        </w:tc>
        <w:tc>
          <w:tcPr>
            <w:tcW w:w="1440" w:type="dxa"/>
          </w:tcPr>
          <w:p w14:paraId="2D5E368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w:t>
            </w:r>
          </w:p>
          <w:p w14:paraId="125F19B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EMS for Srinagarind Hospital</w:t>
            </w:r>
          </w:p>
        </w:tc>
        <w:tc>
          <w:tcPr>
            <w:tcW w:w="1260" w:type="dxa"/>
          </w:tcPr>
          <w:p w14:paraId="6569285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Khon Kaen, Thailand</w:t>
            </w:r>
          </w:p>
        </w:tc>
        <w:tc>
          <w:tcPr>
            <w:tcW w:w="1170" w:type="dxa"/>
          </w:tcPr>
          <w:p w14:paraId="0E3D5C5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Handheld POC ultrasound</w:t>
            </w:r>
          </w:p>
        </w:tc>
        <w:tc>
          <w:tcPr>
            <w:tcW w:w="4045" w:type="dxa"/>
          </w:tcPr>
          <w:p w14:paraId="630B203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Performed on the lung (37.0%), inferior vena cava (30.8%), and cardiac cases (26.4%); 34.9% abnormal and 66 cases (39.1%) with diagnoses confirmed and an accuracy peak of 75.8%.</w:t>
            </w:r>
          </w:p>
        </w:tc>
      </w:tr>
      <w:tr w:rsidR="00042CB3" w:rsidRPr="003F26ED" w14:paraId="0F556BF0" w14:textId="77777777" w:rsidTr="00042CB3">
        <w:tc>
          <w:tcPr>
            <w:tcW w:w="1435" w:type="dxa"/>
          </w:tcPr>
          <w:p w14:paraId="66101BD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Dubecq</w:t>
            </w:r>
          </w:p>
          <w:p w14:paraId="1309F43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J Trauma Acute Care Surg</w:t>
            </w:r>
          </w:p>
          <w:p w14:paraId="7FEB5A70" w14:textId="51B9FD28"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2021 </w:t>
            </w:r>
            <w:r w:rsidR="001F6011">
              <w:rPr>
                <w:rFonts w:ascii="Times New Roman" w:hAnsi="Times New Roman"/>
                <w:sz w:val="18"/>
                <w:szCs w:val="18"/>
              </w:rPr>
              <w:t>[101]</w:t>
            </w:r>
          </w:p>
        </w:tc>
        <w:tc>
          <w:tcPr>
            <w:tcW w:w="1440" w:type="dxa"/>
          </w:tcPr>
          <w:p w14:paraId="02F9872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Triage, </w:t>
            </w:r>
          </w:p>
          <w:p w14:paraId="39C3B95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diagnosis, severity, Rx, </w:t>
            </w:r>
          </w:p>
          <w:p w14:paraId="24AB13D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and priority for surgery</w:t>
            </w:r>
          </w:p>
        </w:tc>
        <w:tc>
          <w:tcPr>
            <w:tcW w:w="1260" w:type="dxa"/>
          </w:tcPr>
          <w:p w14:paraId="5224A43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French military austere combat settings</w:t>
            </w:r>
          </w:p>
        </w:tc>
        <w:tc>
          <w:tcPr>
            <w:tcW w:w="1170" w:type="dxa"/>
          </w:tcPr>
          <w:p w14:paraId="62BC1FD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Ultrasound-Africa, the Middle East</w:t>
            </w:r>
          </w:p>
        </w:tc>
        <w:tc>
          <w:tcPr>
            <w:tcW w:w="4045" w:type="dxa"/>
          </w:tcPr>
          <w:p w14:paraId="661EDA8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Ultrasound is valuable for management of mass casualties by improving treatment and triage, especially when surgical resources are </w:t>
            </w:r>
          </w:p>
          <w:p w14:paraId="48B2D2F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limited and can also correct a diagnosis or improve prehospital therapeutic choices.</w:t>
            </w:r>
          </w:p>
        </w:tc>
      </w:tr>
      <w:tr w:rsidR="00042CB3" w:rsidRPr="003F26ED" w14:paraId="7FBFFE3A" w14:textId="77777777" w:rsidTr="00042CB3">
        <w:tc>
          <w:tcPr>
            <w:tcW w:w="1435" w:type="dxa"/>
          </w:tcPr>
          <w:p w14:paraId="5B1A8DD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Nadim</w:t>
            </w:r>
          </w:p>
          <w:p w14:paraId="24C1093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BMC Health Serv Res</w:t>
            </w:r>
          </w:p>
          <w:p w14:paraId="1C8A4F3B" w14:textId="3808BCCF"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2021 </w:t>
            </w:r>
            <w:r w:rsidR="001F6011">
              <w:rPr>
                <w:rFonts w:ascii="Times New Roman" w:hAnsi="Times New Roman"/>
                <w:sz w:val="18"/>
                <w:szCs w:val="18"/>
              </w:rPr>
              <w:t>[102]</w:t>
            </w:r>
          </w:p>
        </w:tc>
        <w:tc>
          <w:tcPr>
            <w:tcW w:w="1440" w:type="dxa"/>
          </w:tcPr>
          <w:p w14:paraId="010E4748"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Timely release of patients at the scene</w:t>
            </w:r>
          </w:p>
        </w:tc>
        <w:tc>
          <w:tcPr>
            <w:tcW w:w="1260" w:type="dxa"/>
          </w:tcPr>
          <w:p w14:paraId="1BD1352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Odense, Denmark</w:t>
            </w:r>
          </w:p>
        </w:tc>
        <w:tc>
          <w:tcPr>
            <w:tcW w:w="1170" w:type="dxa"/>
          </w:tcPr>
          <w:p w14:paraId="43F0E22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Ultrasound and blood analysis</w:t>
            </w:r>
          </w:p>
        </w:tc>
        <w:tc>
          <w:tcPr>
            <w:tcW w:w="4045" w:type="dxa"/>
          </w:tcPr>
          <w:p w14:paraId="0B20AE0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emergency medical technicians can perform UTZ and blood analysis in prehospital evaluation of patients with COPD. None released requested a secondary ambulance within the first 48 hours following intervention.</w:t>
            </w:r>
          </w:p>
        </w:tc>
      </w:tr>
      <w:tr w:rsidR="00042CB3" w:rsidRPr="003F26ED" w14:paraId="7F0B4081" w14:textId="77777777" w:rsidTr="00042CB3">
        <w:tc>
          <w:tcPr>
            <w:tcW w:w="1435" w:type="dxa"/>
          </w:tcPr>
          <w:p w14:paraId="0388FB2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Schoeneck</w:t>
            </w:r>
          </w:p>
          <w:p w14:paraId="3918837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West J Emer Med</w:t>
            </w:r>
          </w:p>
          <w:p w14:paraId="7C77C304" w14:textId="733A20CD"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2021 </w:t>
            </w:r>
            <w:r w:rsidR="001F6011">
              <w:rPr>
                <w:rFonts w:ascii="Times New Roman" w:hAnsi="Times New Roman"/>
                <w:sz w:val="18"/>
                <w:szCs w:val="18"/>
              </w:rPr>
              <w:t>[103]</w:t>
            </w:r>
          </w:p>
        </w:tc>
        <w:tc>
          <w:tcPr>
            <w:tcW w:w="1440" w:type="dxa"/>
          </w:tcPr>
          <w:p w14:paraId="19817468"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Dx of CHF, pulmonary edema</w:t>
            </w:r>
          </w:p>
        </w:tc>
        <w:tc>
          <w:tcPr>
            <w:tcW w:w="1260" w:type="dxa"/>
          </w:tcPr>
          <w:p w14:paraId="165B685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New Haven, Connecticut, USA</w:t>
            </w:r>
          </w:p>
        </w:tc>
        <w:tc>
          <w:tcPr>
            <w:tcW w:w="1170" w:type="dxa"/>
          </w:tcPr>
          <w:p w14:paraId="4BBD972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Portable thoracic ultrasound</w:t>
            </w:r>
          </w:p>
        </w:tc>
        <w:tc>
          <w:tcPr>
            <w:tcW w:w="4045" w:type="dxa"/>
          </w:tcPr>
          <w:p w14:paraId="435DC2E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lung ultrasound B-lines may aid in identifying or excluding CHF as a cause of dyspnea and has reasonably sensitive and specific for the diagnosis of CHF and pulmonary edema.</w:t>
            </w:r>
          </w:p>
        </w:tc>
      </w:tr>
      <w:tr w:rsidR="00042CB3" w:rsidRPr="003F26ED" w14:paraId="6338F003" w14:textId="77777777" w:rsidTr="00042CB3">
        <w:tc>
          <w:tcPr>
            <w:tcW w:w="1435" w:type="dxa"/>
          </w:tcPr>
          <w:p w14:paraId="6DB6893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Sabatino</w:t>
            </w:r>
          </w:p>
          <w:p w14:paraId="0EBB535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J Ultrasound</w:t>
            </w:r>
          </w:p>
          <w:p w14:paraId="4379A971" w14:textId="056A67DB"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2020 </w:t>
            </w:r>
            <w:r w:rsidR="001F6011">
              <w:rPr>
                <w:rFonts w:ascii="Times New Roman" w:hAnsi="Times New Roman"/>
                <w:sz w:val="18"/>
                <w:szCs w:val="18"/>
              </w:rPr>
              <w:t>[104]</w:t>
            </w:r>
          </w:p>
        </w:tc>
        <w:tc>
          <w:tcPr>
            <w:tcW w:w="1440" w:type="dxa"/>
          </w:tcPr>
          <w:p w14:paraId="2D6636A8"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Primary imaging modality</w:t>
            </w:r>
          </w:p>
        </w:tc>
        <w:tc>
          <w:tcPr>
            <w:tcW w:w="1260" w:type="dxa"/>
          </w:tcPr>
          <w:p w14:paraId="454BA65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Sierra Leone, Africa</w:t>
            </w:r>
          </w:p>
        </w:tc>
        <w:tc>
          <w:tcPr>
            <w:tcW w:w="1170" w:type="dxa"/>
          </w:tcPr>
          <w:p w14:paraId="023A4E1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 ultrasound</w:t>
            </w:r>
          </w:p>
        </w:tc>
        <w:tc>
          <w:tcPr>
            <w:tcW w:w="4045" w:type="dxa"/>
          </w:tcPr>
          <w:p w14:paraId="11D2E8C8" w14:textId="022C99F8"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 UTZ represents a powerful diagnostic tool in a low-income country to improve patient management. Training of nonphysician health providers is doable to improve healthcare in resource-limited settings.</w:t>
            </w:r>
          </w:p>
        </w:tc>
      </w:tr>
      <w:tr w:rsidR="00042CB3" w:rsidRPr="003F26ED" w14:paraId="28821566" w14:textId="77777777" w:rsidTr="00042CB3">
        <w:tc>
          <w:tcPr>
            <w:tcW w:w="1435" w:type="dxa"/>
          </w:tcPr>
          <w:p w14:paraId="1A5C8C2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Bobbia</w:t>
            </w:r>
          </w:p>
          <w:p w14:paraId="6B790DE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Anaesth Crit Care Pain Med</w:t>
            </w:r>
          </w:p>
          <w:p w14:paraId="1E16518C" w14:textId="67942A44"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2018 </w:t>
            </w:r>
            <w:r w:rsidR="001F6011">
              <w:rPr>
                <w:rFonts w:ascii="Times New Roman" w:hAnsi="Times New Roman"/>
                <w:sz w:val="18"/>
                <w:szCs w:val="18"/>
              </w:rPr>
              <w:t>[105]</w:t>
            </w:r>
          </w:p>
        </w:tc>
        <w:tc>
          <w:tcPr>
            <w:tcW w:w="1440" w:type="dxa"/>
          </w:tcPr>
          <w:p w14:paraId="5943356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Dx in EDs and mobile intensive care stations</w:t>
            </w:r>
          </w:p>
        </w:tc>
        <w:tc>
          <w:tcPr>
            <w:tcW w:w="1260" w:type="dxa"/>
          </w:tcPr>
          <w:p w14:paraId="0264D6E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Nimes, France</w:t>
            </w:r>
          </w:p>
        </w:tc>
        <w:tc>
          <w:tcPr>
            <w:tcW w:w="1170" w:type="dxa"/>
          </w:tcPr>
          <w:p w14:paraId="71957358"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Ultrasound</w:t>
            </w:r>
          </w:p>
        </w:tc>
        <w:tc>
          <w:tcPr>
            <w:tcW w:w="4045" w:type="dxa"/>
          </w:tcPr>
          <w:p w14:paraId="0D76FAD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Almost 75% of EDs and nearly 1/3 of mobile intensive care stations are equipped with at least one UTZ device. Physicians trained remains insufficient. UTZ was used at least three times a day in 41% of EDs and 19% of mobile stations.</w:t>
            </w:r>
          </w:p>
        </w:tc>
      </w:tr>
      <w:tr w:rsidR="00042CB3" w:rsidRPr="003F26ED" w14:paraId="5CB1C22F" w14:textId="77777777" w:rsidTr="00042CB3">
        <w:tc>
          <w:tcPr>
            <w:tcW w:w="1435" w:type="dxa"/>
          </w:tcPr>
          <w:p w14:paraId="217BB73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Chin</w:t>
            </w:r>
          </w:p>
          <w:p w14:paraId="22312FB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J Emer Med</w:t>
            </w:r>
          </w:p>
          <w:p w14:paraId="54008527" w14:textId="6AA3BE8B"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2013 </w:t>
            </w:r>
            <w:r w:rsidR="001F6011">
              <w:rPr>
                <w:rFonts w:ascii="Times New Roman" w:hAnsi="Times New Roman"/>
                <w:sz w:val="18"/>
                <w:szCs w:val="18"/>
              </w:rPr>
              <w:t>[106]</w:t>
            </w:r>
          </w:p>
        </w:tc>
        <w:tc>
          <w:tcPr>
            <w:tcW w:w="1440" w:type="dxa"/>
          </w:tcPr>
          <w:p w14:paraId="330104C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Field Dx using UTZ</w:t>
            </w:r>
          </w:p>
        </w:tc>
        <w:tc>
          <w:tcPr>
            <w:tcW w:w="1260" w:type="dxa"/>
          </w:tcPr>
          <w:p w14:paraId="4922324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Houston, Texas, USA</w:t>
            </w:r>
          </w:p>
        </w:tc>
        <w:tc>
          <w:tcPr>
            <w:tcW w:w="1170" w:type="dxa"/>
          </w:tcPr>
          <w:p w14:paraId="3FF050D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Ultrasound</w:t>
            </w:r>
          </w:p>
        </w:tc>
        <w:tc>
          <w:tcPr>
            <w:tcW w:w="4045" w:type="dxa"/>
          </w:tcPr>
          <w:p w14:paraId="01595F8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UTZ field diagnoses of pneumothorax, pericardial effusion, or cardiac standstill may directly impact patient resuscitation in the field.</w:t>
            </w:r>
          </w:p>
        </w:tc>
      </w:tr>
      <w:tr w:rsidR="00042CB3" w:rsidRPr="003F26ED" w14:paraId="2B5A029D" w14:textId="77777777" w:rsidTr="00042CB3">
        <w:tc>
          <w:tcPr>
            <w:tcW w:w="9350" w:type="dxa"/>
            <w:gridSpan w:val="5"/>
          </w:tcPr>
          <w:p w14:paraId="2A737B9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b/>
                <w:bCs/>
                <w:sz w:val="18"/>
                <w:szCs w:val="18"/>
              </w:rPr>
              <w:lastRenderedPageBreak/>
              <w:t>• Toxicology</w:t>
            </w:r>
          </w:p>
        </w:tc>
      </w:tr>
      <w:tr w:rsidR="00042CB3" w:rsidRPr="003F26ED" w14:paraId="3A8BB9C8" w14:textId="77777777" w:rsidTr="00042CB3">
        <w:tc>
          <w:tcPr>
            <w:tcW w:w="1435" w:type="dxa"/>
          </w:tcPr>
          <w:p w14:paraId="37230CF0" w14:textId="5BA317FE"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Advance Health Medical Cooperative</w:t>
            </w:r>
            <w:r w:rsidRPr="003F26ED">
              <w:rPr>
                <w:rFonts w:ascii="Times New Roman" w:hAnsi="Times New Roman"/>
                <w:sz w:val="18"/>
                <w:szCs w:val="18"/>
              </w:rPr>
              <w:br/>
              <w:t xml:space="preserve">2022 </w:t>
            </w:r>
            <w:r w:rsidR="001F6011">
              <w:rPr>
                <w:rFonts w:ascii="Times New Roman" w:hAnsi="Times New Roman"/>
                <w:sz w:val="18"/>
                <w:szCs w:val="18"/>
              </w:rPr>
              <w:t>[107]</w:t>
            </w:r>
          </w:p>
        </w:tc>
        <w:tc>
          <w:tcPr>
            <w:tcW w:w="1440" w:type="dxa"/>
          </w:tcPr>
          <w:p w14:paraId="56B42D1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Mobile van testing and medical examination</w:t>
            </w:r>
          </w:p>
        </w:tc>
        <w:tc>
          <w:tcPr>
            <w:tcW w:w="1260" w:type="dxa"/>
          </w:tcPr>
          <w:p w14:paraId="5933171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Cebu City, Visayas, Philippines</w:t>
            </w:r>
          </w:p>
        </w:tc>
        <w:tc>
          <w:tcPr>
            <w:tcW w:w="1170" w:type="dxa"/>
          </w:tcPr>
          <w:p w14:paraId="18097C4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Drug and chemistry tests</w:t>
            </w:r>
          </w:p>
        </w:tc>
        <w:tc>
          <w:tcPr>
            <w:tcW w:w="4045" w:type="dxa"/>
          </w:tcPr>
          <w:p w14:paraId="3EF0E4F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Provides mobile diagnostic clinic and testing services in the community for Cebu City and surrounding regions.</w:t>
            </w:r>
          </w:p>
        </w:tc>
      </w:tr>
      <w:tr w:rsidR="00042CB3" w:rsidRPr="003F26ED" w14:paraId="31FC4366" w14:textId="77777777" w:rsidTr="00042CB3">
        <w:tc>
          <w:tcPr>
            <w:tcW w:w="1435" w:type="dxa"/>
          </w:tcPr>
          <w:p w14:paraId="1D630B6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Soderqvist</w:t>
            </w:r>
          </w:p>
          <w:p w14:paraId="7BB8DE1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Point of Care</w:t>
            </w:r>
          </w:p>
          <w:p w14:paraId="7E2CB4E6" w14:textId="0FB03712"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2018 </w:t>
            </w:r>
            <w:r w:rsidR="001F6011">
              <w:rPr>
                <w:rFonts w:ascii="Times New Roman" w:hAnsi="Times New Roman"/>
                <w:sz w:val="18"/>
                <w:szCs w:val="18"/>
              </w:rPr>
              <w:t>[108]</w:t>
            </w:r>
          </w:p>
        </w:tc>
        <w:tc>
          <w:tcPr>
            <w:tcW w:w="1440" w:type="dxa"/>
          </w:tcPr>
          <w:p w14:paraId="1424E3B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drug testing for mobile ICU patients</w:t>
            </w:r>
          </w:p>
        </w:tc>
        <w:tc>
          <w:tcPr>
            <w:tcW w:w="1260" w:type="dxa"/>
          </w:tcPr>
          <w:p w14:paraId="6640258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Tampere, Finland</w:t>
            </w:r>
          </w:p>
        </w:tc>
        <w:tc>
          <w:tcPr>
            <w:tcW w:w="1170" w:type="dxa"/>
          </w:tcPr>
          <w:p w14:paraId="45EC0A7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Drugs of abuse</w:t>
            </w:r>
          </w:p>
        </w:tc>
        <w:tc>
          <w:tcPr>
            <w:tcW w:w="4045" w:type="dxa"/>
          </w:tcPr>
          <w:p w14:paraId="0B5AB5C7" w14:textId="77777777"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sz w:val="18"/>
                <w:szCs w:val="18"/>
              </w:rPr>
              <w:t>Oral fluid screening for illicit substances can be a valuable diagnostic tool in addition to the usual diagnostic methods in EMS patients with unconsciousness due to an unknown cause or intoxication.</w:t>
            </w:r>
          </w:p>
        </w:tc>
      </w:tr>
      <w:tr w:rsidR="00042CB3" w:rsidRPr="003F26ED" w14:paraId="18C1F179" w14:textId="77777777" w:rsidTr="00042CB3">
        <w:tc>
          <w:tcPr>
            <w:tcW w:w="9350" w:type="dxa"/>
            <w:gridSpan w:val="5"/>
          </w:tcPr>
          <w:p w14:paraId="35B26B0F" w14:textId="5E13BD5C" w:rsidR="00042CB3" w:rsidRPr="003F26ED" w:rsidRDefault="002E0D53" w:rsidP="00042CB3">
            <w:pPr>
              <w:pStyle w:val="NormalWeb"/>
              <w:spacing w:line="240" w:lineRule="auto"/>
              <w:jc w:val="left"/>
              <w:rPr>
                <w:rFonts w:ascii="Times New Roman" w:hAnsi="Times New Roman"/>
                <w:sz w:val="18"/>
                <w:szCs w:val="18"/>
              </w:rPr>
            </w:pPr>
            <w:r w:rsidRPr="003F26ED">
              <w:rPr>
                <w:rFonts w:ascii="Times New Roman" w:hAnsi="Times New Roman"/>
                <w:b/>
                <w:bCs/>
                <w:sz w:val="18"/>
                <w:szCs w:val="18"/>
              </w:rPr>
              <w:t>'</w:t>
            </w:r>
            <w:r w:rsidR="00042CB3" w:rsidRPr="003F26ED">
              <w:rPr>
                <w:rFonts w:ascii="Times New Roman" w:hAnsi="Times New Roman"/>
                <w:b/>
                <w:bCs/>
                <w:sz w:val="18"/>
                <w:szCs w:val="18"/>
              </w:rPr>
              <w:t>Part 3. Clinical Problems</w:t>
            </w:r>
          </w:p>
        </w:tc>
      </w:tr>
      <w:tr w:rsidR="002E0D53" w:rsidRPr="003F26ED" w14:paraId="559A2B1C" w14:textId="77777777" w:rsidTr="00042CB3">
        <w:tc>
          <w:tcPr>
            <w:tcW w:w="9350" w:type="dxa"/>
            <w:gridSpan w:val="5"/>
          </w:tcPr>
          <w:p w14:paraId="27F0A296" w14:textId="4C5E70A1" w:rsidR="002E0D53" w:rsidRPr="003F26ED" w:rsidRDefault="002E0D53" w:rsidP="00042CB3">
            <w:pPr>
              <w:pStyle w:val="NormalWeb"/>
              <w:spacing w:line="240" w:lineRule="auto"/>
              <w:jc w:val="left"/>
              <w:rPr>
                <w:rFonts w:ascii="Times New Roman" w:hAnsi="Times New Roman"/>
                <w:b/>
                <w:bCs/>
                <w:sz w:val="18"/>
                <w:szCs w:val="18"/>
              </w:rPr>
            </w:pPr>
            <w:r w:rsidRPr="003F26ED">
              <w:rPr>
                <w:rFonts w:ascii="Times New Roman" w:hAnsi="Times New Roman"/>
                <w:b/>
                <w:bCs/>
                <w:sz w:val="18"/>
                <w:szCs w:val="18"/>
              </w:rPr>
              <w:t>• Antiplatelet Therapy</w:t>
            </w:r>
          </w:p>
        </w:tc>
      </w:tr>
      <w:tr w:rsidR="002E0D53" w:rsidRPr="003F26ED" w14:paraId="6CBD12B5" w14:textId="77777777" w:rsidTr="002D6FC8">
        <w:tc>
          <w:tcPr>
            <w:tcW w:w="1435" w:type="dxa"/>
          </w:tcPr>
          <w:p w14:paraId="4E0EC7CC" w14:textId="77777777" w:rsidR="002E0D53" w:rsidRPr="003F26ED" w:rsidRDefault="002E0D53" w:rsidP="002E0D53">
            <w:pPr>
              <w:spacing w:line="240" w:lineRule="auto"/>
              <w:jc w:val="left"/>
              <w:rPr>
                <w:rFonts w:ascii="Times New Roman" w:hAnsi="Times New Roman"/>
                <w:sz w:val="18"/>
                <w:szCs w:val="18"/>
              </w:rPr>
            </w:pPr>
            <w:r w:rsidRPr="003F26ED">
              <w:rPr>
                <w:rFonts w:ascii="Times New Roman" w:hAnsi="Times New Roman"/>
                <w:sz w:val="18"/>
                <w:szCs w:val="18"/>
              </w:rPr>
              <w:t>Levens</w:t>
            </w:r>
          </w:p>
          <w:p w14:paraId="1A18EF9E" w14:textId="77777777" w:rsidR="002E0D53" w:rsidRPr="003F26ED" w:rsidRDefault="002E0D53" w:rsidP="002E0D53">
            <w:pPr>
              <w:spacing w:line="240" w:lineRule="auto"/>
              <w:jc w:val="left"/>
              <w:rPr>
                <w:rFonts w:ascii="Times New Roman" w:hAnsi="Times New Roman"/>
                <w:sz w:val="18"/>
                <w:szCs w:val="18"/>
              </w:rPr>
            </w:pPr>
            <w:r w:rsidRPr="003F26ED">
              <w:rPr>
                <w:rFonts w:ascii="Times New Roman" w:hAnsi="Times New Roman"/>
                <w:sz w:val="18"/>
                <w:szCs w:val="18"/>
              </w:rPr>
              <w:t>Genes</w:t>
            </w:r>
          </w:p>
          <w:p w14:paraId="78012BDB" w14:textId="690A092E" w:rsidR="002E0D53" w:rsidRPr="003F26ED" w:rsidRDefault="002E0D53" w:rsidP="002E0D53">
            <w:pPr>
              <w:spacing w:line="240" w:lineRule="auto"/>
              <w:jc w:val="left"/>
              <w:rPr>
                <w:rFonts w:ascii="Times New Roman" w:hAnsi="Times New Roman"/>
                <w:sz w:val="18"/>
                <w:szCs w:val="18"/>
              </w:rPr>
            </w:pPr>
            <w:r w:rsidRPr="003F26ED">
              <w:rPr>
                <w:rFonts w:ascii="Times New Roman" w:hAnsi="Times New Roman"/>
                <w:sz w:val="18"/>
                <w:szCs w:val="18"/>
              </w:rPr>
              <w:t xml:space="preserve">2023 </w:t>
            </w:r>
            <w:r w:rsidR="001F6011">
              <w:rPr>
                <w:rFonts w:ascii="Times New Roman" w:hAnsi="Times New Roman"/>
                <w:sz w:val="18"/>
                <w:szCs w:val="18"/>
              </w:rPr>
              <w:t>[109]</w:t>
            </w:r>
          </w:p>
        </w:tc>
        <w:tc>
          <w:tcPr>
            <w:tcW w:w="1440" w:type="dxa"/>
          </w:tcPr>
          <w:p w14:paraId="5FFC5FAD" w14:textId="10BCC33D" w:rsidR="002E0D53" w:rsidRPr="003F26ED" w:rsidRDefault="002E0D53" w:rsidP="002E0D53">
            <w:pPr>
              <w:spacing w:line="240" w:lineRule="auto"/>
              <w:jc w:val="left"/>
              <w:rPr>
                <w:rFonts w:ascii="Times New Roman" w:hAnsi="Times New Roman"/>
                <w:sz w:val="18"/>
                <w:szCs w:val="18"/>
              </w:rPr>
            </w:pPr>
            <w:r w:rsidRPr="003F26ED">
              <w:rPr>
                <w:rFonts w:ascii="Times New Roman" w:hAnsi="Times New Roman"/>
                <w:sz w:val="18"/>
                <w:szCs w:val="18"/>
              </w:rPr>
              <w:t>Community pharmacies antiplatelet therapy</w:t>
            </w:r>
          </w:p>
        </w:tc>
        <w:tc>
          <w:tcPr>
            <w:tcW w:w="1260" w:type="dxa"/>
          </w:tcPr>
          <w:p w14:paraId="6FEF5812" w14:textId="71D7B747" w:rsidR="002E0D53" w:rsidRPr="003F26ED" w:rsidRDefault="002E0D53" w:rsidP="002E0D53">
            <w:pPr>
              <w:spacing w:line="240" w:lineRule="auto"/>
              <w:jc w:val="left"/>
              <w:rPr>
                <w:rFonts w:ascii="Times New Roman" w:hAnsi="Times New Roman"/>
                <w:sz w:val="18"/>
                <w:szCs w:val="18"/>
              </w:rPr>
            </w:pPr>
            <w:r w:rsidRPr="003F26ED">
              <w:rPr>
                <w:rFonts w:ascii="Times New Roman" w:hAnsi="Times New Roman"/>
                <w:sz w:val="18"/>
                <w:szCs w:val="18"/>
              </w:rPr>
              <w:t>Netherlands</w:t>
            </w:r>
          </w:p>
        </w:tc>
        <w:tc>
          <w:tcPr>
            <w:tcW w:w="1170" w:type="dxa"/>
          </w:tcPr>
          <w:p w14:paraId="4C129DC7" w14:textId="2791D1A7" w:rsidR="002E0D53" w:rsidRPr="003F26ED" w:rsidRDefault="002E0D53" w:rsidP="002E0D53">
            <w:pPr>
              <w:spacing w:line="240" w:lineRule="auto"/>
              <w:jc w:val="left"/>
              <w:rPr>
                <w:rFonts w:ascii="Times New Roman" w:hAnsi="Times New Roman"/>
                <w:sz w:val="18"/>
                <w:szCs w:val="18"/>
              </w:rPr>
            </w:pPr>
            <w:r w:rsidRPr="003F26ED">
              <w:rPr>
                <w:rFonts w:ascii="Times New Roman" w:hAnsi="Times New Roman"/>
                <w:sz w:val="18"/>
                <w:szCs w:val="18"/>
              </w:rPr>
              <w:t>CYP2C19 pharmaco-genetic testing</w:t>
            </w:r>
          </w:p>
        </w:tc>
        <w:tc>
          <w:tcPr>
            <w:tcW w:w="4045" w:type="dxa"/>
          </w:tcPr>
          <w:p w14:paraId="013BC339" w14:textId="75404FA8" w:rsidR="002E0D53" w:rsidRPr="003F26ED" w:rsidRDefault="002E0D53" w:rsidP="002E0D53">
            <w:pPr>
              <w:pStyle w:val="NormalWeb"/>
              <w:spacing w:line="240" w:lineRule="auto"/>
              <w:jc w:val="left"/>
              <w:rPr>
                <w:rFonts w:ascii="Times New Roman" w:hAnsi="Times New Roman"/>
                <w:sz w:val="18"/>
                <w:szCs w:val="18"/>
              </w:rPr>
            </w:pPr>
            <w:r w:rsidRPr="003F26ED">
              <w:rPr>
                <w:rFonts w:ascii="Times New Roman" w:hAnsi="Times New Roman"/>
                <w:sz w:val="18"/>
                <w:szCs w:val="18"/>
              </w:rPr>
              <w:t>POC CYP2C19-guided de-escalation of prasugrel/ticagrelor to clopidogrel appears feasible in a community pharmacy setting.</w:t>
            </w:r>
          </w:p>
        </w:tc>
      </w:tr>
      <w:tr w:rsidR="00042CB3" w:rsidRPr="003F26ED" w14:paraId="789D7CEC" w14:textId="77777777" w:rsidTr="00042CB3">
        <w:tc>
          <w:tcPr>
            <w:tcW w:w="9350" w:type="dxa"/>
            <w:gridSpan w:val="5"/>
          </w:tcPr>
          <w:p w14:paraId="63596C52" w14:textId="77777777" w:rsidR="00042CB3" w:rsidRPr="003F26ED" w:rsidRDefault="00042CB3" w:rsidP="00042CB3">
            <w:pPr>
              <w:spacing w:line="240" w:lineRule="auto"/>
              <w:jc w:val="left"/>
              <w:rPr>
                <w:rFonts w:ascii="Times New Roman" w:hAnsi="Times New Roman"/>
                <w:b/>
                <w:bCs/>
                <w:sz w:val="18"/>
                <w:szCs w:val="18"/>
              </w:rPr>
            </w:pPr>
            <w:r w:rsidRPr="003F26ED">
              <w:rPr>
                <w:rFonts w:ascii="Times New Roman" w:hAnsi="Times New Roman"/>
                <w:b/>
                <w:bCs/>
                <w:sz w:val="18"/>
                <w:szCs w:val="18"/>
              </w:rPr>
              <w:t xml:space="preserve">• Infectious Diseases </w:t>
            </w:r>
            <w:r w:rsidRPr="003F26ED">
              <w:rPr>
                <w:rFonts w:ascii="Times New Roman" w:hAnsi="Times New Roman"/>
                <w:sz w:val="18"/>
                <w:szCs w:val="18"/>
              </w:rPr>
              <w:t xml:space="preserve">[See </w:t>
            </w:r>
            <w:r w:rsidRPr="003F26ED">
              <w:rPr>
                <w:rFonts w:ascii="Times New Roman" w:hAnsi="Times New Roman"/>
                <w:b/>
                <w:bCs/>
                <w:sz w:val="18"/>
                <w:szCs w:val="18"/>
              </w:rPr>
              <w:t>Part 1</w:t>
            </w:r>
            <w:r w:rsidRPr="003F26ED">
              <w:rPr>
                <w:rFonts w:ascii="Times New Roman" w:hAnsi="Times New Roman"/>
                <w:sz w:val="18"/>
                <w:szCs w:val="18"/>
              </w:rPr>
              <w:t xml:space="preserve"> for COVID-19 strategies]</w:t>
            </w:r>
          </w:p>
        </w:tc>
      </w:tr>
      <w:tr w:rsidR="009F43E6" w:rsidRPr="003F26ED" w14:paraId="56F3F275" w14:textId="77777777" w:rsidTr="002D6FC8">
        <w:tc>
          <w:tcPr>
            <w:tcW w:w="1435" w:type="dxa"/>
          </w:tcPr>
          <w:p w14:paraId="199C16AC" w14:textId="77777777" w:rsidR="009F43E6" w:rsidRPr="003F26ED" w:rsidRDefault="009F43E6" w:rsidP="003161DB">
            <w:pPr>
              <w:spacing w:line="240" w:lineRule="auto"/>
              <w:jc w:val="left"/>
              <w:rPr>
                <w:rFonts w:ascii="Times New Roman" w:hAnsi="Times New Roman"/>
                <w:sz w:val="18"/>
                <w:szCs w:val="18"/>
              </w:rPr>
            </w:pPr>
            <w:r w:rsidRPr="003F26ED">
              <w:rPr>
                <w:rFonts w:ascii="Times New Roman" w:hAnsi="Times New Roman"/>
                <w:sz w:val="18"/>
                <w:szCs w:val="18"/>
              </w:rPr>
              <w:t>Do Nitt</w:t>
            </w:r>
          </w:p>
          <w:p w14:paraId="48188F2F" w14:textId="1DC1252B" w:rsidR="009F43E6" w:rsidRPr="003F26ED" w:rsidRDefault="009F43E6" w:rsidP="003161DB">
            <w:pPr>
              <w:spacing w:line="240" w:lineRule="auto"/>
              <w:jc w:val="left"/>
              <w:rPr>
                <w:rFonts w:ascii="Times New Roman" w:hAnsi="Times New Roman"/>
                <w:sz w:val="18"/>
                <w:szCs w:val="18"/>
              </w:rPr>
            </w:pPr>
            <w:r w:rsidRPr="003F26ED">
              <w:rPr>
                <w:rFonts w:ascii="Times New Roman" w:hAnsi="Times New Roman"/>
                <w:sz w:val="18"/>
                <w:szCs w:val="18"/>
              </w:rPr>
              <w:t>Lancet InfectDis</w:t>
            </w:r>
          </w:p>
          <w:p w14:paraId="781F6A5A" w14:textId="36F582A0" w:rsidR="009F43E6" w:rsidRPr="003F26ED" w:rsidRDefault="009F43E6" w:rsidP="003161DB">
            <w:pPr>
              <w:spacing w:line="240" w:lineRule="auto"/>
              <w:jc w:val="left"/>
              <w:rPr>
                <w:rFonts w:ascii="Times New Roman" w:hAnsi="Times New Roman"/>
                <w:sz w:val="18"/>
                <w:szCs w:val="18"/>
              </w:rPr>
            </w:pPr>
            <w:r w:rsidRPr="003F26ED">
              <w:rPr>
                <w:rFonts w:ascii="Times New Roman" w:hAnsi="Times New Roman"/>
                <w:sz w:val="18"/>
                <w:szCs w:val="18"/>
              </w:rPr>
              <w:t xml:space="preserve">2023 </w:t>
            </w:r>
            <w:r w:rsidR="001F6011">
              <w:rPr>
                <w:rFonts w:ascii="Times New Roman" w:hAnsi="Times New Roman"/>
                <w:sz w:val="18"/>
                <w:szCs w:val="18"/>
              </w:rPr>
              <w:t>[110]</w:t>
            </w:r>
          </w:p>
        </w:tc>
        <w:tc>
          <w:tcPr>
            <w:tcW w:w="1440" w:type="dxa"/>
          </w:tcPr>
          <w:p w14:paraId="68400497" w14:textId="454D7F11" w:rsidR="009F43E6" w:rsidRPr="003F26ED" w:rsidRDefault="003161DB" w:rsidP="003161DB">
            <w:pPr>
              <w:spacing w:line="240" w:lineRule="auto"/>
              <w:jc w:val="left"/>
              <w:rPr>
                <w:rFonts w:ascii="Times New Roman" w:hAnsi="Times New Roman"/>
                <w:sz w:val="18"/>
                <w:szCs w:val="18"/>
              </w:rPr>
            </w:pPr>
            <w:r w:rsidRPr="003F26ED">
              <w:rPr>
                <w:rFonts w:ascii="Times New Roman" w:hAnsi="Times New Roman"/>
                <w:sz w:val="18"/>
                <w:szCs w:val="18"/>
              </w:rPr>
              <w:t>POCT in c</w:t>
            </w:r>
            <w:r w:rsidR="009F43E6" w:rsidRPr="003F26ED">
              <w:rPr>
                <w:rFonts w:ascii="Times New Roman" w:hAnsi="Times New Roman"/>
                <w:sz w:val="18"/>
                <w:szCs w:val="18"/>
              </w:rPr>
              <w:t xml:space="preserve">ommune health centers </w:t>
            </w:r>
          </w:p>
        </w:tc>
        <w:tc>
          <w:tcPr>
            <w:tcW w:w="1260" w:type="dxa"/>
          </w:tcPr>
          <w:p w14:paraId="7AFD0578" w14:textId="05D13C41" w:rsidR="009F43E6" w:rsidRPr="003F26ED" w:rsidRDefault="009F43E6" w:rsidP="003161DB">
            <w:pPr>
              <w:spacing w:line="240" w:lineRule="auto"/>
              <w:jc w:val="left"/>
              <w:rPr>
                <w:rFonts w:ascii="Times New Roman" w:hAnsi="Times New Roman"/>
                <w:sz w:val="18"/>
                <w:szCs w:val="18"/>
              </w:rPr>
            </w:pPr>
            <w:r w:rsidRPr="003F26ED">
              <w:rPr>
                <w:rFonts w:ascii="Times New Roman" w:hAnsi="Times New Roman"/>
                <w:sz w:val="18"/>
                <w:szCs w:val="18"/>
              </w:rPr>
              <w:t>Vietnam</w:t>
            </w:r>
          </w:p>
        </w:tc>
        <w:tc>
          <w:tcPr>
            <w:tcW w:w="1170" w:type="dxa"/>
          </w:tcPr>
          <w:p w14:paraId="57C7CD05" w14:textId="22FE3B43" w:rsidR="009F43E6" w:rsidRPr="003F26ED" w:rsidRDefault="003161DB" w:rsidP="003161DB">
            <w:pPr>
              <w:spacing w:line="240" w:lineRule="auto"/>
              <w:jc w:val="left"/>
              <w:rPr>
                <w:rFonts w:ascii="Times New Roman" w:hAnsi="Times New Roman"/>
                <w:sz w:val="18"/>
                <w:szCs w:val="18"/>
              </w:rPr>
            </w:pPr>
            <w:r w:rsidRPr="003F26ED">
              <w:rPr>
                <w:rFonts w:ascii="Times New Roman" w:hAnsi="Times New Roman"/>
                <w:sz w:val="18"/>
                <w:szCs w:val="18"/>
              </w:rPr>
              <w:t>CRP testing in acute respiratory infections</w:t>
            </w:r>
          </w:p>
        </w:tc>
        <w:tc>
          <w:tcPr>
            <w:tcW w:w="4045" w:type="dxa"/>
          </w:tcPr>
          <w:p w14:paraId="32E8D718" w14:textId="2DC36D7F" w:rsidR="003161DB" w:rsidRPr="003F26ED" w:rsidRDefault="003161DB" w:rsidP="003161DB">
            <w:pPr>
              <w:spacing w:line="240" w:lineRule="auto"/>
              <w:jc w:val="left"/>
              <w:rPr>
                <w:rFonts w:ascii="Times New Roman" w:hAnsi="Times New Roman"/>
                <w:sz w:val="18"/>
                <w:szCs w:val="18"/>
                <w:lang w:bidi="en-US"/>
              </w:rPr>
            </w:pPr>
            <w:r w:rsidRPr="003F26ED">
              <w:rPr>
                <w:rFonts w:ascii="Times New Roman" w:hAnsi="Times New Roman"/>
                <w:sz w:val="18"/>
                <w:szCs w:val="18"/>
                <w:lang w:bidi="en-US"/>
              </w:rPr>
              <w:t xml:space="preserve">POC CRP testing efficaciously reduced </w:t>
            </w:r>
          </w:p>
          <w:p w14:paraId="27111F8C" w14:textId="041B5F18" w:rsidR="009F43E6" w:rsidRPr="003F26ED" w:rsidRDefault="003161DB" w:rsidP="003161DB">
            <w:pPr>
              <w:spacing w:line="240" w:lineRule="auto"/>
              <w:rPr>
                <w:rFonts w:ascii="Times New Roman" w:hAnsi="Times New Roman"/>
                <w:sz w:val="18"/>
                <w:szCs w:val="18"/>
                <w:lang w:bidi="en-US"/>
              </w:rPr>
            </w:pPr>
            <w:r w:rsidRPr="003F26ED">
              <w:rPr>
                <w:rFonts w:ascii="Times New Roman" w:hAnsi="Times New Roman"/>
                <w:sz w:val="18"/>
                <w:szCs w:val="18"/>
                <w:lang w:bidi="en-US"/>
              </w:rPr>
              <w:t>prescription of antibiotics in patients with nonsevere acute respiratory infections without compromising patient recovery.</w:t>
            </w:r>
          </w:p>
        </w:tc>
      </w:tr>
      <w:tr w:rsidR="009F43E6" w:rsidRPr="003F26ED" w14:paraId="06CBCCC6" w14:textId="77777777" w:rsidTr="002D6FC8">
        <w:tc>
          <w:tcPr>
            <w:tcW w:w="1435" w:type="dxa"/>
          </w:tcPr>
          <w:p w14:paraId="4E60EC9D" w14:textId="77777777" w:rsidR="009F43E6" w:rsidRPr="003F26ED" w:rsidRDefault="009F43E6" w:rsidP="009F43E6">
            <w:pPr>
              <w:spacing w:line="240" w:lineRule="auto"/>
              <w:jc w:val="left"/>
              <w:rPr>
                <w:rFonts w:ascii="Times New Roman" w:hAnsi="Times New Roman"/>
                <w:sz w:val="18"/>
                <w:szCs w:val="18"/>
              </w:rPr>
            </w:pPr>
            <w:r w:rsidRPr="003F26ED">
              <w:rPr>
                <w:rFonts w:ascii="Times New Roman" w:hAnsi="Times New Roman"/>
                <w:sz w:val="18"/>
                <w:szCs w:val="18"/>
              </w:rPr>
              <w:t>Mital</w:t>
            </w:r>
          </w:p>
          <w:p w14:paraId="1B54BE03" w14:textId="40CE88BF" w:rsidR="009F43E6" w:rsidRPr="003F26ED" w:rsidRDefault="009F43E6" w:rsidP="009F43E6">
            <w:pPr>
              <w:spacing w:line="240" w:lineRule="auto"/>
              <w:jc w:val="left"/>
              <w:rPr>
                <w:rFonts w:ascii="Times New Roman" w:hAnsi="Times New Roman"/>
                <w:sz w:val="18"/>
                <w:szCs w:val="18"/>
              </w:rPr>
            </w:pPr>
            <w:r w:rsidRPr="003F26ED">
              <w:rPr>
                <w:rFonts w:ascii="Times New Roman" w:hAnsi="Times New Roman"/>
                <w:sz w:val="18"/>
                <w:szCs w:val="18"/>
              </w:rPr>
              <w:t>AIDS</w:t>
            </w:r>
          </w:p>
          <w:p w14:paraId="2D8B7D5A" w14:textId="649485A8" w:rsidR="009F43E6" w:rsidRPr="003F26ED" w:rsidRDefault="009F43E6" w:rsidP="009F43E6">
            <w:pPr>
              <w:spacing w:line="240" w:lineRule="auto"/>
              <w:jc w:val="left"/>
              <w:rPr>
                <w:rFonts w:ascii="Times New Roman" w:hAnsi="Times New Roman"/>
                <w:sz w:val="18"/>
                <w:szCs w:val="18"/>
              </w:rPr>
            </w:pPr>
            <w:r w:rsidRPr="003F26ED">
              <w:rPr>
                <w:rFonts w:ascii="Times New Roman" w:hAnsi="Times New Roman"/>
                <w:sz w:val="18"/>
                <w:szCs w:val="18"/>
              </w:rPr>
              <w:t xml:space="preserve">2023 </w:t>
            </w:r>
            <w:r w:rsidR="001F6011">
              <w:rPr>
                <w:rFonts w:ascii="Times New Roman" w:hAnsi="Times New Roman"/>
                <w:sz w:val="18"/>
                <w:szCs w:val="18"/>
              </w:rPr>
              <w:t>[111]</w:t>
            </w:r>
          </w:p>
        </w:tc>
        <w:tc>
          <w:tcPr>
            <w:tcW w:w="1440" w:type="dxa"/>
          </w:tcPr>
          <w:p w14:paraId="5B54A4B6" w14:textId="7637B90D" w:rsidR="009F43E6" w:rsidRPr="003F26ED" w:rsidRDefault="009F43E6" w:rsidP="009F43E6">
            <w:pPr>
              <w:spacing w:line="240" w:lineRule="auto"/>
              <w:jc w:val="left"/>
              <w:rPr>
                <w:rFonts w:ascii="Times New Roman" w:hAnsi="Times New Roman"/>
                <w:sz w:val="18"/>
                <w:szCs w:val="18"/>
              </w:rPr>
            </w:pPr>
            <w:r w:rsidRPr="003F26ED">
              <w:rPr>
                <w:rFonts w:ascii="Times New Roman" w:hAnsi="Times New Roman"/>
                <w:sz w:val="18"/>
                <w:szCs w:val="18"/>
              </w:rPr>
              <w:t>POCT in pharmacies, self-testing, and lab testing</w:t>
            </w:r>
          </w:p>
        </w:tc>
        <w:tc>
          <w:tcPr>
            <w:tcW w:w="1260" w:type="dxa"/>
          </w:tcPr>
          <w:p w14:paraId="593FC1BE" w14:textId="4D817272" w:rsidR="009F43E6" w:rsidRPr="003F26ED" w:rsidRDefault="0051009E" w:rsidP="009F43E6">
            <w:pPr>
              <w:spacing w:line="240" w:lineRule="auto"/>
              <w:jc w:val="left"/>
              <w:rPr>
                <w:rFonts w:ascii="Times New Roman" w:hAnsi="Times New Roman"/>
                <w:sz w:val="18"/>
                <w:szCs w:val="18"/>
              </w:rPr>
            </w:pPr>
            <w:r w:rsidRPr="003F26ED">
              <w:rPr>
                <w:rFonts w:ascii="Times New Roman" w:hAnsi="Times New Roman"/>
                <w:sz w:val="18"/>
                <w:szCs w:val="18"/>
              </w:rPr>
              <w:t>Multicenter,</w:t>
            </w:r>
            <w:r w:rsidR="009F43E6" w:rsidRPr="003F26ED">
              <w:rPr>
                <w:rFonts w:ascii="Times New Roman" w:hAnsi="Times New Roman"/>
                <w:sz w:val="18"/>
                <w:szCs w:val="18"/>
              </w:rPr>
              <w:t xml:space="preserve"> Canad</w:t>
            </w:r>
            <w:r w:rsidRPr="003F26ED">
              <w:rPr>
                <w:rFonts w:ascii="Times New Roman" w:hAnsi="Times New Roman"/>
                <w:sz w:val="18"/>
                <w:szCs w:val="18"/>
              </w:rPr>
              <w:t>ian Provinces</w:t>
            </w:r>
          </w:p>
        </w:tc>
        <w:tc>
          <w:tcPr>
            <w:tcW w:w="1170" w:type="dxa"/>
          </w:tcPr>
          <w:p w14:paraId="7DF877E0" w14:textId="19E6A9F9" w:rsidR="009F43E6" w:rsidRPr="003F26ED" w:rsidRDefault="009F43E6" w:rsidP="009F43E6">
            <w:pPr>
              <w:spacing w:line="240" w:lineRule="auto"/>
              <w:jc w:val="left"/>
              <w:rPr>
                <w:rFonts w:ascii="Times New Roman" w:hAnsi="Times New Roman"/>
                <w:sz w:val="18"/>
                <w:szCs w:val="18"/>
              </w:rPr>
            </w:pPr>
            <w:r w:rsidRPr="003F26ED">
              <w:rPr>
                <w:rFonts w:ascii="Times New Roman" w:hAnsi="Times New Roman"/>
                <w:sz w:val="18"/>
                <w:szCs w:val="18"/>
              </w:rPr>
              <w:t>HIV</w:t>
            </w:r>
          </w:p>
        </w:tc>
        <w:tc>
          <w:tcPr>
            <w:tcW w:w="4045" w:type="dxa"/>
          </w:tcPr>
          <w:p w14:paraId="763992AF" w14:textId="7A1D1CEE" w:rsidR="009F43E6" w:rsidRPr="003F26ED" w:rsidRDefault="009F43E6" w:rsidP="009F43E6">
            <w:pPr>
              <w:pStyle w:val="NormalWeb"/>
              <w:spacing w:line="240" w:lineRule="auto"/>
              <w:rPr>
                <w:rFonts w:ascii="Times New Roman" w:hAnsi="Times New Roman"/>
                <w:sz w:val="18"/>
                <w:szCs w:val="18"/>
              </w:rPr>
            </w:pPr>
            <w:r w:rsidRPr="003F26ED">
              <w:rPr>
                <w:rFonts w:ascii="Times New Roman" w:hAnsi="Times New Roman"/>
                <w:sz w:val="18"/>
                <w:szCs w:val="18"/>
              </w:rPr>
              <w:t xml:space="preserve">POCT at community pharmacies can generate substantial cost savings and improve health outcomes compared with standard lab testing. It would </w:t>
            </w:r>
          </w:p>
          <w:p w14:paraId="401BD51F" w14:textId="49EBC79A" w:rsidR="009F43E6" w:rsidRPr="003F26ED" w:rsidRDefault="009F43E6" w:rsidP="009F43E6">
            <w:pPr>
              <w:pStyle w:val="NormalWeb"/>
              <w:spacing w:line="240" w:lineRule="auto"/>
              <w:jc w:val="left"/>
              <w:rPr>
                <w:rFonts w:ascii="Times New Roman" w:hAnsi="Times New Roman"/>
                <w:sz w:val="18"/>
                <w:szCs w:val="18"/>
              </w:rPr>
            </w:pPr>
            <w:r w:rsidRPr="003F26ED">
              <w:rPr>
                <w:rFonts w:ascii="Times New Roman" w:hAnsi="Times New Roman"/>
                <w:sz w:val="18"/>
                <w:szCs w:val="18"/>
              </w:rPr>
              <w:t>also be cost-effective vs. HIV self-testing.</w:t>
            </w:r>
          </w:p>
        </w:tc>
      </w:tr>
      <w:tr w:rsidR="003161DB" w:rsidRPr="003F26ED" w14:paraId="4EC1BC57" w14:textId="77777777" w:rsidTr="002D6FC8">
        <w:tc>
          <w:tcPr>
            <w:tcW w:w="1435" w:type="dxa"/>
          </w:tcPr>
          <w:p w14:paraId="0F81E5AA" w14:textId="77777777" w:rsidR="003161DB" w:rsidRPr="003F26ED" w:rsidRDefault="003161DB" w:rsidP="003161DB">
            <w:pPr>
              <w:spacing w:line="240" w:lineRule="auto"/>
              <w:jc w:val="left"/>
              <w:rPr>
                <w:rFonts w:ascii="Times New Roman" w:hAnsi="Times New Roman"/>
                <w:sz w:val="18"/>
                <w:szCs w:val="18"/>
              </w:rPr>
            </w:pPr>
            <w:r w:rsidRPr="003F26ED">
              <w:rPr>
                <w:rFonts w:ascii="Times New Roman" w:hAnsi="Times New Roman"/>
                <w:sz w:val="18"/>
                <w:szCs w:val="18"/>
              </w:rPr>
              <w:t>Sheehan</w:t>
            </w:r>
          </w:p>
          <w:p w14:paraId="18641DFC" w14:textId="77777777" w:rsidR="003161DB" w:rsidRPr="003F26ED" w:rsidRDefault="003161DB" w:rsidP="003161DB">
            <w:pPr>
              <w:spacing w:line="240" w:lineRule="auto"/>
              <w:jc w:val="left"/>
              <w:rPr>
                <w:rFonts w:ascii="Times New Roman" w:hAnsi="Times New Roman"/>
                <w:sz w:val="18"/>
                <w:szCs w:val="18"/>
              </w:rPr>
            </w:pPr>
            <w:r w:rsidRPr="003F26ED">
              <w:rPr>
                <w:rFonts w:ascii="Times New Roman" w:hAnsi="Times New Roman"/>
                <w:sz w:val="18"/>
                <w:szCs w:val="18"/>
              </w:rPr>
              <w:t>J Hepatol</w:t>
            </w:r>
          </w:p>
          <w:p w14:paraId="68F8D025" w14:textId="74CFD7ED" w:rsidR="003161DB" w:rsidRPr="003F26ED" w:rsidRDefault="003161DB" w:rsidP="003161DB">
            <w:pPr>
              <w:spacing w:line="240" w:lineRule="auto"/>
              <w:jc w:val="left"/>
              <w:rPr>
                <w:rFonts w:ascii="Times New Roman" w:hAnsi="Times New Roman"/>
                <w:sz w:val="18"/>
                <w:szCs w:val="18"/>
              </w:rPr>
            </w:pPr>
            <w:r w:rsidRPr="003F26ED">
              <w:rPr>
                <w:rFonts w:ascii="Times New Roman" w:hAnsi="Times New Roman"/>
                <w:sz w:val="18"/>
                <w:szCs w:val="18"/>
              </w:rPr>
              <w:t xml:space="preserve">2023 </w:t>
            </w:r>
            <w:r w:rsidR="001F6011">
              <w:rPr>
                <w:rFonts w:ascii="Times New Roman" w:hAnsi="Times New Roman"/>
                <w:sz w:val="18"/>
                <w:szCs w:val="18"/>
              </w:rPr>
              <w:t>[112]</w:t>
            </w:r>
          </w:p>
        </w:tc>
        <w:tc>
          <w:tcPr>
            <w:tcW w:w="1440" w:type="dxa"/>
          </w:tcPr>
          <w:p w14:paraId="2C5601DF" w14:textId="258D0609" w:rsidR="003161DB" w:rsidRPr="003F26ED" w:rsidRDefault="003161DB" w:rsidP="003161DB">
            <w:pPr>
              <w:spacing w:line="240" w:lineRule="auto"/>
              <w:jc w:val="left"/>
              <w:rPr>
                <w:rFonts w:ascii="Times New Roman" w:hAnsi="Times New Roman"/>
                <w:sz w:val="18"/>
                <w:szCs w:val="18"/>
              </w:rPr>
            </w:pPr>
            <w:r w:rsidRPr="003F26ED">
              <w:rPr>
                <w:rFonts w:ascii="Times New Roman" w:hAnsi="Times New Roman"/>
                <w:sz w:val="18"/>
                <w:szCs w:val="18"/>
              </w:rPr>
              <w:t>Inmates in prisons</w:t>
            </w:r>
          </w:p>
        </w:tc>
        <w:tc>
          <w:tcPr>
            <w:tcW w:w="1260" w:type="dxa"/>
          </w:tcPr>
          <w:p w14:paraId="7A928719" w14:textId="699724A1" w:rsidR="003161DB" w:rsidRPr="003F26ED" w:rsidRDefault="003161DB" w:rsidP="003161DB">
            <w:pPr>
              <w:spacing w:line="240" w:lineRule="auto"/>
              <w:jc w:val="left"/>
              <w:rPr>
                <w:rFonts w:ascii="Times New Roman" w:hAnsi="Times New Roman"/>
                <w:sz w:val="18"/>
                <w:szCs w:val="18"/>
              </w:rPr>
            </w:pPr>
            <w:r w:rsidRPr="003F26ED">
              <w:rPr>
                <w:rFonts w:ascii="Times New Roman" w:hAnsi="Times New Roman"/>
                <w:sz w:val="18"/>
                <w:szCs w:val="18"/>
              </w:rPr>
              <w:t>Australia</w:t>
            </w:r>
          </w:p>
        </w:tc>
        <w:tc>
          <w:tcPr>
            <w:tcW w:w="1170" w:type="dxa"/>
          </w:tcPr>
          <w:p w14:paraId="6255C809" w14:textId="24B9725E" w:rsidR="003161DB" w:rsidRPr="003F26ED" w:rsidRDefault="003161DB" w:rsidP="003161DB">
            <w:pPr>
              <w:spacing w:line="240" w:lineRule="auto"/>
              <w:jc w:val="left"/>
              <w:rPr>
                <w:rFonts w:ascii="Times New Roman" w:hAnsi="Times New Roman"/>
                <w:sz w:val="18"/>
                <w:szCs w:val="18"/>
              </w:rPr>
            </w:pPr>
            <w:r w:rsidRPr="003F26ED">
              <w:rPr>
                <w:rFonts w:ascii="Times New Roman" w:hAnsi="Times New Roman"/>
                <w:sz w:val="18"/>
                <w:szCs w:val="18"/>
              </w:rPr>
              <w:t>POC Hepatitis C RNA testing</w:t>
            </w:r>
          </w:p>
        </w:tc>
        <w:tc>
          <w:tcPr>
            <w:tcW w:w="4045" w:type="dxa"/>
          </w:tcPr>
          <w:p w14:paraId="61A74864" w14:textId="78F6C5D8" w:rsidR="003161DB" w:rsidRPr="003F26ED" w:rsidRDefault="003161DB" w:rsidP="003161DB">
            <w:pPr>
              <w:pStyle w:val="NormalWeb"/>
              <w:spacing w:line="240" w:lineRule="auto"/>
              <w:jc w:val="left"/>
              <w:rPr>
                <w:rFonts w:ascii="Times New Roman" w:hAnsi="Times New Roman"/>
                <w:sz w:val="18"/>
                <w:szCs w:val="18"/>
              </w:rPr>
            </w:pPr>
            <w:r w:rsidRPr="003F26ED">
              <w:rPr>
                <w:rFonts w:ascii="Times New Roman" w:hAnsi="Times New Roman"/>
                <w:sz w:val="18"/>
                <w:szCs w:val="18"/>
              </w:rPr>
              <w:t xml:space="preserve">POCT enhanced treatment uptake and </w:t>
            </w:r>
          </w:p>
          <w:p w14:paraId="0FE7E826" w14:textId="319EC444" w:rsidR="003161DB" w:rsidRPr="003F26ED" w:rsidRDefault="003161DB" w:rsidP="003161DB">
            <w:pPr>
              <w:pStyle w:val="NormalWeb"/>
              <w:spacing w:line="240" w:lineRule="auto"/>
              <w:jc w:val="left"/>
              <w:rPr>
                <w:rFonts w:ascii="Times New Roman" w:hAnsi="Times New Roman"/>
                <w:sz w:val="18"/>
                <w:szCs w:val="18"/>
              </w:rPr>
            </w:pPr>
            <w:r w:rsidRPr="003F26ED">
              <w:rPr>
                <w:rFonts w:ascii="Times New Roman" w:hAnsi="Times New Roman"/>
                <w:sz w:val="18"/>
                <w:szCs w:val="18"/>
              </w:rPr>
              <w:t>reduced time to treatment initiation among people recently incarcerated, thereby overcoming key barriers to treatment in the prison sector.</w:t>
            </w:r>
          </w:p>
        </w:tc>
      </w:tr>
      <w:tr w:rsidR="00042CB3" w:rsidRPr="003F26ED" w14:paraId="00A47BCA" w14:textId="77777777" w:rsidTr="00042CB3">
        <w:tc>
          <w:tcPr>
            <w:tcW w:w="1435" w:type="dxa"/>
          </w:tcPr>
          <w:p w14:paraId="4CCE6298"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Tinsay S, Public Health Team</w:t>
            </w:r>
          </w:p>
          <w:p w14:paraId="24A93A9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“introducing New Tools TB Program”</w:t>
            </w:r>
          </w:p>
          <w:p w14:paraId="0B3A40E7" w14:textId="5DDE8886"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2022-23 </w:t>
            </w:r>
            <w:r w:rsidR="001F6011">
              <w:rPr>
                <w:rFonts w:ascii="Times New Roman" w:hAnsi="Times New Roman"/>
                <w:sz w:val="18"/>
                <w:szCs w:val="18"/>
              </w:rPr>
              <w:t>[113]</w:t>
            </w:r>
          </w:p>
        </w:tc>
        <w:tc>
          <w:tcPr>
            <w:tcW w:w="1440" w:type="dxa"/>
          </w:tcPr>
          <w:p w14:paraId="54D8834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Tuberculosis peripheral care point of need screening</w:t>
            </w:r>
          </w:p>
        </w:tc>
        <w:tc>
          <w:tcPr>
            <w:tcW w:w="1260" w:type="dxa"/>
          </w:tcPr>
          <w:p w14:paraId="113239A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Bantayan Archipelago, Philippines</w:t>
            </w:r>
          </w:p>
        </w:tc>
        <w:tc>
          <w:tcPr>
            <w:tcW w:w="1170" w:type="dxa"/>
          </w:tcPr>
          <w:p w14:paraId="4EDB82B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Tuberculosis</w:t>
            </w:r>
          </w:p>
        </w:tc>
        <w:tc>
          <w:tcPr>
            <w:tcW w:w="4045" w:type="dxa"/>
          </w:tcPr>
          <w:p w14:paraId="5633147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lang w:bidi="en-US"/>
              </w:rPr>
              <w:t>POCT is cost-effective, requires minimal biosafety requirements, and is intended for the peripheral level, that is, community health facilities or mobile clinics. Pilot program discovered ~9% infected with TB out of 432 patients screened in the Municipality of Bantayan. Screening continues currently.</w:t>
            </w:r>
          </w:p>
        </w:tc>
      </w:tr>
      <w:tr w:rsidR="00042CB3" w:rsidRPr="003F26ED" w14:paraId="7589C15C" w14:textId="77777777" w:rsidTr="00042CB3">
        <w:tc>
          <w:tcPr>
            <w:tcW w:w="1435" w:type="dxa"/>
          </w:tcPr>
          <w:p w14:paraId="412D991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Beeman</w:t>
            </w:r>
          </w:p>
          <w:p w14:paraId="0D572E1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Afr J Emer Med</w:t>
            </w:r>
          </w:p>
          <w:p w14:paraId="648F539C" w14:textId="09C650CA" w:rsidR="00042CB3" w:rsidRPr="003F26ED" w:rsidRDefault="00042CB3" w:rsidP="00042CB3">
            <w:pPr>
              <w:spacing w:line="240" w:lineRule="auto"/>
              <w:jc w:val="left"/>
              <w:rPr>
                <w:rFonts w:ascii="Times New Roman" w:hAnsi="Times New Roman"/>
                <w:b/>
                <w:bCs/>
                <w:sz w:val="18"/>
                <w:szCs w:val="18"/>
              </w:rPr>
            </w:pPr>
            <w:r w:rsidRPr="003F26ED">
              <w:rPr>
                <w:rFonts w:ascii="Times New Roman" w:hAnsi="Times New Roman"/>
                <w:sz w:val="18"/>
                <w:szCs w:val="18"/>
              </w:rPr>
              <w:t xml:space="preserve">2022 </w:t>
            </w:r>
            <w:r w:rsidR="001F6011">
              <w:rPr>
                <w:rFonts w:ascii="Times New Roman" w:hAnsi="Times New Roman"/>
                <w:sz w:val="18"/>
                <w:szCs w:val="18"/>
              </w:rPr>
              <w:t>[114]</w:t>
            </w:r>
          </w:p>
        </w:tc>
        <w:tc>
          <w:tcPr>
            <w:tcW w:w="1440" w:type="dxa"/>
          </w:tcPr>
          <w:p w14:paraId="6987772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Patients seeking emergent injury care</w:t>
            </w:r>
          </w:p>
        </w:tc>
        <w:tc>
          <w:tcPr>
            <w:tcW w:w="1260" w:type="dxa"/>
          </w:tcPr>
          <w:p w14:paraId="0CF36AE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Kingali, Rwanda</w:t>
            </w:r>
          </w:p>
        </w:tc>
        <w:tc>
          <w:tcPr>
            <w:tcW w:w="1170" w:type="dxa"/>
          </w:tcPr>
          <w:p w14:paraId="71585E2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HIV</w:t>
            </w:r>
          </w:p>
        </w:tc>
        <w:tc>
          <w:tcPr>
            <w:tcW w:w="4045" w:type="dxa"/>
          </w:tcPr>
          <w:p w14:paraId="662005C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Emergency centers are important access points for HIV testing. In Rwanda, 1 in 8 with HIV are unaware of their infection, which impedes epidemic control. This could be addressed by increased testing.</w:t>
            </w:r>
          </w:p>
        </w:tc>
      </w:tr>
      <w:tr w:rsidR="00042CB3" w:rsidRPr="003F26ED" w14:paraId="5528A599" w14:textId="77777777" w:rsidTr="00042CB3">
        <w:tc>
          <w:tcPr>
            <w:tcW w:w="1435" w:type="dxa"/>
          </w:tcPr>
          <w:p w14:paraId="40CBD71D" w14:textId="77777777" w:rsidR="00042CB3" w:rsidRPr="003F26ED" w:rsidRDefault="00042CB3" w:rsidP="00042CB3">
            <w:pPr>
              <w:spacing w:line="240" w:lineRule="auto"/>
              <w:jc w:val="left"/>
              <w:rPr>
                <w:rFonts w:ascii="Times New Roman" w:hAnsi="Times New Roman"/>
                <w:b/>
                <w:bCs/>
                <w:sz w:val="18"/>
                <w:szCs w:val="18"/>
              </w:rPr>
            </w:pPr>
            <w:r w:rsidRPr="003F26ED">
              <w:rPr>
                <w:rFonts w:ascii="Times New Roman" w:hAnsi="Times New Roman"/>
                <w:sz w:val="18"/>
                <w:szCs w:val="18"/>
              </w:rPr>
              <w:t>Zadran</w:t>
            </w:r>
          </w:p>
          <w:p w14:paraId="6708549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Diagnostics</w:t>
            </w:r>
          </w:p>
          <w:p w14:paraId="45A12122" w14:textId="6D78990C"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2022 </w:t>
            </w:r>
            <w:r w:rsidR="001F6011">
              <w:rPr>
                <w:rFonts w:ascii="Times New Roman" w:hAnsi="Times New Roman"/>
                <w:sz w:val="18"/>
                <w:szCs w:val="18"/>
              </w:rPr>
              <w:t>[115]</w:t>
            </w:r>
          </w:p>
        </w:tc>
        <w:tc>
          <w:tcPr>
            <w:tcW w:w="1440" w:type="dxa"/>
          </w:tcPr>
          <w:p w14:paraId="5180E2C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Lifeline of diagnostic entry points</w:t>
            </w:r>
          </w:p>
        </w:tc>
        <w:tc>
          <w:tcPr>
            <w:tcW w:w="1260" w:type="dxa"/>
          </w:tcPr>
          <w:p w14:paraId="5887D1F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Central Vietnam</w:t>
            </w:r>
          </w:p>
        </w:tc>
        <w:tc>
          <w:tcPr>
            <w:tcW w:w="1170" w:type="dxa"/>
          </w:tcPr>
          <w:p w14:paraId="6D8DDD7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POCT for infectious diseases</w:t>
            </w:r>
          </w:p>
        </w:tc>
        <w:tc>
          <w:tcPr>
            <w:tcW w:w="4045" w:type="dxa"/>
          </w:tcPr>
          <w:p w14:paraId="76772DE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Infectious disease testing should be improved and POC tests supplied near patients’ homes and in primary care settings for the early detection of infected individuals and the mitigation of the spread of new COVID-19 variants and other highly infectious diseases, such as Monkeypox.</w:t>
            </w:r>
          </w:p>
        </w:tc>
      </w:tr>
      <w:tr w:rsidR="00042CB3" w:rsidRPr="003F26ED" w14:paraId="01331B4D" w14:textId="77777777" w:rsidTr="00042CB3">
        <w:tc>
          <w:tcPr>
            <w:tcW w:w="1435" w:type="dxa"/>
          </w:tcPr>
          <w:p w14:paraId="1365BEB8"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WHO</w:t>
            </w:r>
          </w:p>
          <w:p w14:paraId="41524E0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Guidelines on HIV Testing</w:t>
            </w:r>
          </w:p>
          <w:p w14:paraId="0D88D47D" w14:textId="050CBC2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2021 </w:t>
            </w:r>
            <w:r w:rsidR="001F6011">
              <w:rPr>
                <w:rFonts w:ascii="Times New Roman" w:hAnsi="Times New Roman"/>
                <w:sz w:val="18"/>
                <w:szCs w:val="18"/>
              </w:rPr>
              <w:t>[116]</w:t>
            </w:r>
          </w:p>
        </w:tc>
        <w:tc>
          <w:tcPr>
            <w:tcW w:w="1440" w:type="dxa"/>
          </w:tcPr>
          <w:p w14:paraId="554C86B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Decentralized, stand-alone, and self-testing</w:t>
            </w:r>
          </w:p>
        </w:tc>
        <w:tc>
          <w:tcPr>
            <w:tcW w:w="1260" w:type="dxa"/>
          </w:tcPr>
          <w:p w14:paraId="73D9FDD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General</w:t>
            </w:r>
          </w:p>
        </w:tc>
        <w:tc>
          <w:tcPr>
            <w:tcW w:w="1170" w:type="dxa"/>
          </w:tcPr>
          <w:p w14:paraId="0CECF52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HIV</w:t>
            </w:r>
          </w:p>
          <w:p w14:paraId="7984D7EA" w14:textId="77777777" w:rsidR="00042CB3" w:rsidRPr="003F26ED" w:rsidRDefault="00042CB3" w:rsidP="00042CB3">
            <w:pPr>
              <w:spacing w:line="240" w:lineRule="auto"/>
              <w:jc w:val="left"/>
              <w:rPr>
                <w:rFonts w:ascii="Times New Roman" w:hAnsi="Times New Roman"/>
                <w:sz w:val="18"/>
                <w:szCs w:val="18"/>
              </w:rPr>
            </w:pPr>
          </w:p>
        </w:tc>
        <w:tc>
          <w:tcPr>
            <w:tcW w:w="4045" w:type="dxa"/>
          </w:tcPr>
          <w:p w14:paraId="785C1F8B" w14:textId="77777777"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sz w:val="18"/>
                <w:szCs w:val="18"/>
              </w:rPr>
              <w:t>Community-based rapid HIV testing in both high- and low-prevalence settings closer to people’s homes and self-testing can reduce transport costs and waiting times in central hospitals and thereby increase uptake.</w:t>
            </w:r>
          </w:p>
        </w:tc>
      </w:tr>
      <w:tr w:rsidR="00042CB3" w:rsidRPr="003F26ED" w14:paraId="02CBC4DD" w14:textId="77777777" w:rsidTr="00042CB3">
        <w:tc>
          <w:tcPr>
            <w:tcW w:w="1435" w:type="dxa"/>
          </w:tcPr>
          <w:p w14:paraId="20AAF99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Vallely</w:t>
            </w:r>
          </w:p>
          <w:p w14:paraId="5A350A0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Welcome Open Research</w:t>
            </w:r>
          </w:p>
          <w:p w14:paraId="3FCF0939" w14:textId="6E9A721C"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2019 </w:t>
            </w:r>
            <w:r w:rsidR="001F6011">
              <w:rPr>
                <w:rFonts w:ascii="Times New Roman" w:hAnsi="Times New Roman"/>
                <w:sz w:val="18"/>
                <w:szCs w:val="18"/>
              </w:rPr>
              <w:t>[117]</w:t>
            </w:r>
          </w:p>
        </w:tc>
        <w:tc>
          <w:tcPr>
            <w:tcW w:w="1440" w:type="dxa"/>
          </w:tcPr>
          <w:p w14:paraId="04A19AF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POCT for sexually transmitted infections and immediate Rx</w:t>
            </w:r>
          </w:p>
        </w:tc>
        <w:tc>
          <w:tcPr>
            <w:tcW w:w="1260" w:type="dxa"/>
          </w:tcPr>
          <w:p w14:paraId="46C1AAC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Rural health units in limited-resource</w:t>
            </w:r>
          </w:p>
          <w:p w14:paraId="0EC05F1F"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Papua New Guinea</w:t>
            </w:r>
          </w:p>
        </w:tc>
        <w:tc>
          <w:tcPr>
            <w:tcW w:w="1170" w:type="dxa"/>
          </w:tcPr>
          <w:p w14:paraId="050DD3C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Antenatal POCT for STD </w:t>
            </w:r>
          </w:p>
        </w:tc>
        <w:tc>
          <w:tcPr>
            <w:tcW w:w="4045" w:type="dxa"/>
          </w:tcPr>
          <w:p w14:paraId="7E830109" w14:textId="77777777"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sz w:val="18"/>
                <w:szCs w:val="18"/>
              </w:rPr>
              <w:t>First randomized trial to evaluate the effectiveness, cost-effectiveness, acceptability, and health system requirements of POC STD testing and treatment to improve birth outcomes in high-burden settings by decreasing preterm and low weight births.</w:t>
            </w:r>
          </w:p>
        </w:tc>
      </w:tr>
      <w:tr w:rsidR="00042CB3" w:rsidRPr="003F26ED" w14:paraId="492E3401" w14:textId="77777777" w:rsidTr="00042CB3">
        <w:tc>
          <w:tcPr>
            <w:tcW w:w="1435" w:type="dxa"/>
          </w:tcPr>
          <w:p w14:paraId="5E4BF8DF" w14:textId="77777777" w:rsidR="00042CB3" w:rsidRPr="003F26ED" w:rsidRDefault="00042CB3" w:rsidP="00042CB3">
            <w:pPr>
              <w:spacing w:line="240" w:lineRule="auto"/>
              <w:jc w:val="left"/>
              <w:rPr>
                <w:rFonts w:ascii="Times New Roman" w:hAnsi="Times New Roman"/>
                <w:b/>
                <w:bCs/>
                <w:sz w:val="18"/>
                <w:szCs w:val="18"/>
                <w:vertAlign w:val="superscript"/>
              </w:rPr>
            </w:pPr>
            <w:r w:rsidRPr="003F26ED">
              <w:rPr>
                <w:rFonts w:ascii="Times New Roman" w:hAnsi="Times New Roman"/>
                <w:sz w:val="18"/>
                <w:szCs w:val="18"/>
              </w:rPr>
              <w:t>West K</w:t>
            </w:r>
          </w:p>
          <w:p w14:paraId="239771C3" w14:textId="0860B0E2"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J Emer Med Serv 2007 </w:t>
            </w:r>
            <w:r w:rsidR="001F6011">
              <w:rPr>
                <w:rFonts w:ascii="Times New Roman" w:hAnsi="Times New Roman"/>
                <w:sz w:val="18"/>
                <w:szCs w:val="18"/>
              </w:rPr>
              <w:t>[118]</w:t>
            </w:r>
            <w:r w:rsidRPr="003F26ED">
              <w:rPr>
                <w:rFonts w:ascii="Times New Roman" w:hAnsi="Times New Roman"/>
                <w:sz w:val="18"/>
                <w:szCs w:val="18"/>
              </w:rPr>
              <w:t xml:space="preserve">, 2004 </w:t>
            </w:r>
            <w:r w:rsidR="001F6011">
              <w:rPr>
                <w:rFonts w:ascii="Times New Roman" w:hAnsi="Times New Roman"/>
                <w:sz w:val="18"/>
                <w:szCs w:val="18"/>
              </w:rPr>
              <w:t>[119]</w:t>
            </w:r>
          </w:p>
        </w:tc>
        <w:tc>
          <w:tcPr>
            <w:tcW w:w="1440" w:type="dxa"/>
          </w:tcPr>
          <w:p w14:paraId="03F3FBC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Protecting prehospital providers</w:t>
            </w:r>
          </w:p>
        </w:tc>
        <w:tc>
          <w:tcPr>
            <w:tcW w:w="1260" w:type="dxa"/>
          </w:tcPr>
          <w:p w14:paraId="420F45D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General</w:t>
            </w:r>
          </w:p>
        </w:tc>
        <w:tc>
          <w:tcPr>
            <w:tcW w:w="1170" w:type="dxa"/>
          </w:tcPr>
          <w:p w14:paraId="5EF6C0D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HIV</w:t>
            </w:r>
          </w:p>
        </w:tc>
        <w:tc>
          <w:tcPr>
            <w:tcW w:w="4045" w:type="dxa"/>
          </w:tcPr>
          <w:p w14:paraId="3B51B8E0" w14:textId="291BBE5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Recommendations for protection of prehospital providers and postexposure testing.</w:t>
            </w:r>
          </w:p>
        </w:tc>
      </w:tr>
      <w:tr w:rsidR="00042CB3" w:rsidRPr="003F26ED" w14:paraId="39F9F641" w14:textId="77777777" w:rsidTr="00042CB3">
        <w:tc>
          <w:tcPr>
            <w:tcW w:w="9350" w:type="dxa"/>
            <w:gridSpan w:val="5"/>
          </w:tcPr>
          <w:p w14:paraId="0C8DE0E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b/>
                <w:bCs/>
                <w:sz w:val="18"/>
                <w:szCs w:val="18"/>
              </w:rPr>
              <w:lastRenderedPageBreak/>
              <w:t>• Sepsis</w:t>
            </w:r>
          </w:p>
        </w:tc>
      </w:tr>
      <w:tr w:rsidR="00042CB3" w:rsidRPr="003F26ED" w14:paraId="6E5A7D25" w14:textId="77777777" w:rsidTr="00042CB3">
        <w:tc>
          <w:tcPr>
            <w:tcW w:w="1435" w:type="dxa"/>
          </w:tcPr>
          <w:p w14:paraId="4568EA8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Metelmann</w:t>
            </w:r>
          </w:p>
          <w:p w14:paraId="64F987B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Anesthetist</w:t>
            </w:r>
          </w:p>
          <w:p w14:paraId="53D784EA" w14:textId="08D584C3"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2018 </w:t>
            </w:r>
            <w:r w:rsidR="001F6011">
              <w:rPr>
                <w:rFonts w:ascii="Times New Roman" w:hAnsi="Times New Roman"/>
                <w:sz w:val="18"/>
                <w:szCs w:val="18"/>
              </w:rPr>
              <w:t>[120]</w:t>
            </w:r>
          </w:p>
        </w:tc>
        <w:tc>
          <w:tcPr>
            <w:tcW w:w="1440" w:type="dxa"/>
          </w:tcPr>
          <w:p w14:paraId="0E12E944"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emergency staff survey about high sepsis mortality</w:t>
            </w:r>
          </w:p>
        </w:tc>
        <w:tc>
          <w:tcPr>
            <w:tcW w:w="1260" w:type="dxa"/>
          </w:tcPr>
          <w:p w14:paraId="068B8A88"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Greifswald, Germany</w:t>
            </w:r>
          </w:p>
        </w:tc>
        <w:tc>
          <w:tcPr>
            <w:tcW w:w="1170" w:type="dxa"/>
          </w:tcPr>
          <w:p w14:paraId="324E390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qSOFA (quick sequential organ failure assessment)</w:t>
            </w:r>
          </w:p>
        </w:tc>
        <w:tc>
          <w:tcPr>
            <w:tcW w:w="4045" w:type="dxa"/>
          </w:tcPr>
          <w:p w14:paraId="7DEFAA0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The majority selected “increased body temperature”, “drop in blood pressure” and “altered breathing;” emergency doctors selected “altered mental status” more frequently than nurses and paramedics. All rated early fast sepsis treatment as important.</w:t>
            </w:r>
          </w:p>
        </w:tc>
      </w:tr>
      <w:tr w:rsidR="006C11CD" w:rsidRPr="003F26ED" w14:paraId="1C3CA364" w14:textId="77777777" w:rsidTr="006C11CD">
        <w:tc>
          <w:tcPr>
            <w:tcW w:w="9350" w:type="dxa"/>
            <w:gridSpan w:val="5"/>
          </w:tcPr>
          <w:p w14:paraId="46FABD4A" w14:textId="3E0644EE" w:rsidR="006C11CD" w:rsidRPr="003F26ED" w:rsidRDefault="006C11CD" w:rsidP="00042CB3">
            <w:pPr>
              <w:rPr>
                <w:rFonts w:ascii="Times New Roman" w:hAnsi="Times New Roman"/>
                <w:b/>
                <w:bCs/>
                <w:sz w:val="18"/>
                <w:szCs w:val="18"/>
              </w:rPr>
            </w:pPr>
            <w:r w:rsidRPr="003F26ED">
              <w:rPr>
                <w:rFonts w:ascii="Times New Roman" w:hAnsi="Times New Roman"/>
                <w:b/>
                <w:bCs/>
                <w:sz w:val="18"/>
                <w:szCs w:val="18"/>
              </w:rPr>
              <w:t>• S</w:t>
            </w:r>
            <w:r w:rsidR="009F43E6" w:rsidRPr="003F26ED">
              <w:rPr>
                <w:rFonts w:ascii="Times New Roman" w:hAnsi="Times New Roman"/>
                <w:b/>
                <w:bCs/>
                <w:sz w:val="18"/>
                <w:szCs w:val="18"/>
              </w:rPr>
              <w:t>ei</w:t>
            </w:r>
            <w:r w:rsidRPr="003F26ED">
              <w:rPr>
                <w:rFonts w:ascii="Times New Roman" w:hAnsi="Times New Roman"/>
                <w:b/>
                <w:bCs/>
                <w:sz w:val="18"/>
                <w:szCs w:val="18"/>
              </w:rPr>
              <w:t>zures</w:t>
            </w:r>
          </w:p>
        </w:tc>
      </w:tr>
      <w:tr w:rsidR="006C11CD" w:rsidRPr="003F26ED" w14:paraId="78C5C729" w14:textId="77777777" w:rsidTr="006C11CD">
        <w:tc>
          <w:tcPr>
            <w:tcW w:w="1435" w:type="dxa"/>
          </w:tcPr>
          <w:p w14:paraId="472F9275" w14:textId="77777777" w:rsidR="006C11CD" w:rsidRPr="003F26ED" w:rsidRDefault="006C11CD" w:rsidP="006C5F4C">
            <w:pPr>
              <w:spacing w:line="240" w:lineRule="auto"/>
              <w:rPr>
                <w:rFonts w:ascii="Times New Roman" w:hAnsi="Times New Roman"/>
                <w:sz w:val="18"/>
                <w:szCs w:val="18"/>
              </w:rPr>
            </w:pPr>
            <w:r w:rsidRPr="003F26ED">
              <w:rPr>
                <w:rFonts w:ascii="Times New Roman" w:hAnsi="Times New Roman"/>
                <w:sz w:val="18"/>
                <w:szCs w:val="18"/>
              </w:rPr>
              <w:t>Donosos-Calero</w:t>
            </w:r>
          </w:p>
          <w:p w14:paraId="45E98204" w14:textId="77777777" w:rsidR="006C11CD" w:rsidRPr="003F26ED" w:rsidRDefault="006C11CD" w:rsidP="006C5F4C">
            <w:pPr>
              <w:spacing w:line="240" w:lineRule="auto"/>
              <w:rPr>
                <w:rFonts w:ascii="Times New Roman" w:hAnsi="Times New Roman"/>
                <w:sz w:val="18"/>
                <w:szCs w:val="18"/>
              </w:rPr>
            </w:pPr>
            <w:r w:rsidRPr="003F26ED">
              <w:rPr>
                <w:rFonts w:ascii="Times New Roman" w:hAnsi="Times New Roman"/>
                <w:sz w:val="18"/>
                <w:szCs w:val="18"/>
              </w:rPr>
              <w:t>Eur J Clin Invest</w:t>
            </w:r>
          </w:p>
          <w:p w14:paraId="7AD8157B" w14:textId="2EF2C9A2" w:rsidR="006C11CD" w:rsidRPr="003F26ED" w:rsidRDefault="006C11CD" w:rsidP="006C5F4C">
            <w:pPr>
              <w:spacing w:line="240" w:lineRule="auto"/>
              <w:rPr>
                <w:rFonts w:ascii="Times New Roman" w:hAnsi="Times New Roman"/>
                <w:sz w:val="18"/>
                <w:szCs w:val="18"/>
              </w:rPr>
            </w:pPr>
            <w:r w:rsidRPr="003F26ED">
              <w:rPr>
                <w:rFonts w:ascii="Times New Roman" w:hAnsi="Times New Roman"/>
                <w:sz w:val="18"/>
                <w:szCs w:val="18"/>
              </w:rPr>
              <w:t xml:space="preserve">2023 </w:t>
            </w:r>
            <w:r w:rsidR="001F6011">
              <w:rPr>
                <w:rFonts w:ascii="Times New Roman" w:hAnsi="Times New Roman"/>
                <w:sz w:val="18"/>
                <w:szCs w:val="18"/>
              </w:rPr>
              <w:t>[121]</w:t>
            </w:r>
          </w:p>
        </w:tc>
        <w:tc>
          <w:tcPr>
            <w:tcW w:w="1440" w:type="dxa"/>
          </w:tcPr>
          <w:p w14:paraId="4EBD0518" w14:textId="790CC0A7" w:rsidR="006C11CD" w:rsidRPr="003F26ED" w:rsidRDefault="006C11CD" w:rsidP="006C5F4C">
            <w:pPr>
              <w:spacing w:line="240" w:lineRule="auto"/>
              <w:rPr>
                <w:rFonts w:ascii="Times New Roman" w:hAnsi="Times New Roman"/>
                <w:sz w:val="18"/>
                <w:szCs w:val="18"/>
              </w:rPr>
            </w:pPr>
            <w:r w:rsidRPr="003F26ED">
              <w:rPr>
                <w:rFonts w:ascii="Times New Roman" w:hAnsi="Times New Roman"/>
                <w:sz w:val="18"/>
                <w:szCs w:val="18"/>
              </w:rPr>
              <w:t>Patients presenting with prehospital seizures</w:t>
            </w:r>
          </w:p>
        </w:tc>
        <w:tc>
          <w:tcPr>
            <w:tcW w:w="1260" w:type="dxa"/>
          </w:tcPr>
          <w:p w14:paraId="44795BD6" w14:textId="6B9B406A" w:rsidR="006C11CD" w:rsidRPr="003F26ED" w:rsidRDefault="006C11CD" w:rsidP="006C5F4C">
            <w:pPr>
              <w:spacing w:line="240" w:lineRule="auto"/>
              <w:rPr>
                <w:rFonts w:ascii="Times New Roman" w:hAnsi="Times New Roman"/>
                <w:sz w:val="18"/>
                <w:szCs w:val="18"/>
              </w:rPr>
            </w:pPr>
            <w:r w:rsidRPr="003F26ED">
              <w:rPr>
                <w:rFonts w:ascii="Times New Roman" w:hAnsi="Times New Roman"/>
                <w:sz w:val="18"/>
                <w:szCs w:val="18"/>
              </w:rPr>
              <w:t>Life support units in Spain</w:t>
            </w:r>
          </w:p>
        </w:tc>
        <w:tc>
          <w:tcPr>
            <w:tcW w:w="1170" w:type="dxa"/>
          </w:tcPr>
          <w:p w14:paraId="7EC4ECB7" w14:textId="35F5CAD5" w:rsidR="006C11CD" w:rsidRPr="003F26ED" w:rsidRDefault="006C11CD" w:rsidP="006C5F4C">
            <w:pPr>
              <w:spacing w:line="240" w:lineRule="auto"/>
              <w:jc w:val="left"/>
              <w:rPr>
                <w:rFonts w:ascii="Times New Roman" w:hAnsi="Times New Roman"/>
                <w:sz w:val="18"/>
                <w:szCs w:val="18"/>
              </w:rPr>
            </w:pPr>
            <w:r w:rsidRPr="003F26ED">
              <w:rPr>
                <w:rFonts w:ascii="Times New Roman" w:hAnsi="Times New Roman"/>
                <w:sz w:val="18"/>
                <w:szCs w:val="18"/>
              </w:rPr>
              <w:t>RR, pCO</w:t>
            </w:r>
            <w:r w:rsidRPr="003F26ED">
              <w:rPr>
                <w:rFonts w:ascii="Times New Roman" w:hAnsi="Times New Roman"/>
                <w:sz w:val="18"/>
                <w:szCs w:val="18"/>
                <w:vertAlign w:val="subscript"/>
              </w:rPr>
              <w:t>2</w:t>
            </w:r>
            <w:r w:rsidRPr="003F26ED">
              <w:rPr>
                <w:rFonts w:ascii="Times New Roman" w:hAnsi="Times New Roman"/>
                <w:sz w:val="18"/>
                <w:szCs w:val="18"/>
              </w:rPr>
              <w:t>, BUN, K</w:t>
            </w:r>
            <w:r w:rsidRPr="003F26ED">
              <w:rPr>
                <w:rFonts w:ascii="Times New Roman" w:hAnsi="Times New Roman"/>
                <w:sz w:val="18"/>
                <w:szCs w:val="18"/>
                <w:vertAlign w:val="superscript"/>
              </w:rPr>
              <w:t>+</w:t>
            </w:r>
            <w:r w:rsidRPr="003F26ED">
              <w:rPr>
                <w:rFonts w:ascii="Times New Roman" w:hAnsi="Times New Roman"/>
                <w:sz w:val="18"/>
                <w:szCs w:val="18"/>
              </w:rPr>
              <w:t>, glucose, O</w:t>
            </w:r>
            <w:r w:rsidRPr="003F26ED">
              <w:rPr>
                <w:rFonts w:ascii="Times New Roman" w:hAnsi="Times New Roman"/>
                <w:sz w:val="18"/>
                <w:szCs w:val="18"/>
                <w:vertAlign w:val="subscript"/>
              </w:rPr>
              <w:t>2</w:t>
            </w:r>
            <w:r w:rsidRPr="003F26ED">
              <w:rPr>
                <w:rFonts w:ascii="Times New Roman" w:hAnsi="Times New Roman"/>
                <w:sz w:val="18"/>
                <w:szCs w:val="18"/>
              </w:rPr>
              <w:t xml:space="preserve"> Sat, Hgb</w:t>
            </w:r>
          </w:p>
        </w:tc>
        <w:tc>
          <w:tcPr>
            <w:tcW w:w="4045" w:type="dxa"/>
          </w:tcPr>
          <w:p w14:paraId="63BA2FB9" w14:textId="354D2673" w:rsidR="006C11CD" w:rsidRPr="003F26ED" w:rsidRDefault="006C11CD" w:rsidP="006C5F4C">
            <w:pPr>
              <w:spacing w:line="240" w:lineRule="auto"/>
              <w:rPr>
                <w:rFonts w:ascii="Times New Roman" w:hAnsi="Times New Roman"/>
                <w:sz w:val="18"/>
                <w:szCs w:val="18"/>
              </w:rPr>
            </w:pPr>
            <w:r w:rsidRPr="003F26ED">
              <w:rPr>
                <w:rFonts w:ascii="Times New Roman" w:hAnsi="Times New Roman"/>
                <w:sz w:val="18"/>
                <w:szCs w:val="18"/>
              </w:rPr>
              <w:t>Prehospital variables reflect clinical impairment and mortality of patients suffering from seizures.</w:t>
            </w:r>
          </w:p>
        </w:tc>
      </w:tr>
      <w:tr w:rsidR="00042CB3" w:rsidRPr="003F26ED" w14:paraId="67C230B8" w14:textId="77777777" w:rsidTr="00042CB3">
        <w:tc>
          <w:tcPr>
            <w:tcW w:w="9350" w:type="dxa"/>
            <w:gridSpan w:val="5"/>
          </w:tcPr>
          <w:p w14:paraId="207FF40C" w14:textId="77777777"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b/>
                <w:bCs/>
                <w:sz w:val="18"/>
                <w:szCs w:val="18"/>
              </w:rPr>
              <w:t>• Stroke</w:t>
            </w:r>
          </w:p>
        </w:tc>
      </w:tr>
      <w:tr w:rsidR="00042CB3" w:rsidRPr="003F26ED" w14:paraId="3B30433D" w14:textId="77777777" w:rsidTr="00042CB3">
        <w:tc>
          <w:tcPr>
            <w:tcW w:w="1435" w:type="dxa"/>
          </w:tcPr>
          <w:p w14:paraId="1FD4042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Ebinger</w:t>
            </w:r>
          </w:p>
          <w:p w14:paraId="23B0D318"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JAMA</w:t>
            </w:r>
          </w:p>
          <w:p w14:paraId="519F01A8" w14:textId="20FDC6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2021 </w:t>
            </w:r>
            <w:r w:rsidR="001F6011">
              <w:rPr>
                <w:rFonts w:ascii="Times New Roman" w:hAnsi="Times New Roman"/>
                <w:sz w:val="18"/>
                <w:szCs w:val="18"/>
              </w:rPr>
              <w:t>[122]</w:t>
            </w:r>
          </w:p>
        </w:tc>
        <w:tc>
          <w:tcPr>
            <w:tcW w:w="1440" w:type="dxa"/>
          </w:tcPr>
          <w:p w14:paraId="5C0F5DE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Mobile stroke unit, on-board thrombolysis</w:t>
            </w:r>
          </w:p>
        </w:tc>
        <w:tc>
          <w:tcPr>
            <w:tcW w:w="1260" w:type="dxa"/>
          </w:tcPr>
          <w:p w14:paraId="54913E0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Berlin, Germany</w:t>
            </w:r>
          </w:p>
        </w:tc>
        <w:tc>
          <w:tcPr>
            <w:tcW w:w="1170" w:type="dxa"/>
          </w:tcPr>
          <w:p w14:paraId="630582B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Mobile CT scanner and POCT</w:t>
            </w:r>
          </w:p>
        </w:tc>
        <w:tc>
          <w:tcPr>
            <w:tcW w:w="4045" w:type="dxa"/>
          </w:tcPr>
          <w:p w14:paraId="657456B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Dispatch of mobile stroke units, compared with conventional ambulances alone, was associated with lower global disability at three months.</w:t>
            </w:r>
          </w:p>
        </w:tc>
      </w:tr>
      <w:tr w:rsidR="00042CB3" w:rsidRPr="003F26ED" w14:paraId="064034A6" w14:textId="77777777" w:rsidTr="00042CB3">
        <w:tc>
          <w:tcPr>
            <w:tcW w:w="1435" w:type="dxa"/>
          </w:tcPr>
          <w:p w14:paraId="459045F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Wendt</w:t>
            </w:r>
          </w:p>
          <w:p w14:paraId="4AD7ECA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Stroke</w:t>
            </w:r>
          </w:p>
          <w:p w14:paraId="589F25D9" w14:textId="763CAC33"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2015 </w:t>
            </w:r>
            <w:r w:rsidR="001F6011">
              <w:rPr>
                <w:rFonts w:ascii="Times New Roman" w:hAnsi="Times New Roman"/>
                <w:sz w:val="18"/>
                <w:szCs w:val="18"/>
              </w:rPr>
              <w:t>[123]</w:t>
            </w:r>
          </w:p>
        </w:tc>
        <w:tc>
          <w:tcPr>
            <w:tcW w:w="1440" w:type="dxa"/>
          </w:tcPr>
          <w:p w14:paraId="6C7BEBD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Prehospital triage of stroke patients</w:t>
            </w:r>
          </w:p>
        </w:tc>
        <w:tc>
          <w:tcPr>
            <w:tcW w:w="1260" w:type="dxa"/>
          </w:tcPr>
          <w:p w14:paraId="69139A8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Berlin, Germany</w:t>
            </w:r>
          </w:p>
        </w:tc>
        <w:tc>
          <w:tcPr>
            <w:tcW w:w="1170" w:type="dxa"/>
          </w:tcPr>
          <w:p w14:paraId="301C1DF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CT scanner with POCT laboratory on board</w:t>
            </w:r>
          </w:p>
        </w:tc>
        <w:tc>
          <w:tcPr>
            <w:tcW w:w="4045" w:type="dxa"/>
          </w:tcPr>
          <w:p w14:paraId="41B635F1" w14:textId="77777777"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sz w:val="18"/>
                <w:szCs w:val="18"/>
              </w:rPr>
              <w:t>Triage of patients with cerebrovascular events to specialized hospitals with stroke units and capabilities for ischemic stroke and neurosurgery can be improved by stroke emergency mobile ambulances with POCT.</w:t>
            </w:r>
          </w:p>
        </w:tc>
      </w:tr>
      <w:tr w:rsidR="00042CB3" w:rsidRPr="003F26ED" w14:paraId="00A1B96D" w14:textId="77777777" w:rsidTr="00042CB3">
        <w:tc>
          <w:tcPr>
            <w:tcW w:w="1435" w:type="dxa"/>
          </w:tcPr>
          <w:p w14:paraId="68306C7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Ebinger</w:t>
            </w:r>
          </w:p>
          <w:p w14:paraId="24BDF8D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JAMA</w:t>
            </w:r>
          </w:p>
          <w:p w14:paraId="2700CB6B" w14:textId="19EC1B48"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2014 </w:t>
            </w:r>
            <w:r w:rsidR="001F6011">
              <w:rPr>
                <w:rFonts w:ascii="Times New Roman" w:hAnsi="Times New Roman"/>
                <w:sz w:val="18"/>
                <w:szCs w:val="18"/>
              </w:rPr>
              <w:t>[124]</w:t>
            </w:r>
          </w:p>
        </w:tc>
        <w:tc>
          <w:tcPr>
            <w:tcW w:w="1440" w:type="dxa"/>
          </w:tcPr>
          <w:p w14:paraId="648883E3"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Starting thrombolysis in an ambulance</w:t>
            </w:r>
          </w:p>
        </w:tc>
        <w:tc>
          <w:tcPr>
            <w:tcW w:w="1260" w:type="dxa"/>
          </w:tcPr>
          <w:p w14:paraId="6438884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STEMO Consortium, Berlin, Germany</w:t>
            </w:r>
          </w:p>
        </w:tc>
        <w:tc>
          <w:tcPr>
            <w:tcW w:w="1170" w:type="dxa"/>
          </w:tcPr>
          <w:p w14:paraId="67D04249"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CT scanner with POCT laboratory on board</w:t>
            </w:r>
          </w:p>
        </w:tc>
        <w:tc>
          <w:tcPr>
            <w:tcW w:w="4045" w:type="dxa"/>
          </w:tcPr>
          <w:p w14:paraId="3B8BE374" w14:textId="77777777"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color w:val="211E1E"/>
                <w:sz w:val="18"/>
                <w:szCs w:val="18"/>
              </w:rPr>
              <w:t>Compared with usual care, ambulance-based CT scanner and POCT for Dx of ischemic stroke initiated thrombolysis decreasing time to Rx without an increase in adverse events.</w:t>
            </w:r>
          </w:p>
        </w:tc>
      </w:tr>
      <w:tr w:rsidR="00042CB3" w:rsidRPr="003F26ED" w14:paraId="43C69E71" w14:textId="77777777" w:rsidTr="00042CB3">
        <w:tc>
          <w:tcPr>
            <w:tcW w:w="1435" w:type="dxa"/>
          </w:tcPr>
          <w:p w14:paraId="57534DB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Walter</w:t>
            </w:r>
          </w:p>
          <w:p w14:paraId="31D9F58C"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Lancet Neurol</w:t>
            </w:r>
          </w:p>
          <w:p w14:paraId="11ADCF68" w14:textId="2148E94A"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 xml:space="preserve">2012 </w:t>
            </w:r>
            <w:r w:rsidR="001F6011">
              <w:rPr>
                <w:rFonts w:ascii="Times New Roman" w:hAnsi="Times New Roman"/>
                <w:sz w:val="18"/>
                <w:szCs w:val="18"/>
              </w:rPr>
              <w:t>[125]</w:t>
            </w:r>
          </w:p>
        </w:tc>
        <w:tc>
          <w:tcPr>
            <w:tcW w:w="1440" w:type="dxa"/>
          </w:tcPr>
          <w:p w14:paraId="53FA909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Mobile stroke unit to accelerate Dx/Rx</w:t>
            </w:r>
          </w:p>
        </w:tc>
        <w:tc>
          <w:tcPr>
            <w:tcW w:w="1260" w:type="dxa"/>
          </w:tcPr>
          <w:p w14:paraId="4E88BE9A"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Homburg, Germany</w:t>
            </w:r>
          </w:p>
        </w:tc>
        <w:tc>
          <w:tcPr>
            <w:tcW w:w="1170" w:type="dxa"/>
          </w:tcPr>
          <w:p w14:paraId="6F04EF10"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CT scanner,</w:t>
            </w:r>
          </w:p>
          <w:p w14:paraId="2B541FD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POCT, and</w:t>
            </w:r>
          </w:p>
          <w:p w14:paraId="55564BA7"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telemedicine</w:t>
            </w:r>
          </w:p>
        </w:tc>
        <w:tc>
          <w:tcPr>
            <w:tcW w:w="4045" w:type="dxa"/>
          </w:tcPr>
          <w:p w14:paraId="6AA1299F" w14:textId="77777777" w:rsidR="00042CB3" w:rsidRPr="003F26ED" w:rsidRDefault="00042CB3" w:rsidP="00042CB3">
            <w:pPr>
              <w:pStyle w:val="NormalWeb"/>
              <w:spacing w:line="240" w:lineRule="auto"/>
              <w:jc w:val="left"/>
              <w:rPr>
                <w:rFonts w:ascii="Times New Roman" w:hAnsi="Times New Roman"/>
                <w:color w:val="211E1E"/>
                <w:sz w:val="18"/>
                <w:szCs w:val="18"/>
              </w:rPr>
            </w:pPr>
            <w:r w:rsidRPr="003F26ED">
              <w:rPr>
                <w:rFonts w:ascii="Times New Roman" w:hAnsi="Times New Roman"/>
                <w:color w:val="211E1E"/>
                <w:sz w:val="18"/>
                <w:szCs w:val="18"/>
              </w:rPr>
              <w:t>Only 2-5% of patients receive thrombolytic treatment due to delay reaching hospitals. The mobile unit substantially reduced median time from rescue call to Rx decision, solving the problem of the arrival too late at the ED.</w:t>
            </w:r>
          </w:p>
        </w:tc>
      </w:tr>
      <w:tr w:rsidR="00042CB3" w:rsidRPr="003F26ED" w14:paraId="1954B484" w14:textId="77777777" w:rsidTr="00042CB3">
        <w:tc>
          <w:tcPr>
            <w:tcW w:w="9350" w:type="dxa"/>
            <w:gridSpan w:val="5"/>
          </w:tcPr>
          <w:p w14:paraId="35B91B2F" w14:textId="77777777" w:rsidR="00042CB3" w:rsidRPr="003F26ED" w:rsidRDefault="00042CB3" w:rsidP="00042CB3">
            <w:pPr>
              <w:pStyle w:val="NormalWeb"/>
              <w:spacing w:line="240" w:lineRule="auto"/>
              <w:jc w:val="left"/>
              <w:rPr>
                <w:rFonts w:ascii="Times New Roman" w:hAnsi="Times New Roman"/>
                <w:color w:val="211E1E"/>
                <w:sz w:val="18"/>
                <w:szCs w:val="18"/>
              </w:rPr>
            </w:pPr>
            <w:r w:rsidRPr="003F26ED">
              <w:rPr>
                <w:rFonts w:ascii="Times New Roman" w:hAnsi="Times New Roman"/>
                <w:b/>
                <w:bCs/>
                <w:sz w:val="18"/>
                <w:szCs w:val="18"/>
              </w:rPr>
              <w:t>Part 4. Healthcare Access</w:t>
            </w:r>
          </w:p>
        </w:tc>
      </w:tr>
      <w:tr w:rsidR="00042CB3" w:rsidRPr="003F26ED" w14:paraId="01F2E0BB" w14:textId="77777777" w:rsidTr="00042CB3">
        <w:tc>
          <w:tcPr>
            <w:tcW w:w="9350" w:type="dxa"/>
            <w:gridSpan w:val="5"/>
          </w:tcPr>
          <w:p w14:paraId="619DE8A5" w14:textId="77777777"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b/>
                <w:bCs/>
                <w:sz w:val="18"/>
                <w:szCs w:val="18"/>
              </w:rPr>
              <w:t>• Community Paramedics</w:t>
            </w:r>
          </w:p>
        </w:tc>
      </w:tr>
      <w:tr w:rsidR="00042CB3" w:rsidRPr="003F26ED" w14:paraId="09229CBB" w14:textId="77777777" w:rsidTr="00042CB3">
        <w:tc>
          <w:tcPr>
            <w:tcW w:w="1435" w:type="dxa"/>
          </w:tcPr>
          <w:p w14:paraId="5DA410C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Paramedics’ new roles</w:t>
            </w:r>
          </w:p>
          <w:p w14:paraId="7A2511B0" w14:textId="30DBB73B" w:rsidR="00042CB3" w:rsidRPr="003F26ED" w:rsidRDefault="00DA61ED" w:rsidP="00042CB3">
            <w:pPr>
              <w:spacing w:line="240" w:lineRule="auto"/>
              <w:jc w:val="left"/>
              <w:rPr>
                <w:rFonts w:ascii="Times New Roman" w:hAnsi="Times New Roman"/>
                <w:b/>
                <w:bCs/>
                <w:color w:val="FFFFFF" w:themeColor="background1"/>
                <w:sz w:val="18"/>
                <w:szCs w:val="18"/>
                <w:vertAlign w:val="superscript"/>
              </w:rPr>
            </w:pPr>
            <w:r>
              <w:rPr>
                <w:rFonts w:ascii="Times New Roman" w:hAnsi="Times New Roman"/>
                <w:sz w:val="18"/>
                <w:szCs w:val="18"/>
              </w:rPr>
              <w:t>[126-129]</w:t>
            </w:r>
          </w:p>
          <w:p w14:paraId="7B248AE4" w14:textId="77777777" w:rsidR="00042CB3" w:rsidRPr="003F26ED" w:rsidRDefault="00042CB3" w:rsidP="00042CB3">
            <w:pPr>
              <w:spacing w:line="240" w:lineRule="auto"/>
              <w:jc w:val="left"/>
              <w:rPr>
                <w:rFonts w:ascii="Times New Roman" w:hAnsi="Times New Roman"/>
                <w:color w:val="FFFFFF" w:themeColor="background1"/>
                <w:sz w:val="18"/>
                <w:szCs w:val="18"/>
              </w:rPr>
            </w:pPr>
          </w:p>
          <w:p w14:paraId="43F133B4" w14:textId="15F3A59C" w:rsidR="00042CB3" w:rsidRPr="003F26ED" w:rsidRDefault="00DA61ED" w:rsidP="00042CB3">
            <w:pPr>
              <w:spacing w:line="240" w:lineRule="auto"/>
              <w:jc w:val="left"/>
              <w:rPr>
                <w:rFonts w:ascii="Times New Roman" w:hAnsi="Times New Roman"/>
                <w:color w:val="000000" w:themeColor="text1"/>
                <w:sz w:val="18"/>
                <w:szCs w:val="18"/>
              </w:rPr>
            </w:pPr>
            <w:r>
              <w:rPr>
                <w:rFonts w:ascii="Times New Roman" w:hAnsi="Times New Roman"/>
                <w:color w:val="000000" w:themeColor="text1"/>
                <w:sz w:val="18"/>
                <w:szCs w:val="18"/>
              </w:rPr>
              <w:t>Paramedic e</w:t>
            </w:r>
            <w:r w:rsidR="00042CB3" w:rsidRPr="003F26ED">
              <w:rPr>
                <w:rFonts w:ascii="Times New Roman" w:hAnsi="Times New Roman"/>
                <w:color w:val="000000" w:themeColor="text1"/>
                <w:sz w:val="18"/>
                <w:szCs w:val="18"/>
              </w:rPr>
              <w:t>xamples</w:t>
            </w:r>
          </w:p>
          <w:p w14:paraId="1759695E" w14:textId="2724BE2B" w:rsidR="00042CB3" w:rsidRPr="003F26ED" w:rsidRDefault="00DA61ED" w:rsidP="00042CB3">
            <w:pPr>
              <w:spacing w:line="240" w:lineRule="auto"/>
              <w:jc w:val="left"/>
              <w:rPr>
                <w:rFonts w:ascii="Times New Roman" w:hAnsi="Times New Roman"/>
                <w:sz w:val="18"/>
                <w:szCs w:val="18"/>
              </w:rPr>
            </w:pPr>
            <w:r>
              <w:rPr>
                <w:rFonts w:ascii="Times New Roman" w:hAnsi="Times New Roman"/>
                <w:color w:val="000000" w:themeColor="text1"/>
                <w:sz w:val="18"/>
                <w:szCs w:val="18"/>
              </w:rPr>
              <w:t>[130,131]</w:t>
            </w:r>
          </w:p>
        </w:tc>
        <w:tc>
          <w:tcPr>
            <w:tcW w:w="1440" w:type="dxa"/>
          </w:tcPr>
          <w:p w14:paraId="5C2C00F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Paramedicine-augmented health delivery</w:t>
            </w:r>
          </w:p>
        </w:tc>
        <w:tc>
          <w:tcPr>
            <w:tcW w:w="1260" w:type="dxa"/>
          </w:tcPr>
          <w:p w14:paraId="1F2E821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Community sites</w:t>
            </w:r>
          </w:p>
        </w:tc>
        <w:tc>
          <w:tcPr>
            <w:tcW w:w="1170" w:type="dxa"/>
          </w:tcPr>
          <w:p w14:paraId="56425FB6"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POCT is integral to the community paramedic programs</w:t>
            </w:r>
          </w:p>
        </w:tc>
        <w:tc>
          <w:tcPr>
            <w:tcW w:w="4045" w:type="dxa"/>
          </w:tcPr>
          <w:p w14:paraId="4B5EA667" w14:textId="4C7F300E"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sz w:val="18"/>
                <w:szCs w:val="18"/>
              </w:rPr>
              <w:t>Paramedicine programs improve access to nonemergent health care in rural and remote communities by allowing paramedics and EM technicians to operate in expanded roles assisting with public health, primary care, and preventive services to underserved populations. Community paramedics can provide and connect patients to primary care services; complete posthospital follow-up care; integrate local public health agencies, home health agencies, and health systems; educate and promote wellness; and offer services not available elsewhere. POCT is a successful and valuable part of these paramedicine programs.</w:t>
            </w:r>
          </w:p>
        </w:tc>
      </w:tr>
      <w:tr w:rsidR="00042CB3" w:rsidRPr="003F26ED" w14:paraId="21FB3BB7" w14:textId="77777777" w:rsidTr="00042CB3">
        <w:tc>
          <w:tcPr>
            <w:tcW w:w="9350" w:type="dxa"/>
            <w:gridSpan w:val="5"/>
          </w:tcPr>
          <w:p w14:paraId="0FE36736" w14:textId="77777777" w:rsidR="00042CB3" w:rsidRPr="003F26ED" w:rsidRDefault="00042CB3" w:rsidP="00042CB3">
            <w:pPr>
              <w:pStyle w:val="NormalWeb"/>
              <w:spacing w:line="240" w:lineRule="auto"/>
              <w:jc w:val="left"/>
              <w:rPr>
                <w:rFonts w:ascii="Times New Roman" w:hAnsi="Times New Roman"/>
                <w:color w:val="211E1E"/>
                <w:sz w:val="18"/>
                <w:szCs w:val="18"/>
              </w:rPr>
            </w:pPr>
            <w:r w:rsidRPr="003F26ED">
              <w:rPr>
                <w:rFonts w:ascii="Times New Roman" w:hAnsi="Times New Roman"/>
                <w:b/>
                <w:bCs/>
                <w:sz w:val="18"/>
                <w:szCs w:val="18"/>
              </w:rPr>
              <w:t>• Hospital at Home</w:t>
            </w:r>
          </w:p>
        </w:tc>
      </w:tr>
      <w:tr w:rsidR="00042CB3" w:rsidRPr="003F26ED" w14:paraId="3CE0E4FE" w14:textId="77777777" w:rsidTr="00042CB3">
        <w:tc>
          <w:tcPr>
            <w:tcW w:w="1435" w:type="dxa"/>
          </w:tcPr>
          <w:p w14:paraId="3E2E9EB1" w14:textId="4AB16C2D" w:rsidR="00042CB3" w:rsidRPr="003F26ED" w:rsidRDefault="00042CB3" w:rsidP="00042CB3">
            <w:pPr>
              <w:spacing w:line="240" w:lineRule="auto"/>
              <w:jc w:val="left"/>
              <w:rPr>
                <w:rFonts w:ascii="Times New Roman" w:hAnsi="Times New Roman"/>
                <w:b/>
                <w:bCs/>
                <w:sz w:val="18"/>
                <w:szCs w:val="18"/>
              </w:rPr>
            </w:pPr>
            <w:r w:rsidRPr="003F26ED">
              <w:rPr>
                <w:rFonts w:ascii="Times New Roman" w:hAnsi="Times New Roman"/>
                <w:sz w:val="18"/>
                <w:szCs w:val="18"/>
              </w:rPr>
              <w:t xml:space="preserve">Hospital at Home Concept </w:t>
            </w:r>
            <w:r w:rsidR="00DA61ED">
              <w:rPr>
                <w:rFonts w:ascii="Times New Roman" w:hAnsi="Times New Roman"/>
                <w:sz w:val="18"/>
                <w:szCs w:val="18"/>
              </w:rPr>
              <w:t>[132-137]</w:t>
            </w:r>
          </w:p>
          <w:p w14:paraId="1D8AC385" w14:textId="77777777" w:rsidR="00042CB3" w:rsidRPr="003F26ED" w:rsidRDefault="00042CB3" w:rsidP="00042CB3">
            <w:pPr>
              <w:spacing w:line="240" w:lineRule="auto"/>
              <w:jc w:val="left"/>
              <w:rPr>
                <w:rFonts w:ascii="Times New Roman" w:hAnsi="Times New Roman"/>
                <w:b/>
                <w:bCs/>
                <w:sz w:val="18"/>
                <w:szCs w:val="18"/>
              </w:rPr>
            </w:pPr>
          </w:p>
          <w:p w14:paraId="6F7B8946" w14:textId="047EF8DE" w:rsidR="00042CB3" w:rsidRPr="003F26ED" w:rsidRDefault="00DA61ED" w:rsidP="00042CB3">
            <w:pPr>
              <w:spacing w:line="240" w:lineRule="auto"/>
              <w:jc w:val="left"/>
              <w:rPr>
                <w:rFonts w:ascii="Times New Roman" w:hAnsi="Times New Roman"/>
                <w:sz w:val="18"/>
                <w:szCs w:val="18"/>
              </w:rPr>
            </w:pPr>
            <w:r>
              <w:rPr>
                <w:rFonts w:ascii="Times New Roman" w:hAnsi="Times New Roman"/>
                <w:sz w:val="18"/>
                <w:szCs w:val="18"/>
              </w:rPr>
              <w:t>Home e</w:t>
            </w:r>
            <w:r w:rsidR="00042CB3" w:rsidRPr="003F26ED">
              <w:rPr>
                <w:rFonts w:ascii="Times New Roman" w:hAnsi="Times New Roman"/>
                <w:sz w:val="18"/>
                <w:szCs w:val="18"/>
              </w:rPr>
              <w:t>xamples</w:t>
            </w:r>
          </w:p>
          <w:p w14:paraId="714E38F7" w14:textId="50BC2D1B" w:rsidR="00042CB3" w:rsidRPr="003F26ED" w:rsidRDefault="00DA61ED" w:rsidP="00042CB3">
            <w:pPr>
              <w:spacing w:line="240" w:lineRule="auto"/>
              <w:jc w:val="left"/>
              <w:rPr>
                <w:rFonts w:ascii="Times New Roman" w:hAnsi="Times New Roman"/>
                <w:b/>
                <w:bCs/>
                <w:sz w:val="18"/>
                <w:szCs w:val="18"/>
              </w:rPr>
            </w:pPr>
            <w:r>
              <w:rPr>
                <w:rFonts w:ascii="Times New Roman" w:hAnsi="Times New Roman"/>
                <w:sz w:val="18"/>
                <w:szCs w:val="18"/>
              </w:rPr>
              <w:t>[138,139]</w:t>
            </w:r>
          </w:p>
        </w:tc>
        <w:tc>
          <w:tcPr>
            <w:tcW w:w="1440" w:type="dxa"/>
          </w:tcPr>
          <w:p w14:paraId="60EC435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Continuum care in residences</w:t>
            </w:r>
          </w:p>
        </w:tc>
        <w:tc>
          <w:tcPr>
            <w:tcW w:w="1260" w:type="dxa"/>
          </w:tcPr>
          <w:p w14:paraId="62E0DBF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Home settings</w:t>
            </w:r>
          </w:p>
        </w:tc>
        <w:tc>
          <w:tcPr>
            <w:tcW w:w="1170" w:type="dxa"/>
          </w:tcPr>
          <w:p w14:paraId="67646242"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POCT during in-person visits</w:t>
            </w:r>
          </w:p>
        </w:tc>
        <w:tc>
          <w:tcPr>
            <w:tcW w:w="4045" w:type="dxa"/>
          </w:tcPr>
          <w:p w14:paraId="111A66A8" w14:textId="77777777" w:rsidR="00042CB3" w:rsidRPr="003F26ED" w:rsidRDefault="00042CB3" w:rsidP="00042CB3">
            <w:pPr>
              <w:pStyle w:val="NormalWeb"/>
              <w:spacing w:line="240" w:lineRule="auto"/>
              <w:jc w:val="left"/>
              <w:rPr>
                <w:rFonts w:ascii="Times New Roman" w:hAnsi="Times New Roman"/>
                <w:color w:val="211E1E"/>
                <w:sz w:val="18"/>
                <w:szCs w:val="18"/>
              </w:rPr>
            </w:pPr>
            <w:r w:rsidRPr="003F26ED">
              <w:rPr>
                <w:rFonts w:ascii="Times New Roman" w:hAnsi="Times New Roman"/>
                <w:sz w:val="18"/>
                <w:szCs w:val="18"/>
              </w:rPr>
              <w:t>Hospital-level care in the comfort of the patient’s home when registered with a hospital. Caregivers visit daily supplemented by virtual visits. POCT is used during in-person visits. Blood for hospital laboratory testing may be dropped off at the laboratory by the caregiver after their in-person visit.</w:t>
            </w:r>
          </w:p>
        </w:tc>
      </w:tr>
      <w:tr w:rsidR="00042CB3" w:rsidRPr="003F26ED" w14:paraId="7A9542D4" w14:textId="77777777" w:rsidTr="00042CB3">
        <w:tc>
          <w:tcPr>
            <w:tcW w:w="9350" w:type="dxa"/>
            <w:gridSpan w:val="5"/>
          </w:tcPr>
          <w:p w14:paraId="1ABDB353" w14:textId="77777777"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b/>
                <w:bCs/>
                <w:sz w:val="18"/>
                <w:szCs w:val="18"/>
              </w:rPr>
              <w:t>• Unmanned Aerial Systems (Drones)</w:t>
            </w:r>
          </w:p>
        </w:tc>
      </w:tr>
      <w:tr w:rsidR="00042CB3" w:rsidRPr="003F26ED" w14:paraId="31B2761F" w14:textId="77777777" w:rsidTr="008A7CBF">
        <w:trPr>
          <w:trHeight w:val="1754"/>
        </w:trPr>
        <w:tc>
          <w:tcPr>
            <w:tcW w:w="1435" w:type="dxa"/>
          </w:tcPr>
          <w:p w14:paraId="4B31AA63" w14:textId="77777777" w:rsidR="00042CB3" w:rsidRPr="003F26ED" w:rsidRDefault="00042CB3" w:rsidP="00042CB3">
            <w:pPr>
              <w:spacing w:line="240" w:lineRule="auto"/>
              <w:jc w:val="left"/>
              <w:rPr>
                <w:rFonts w:ascii="Times New Roman" w:hAnsi="Times New Roman"/>
                <w:b/>
                <w:bCs/>
                <w:color w:val="000000" w:themeColor="text1"/>
                <w:sz w:val="18"/>
                <w:szCs w:val="18"/>
                <w:vertAlign w:val="subscript"/>
              </w:rPr>
            </w:pPr>
            <w:r w:rsidRPr="003F26ED">
              <w:rPr>
                <w:rFonts w:ascii="Times New Roman" w:hAnsi="Times New Roman"/>
                <w:color w:val="000000" w:themeColor="text1"/>
                <w:sz w:val="18"/>
                <w:szCs w:val="18"/>
              </w:rPr>
              <w:t>Investigator</w:t>
            </w:r>
          </w:p>
          <w:p w14:paraId="4B627D0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Application Reports</w:t>
            </w:r>
          </w:p>
          <w:p w14:paraId="1C63EA1D"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2015-2022</w:t>
            </w:r>
          </w:p>
          <w:p w14:paraId="40190937" w14:textId="5AADF5FC" w:rsidR="00042CB3" w:rsidRPr="003F26ED" w:rsidRDefault="00DA61ED" w:rsidP="00042CB3">
            <w:pPr>
              <w:spacing w:line="240" w:lineRule="auto"/>
              <w:jc w:val="left"/>
              <w:rPr>
                <w:rFonts w:ascii="Times New Roman" w:hAnsi="Times New Roman"/>
                <w:sz w:val="18"/>
                <w:szCs w:val="18"/>
              </w:rPr>
            </w:pPr>
            <w:r>
              <w:rPr>
                <w:rFonts w:ascii="Times New Roman" w:hAnsi="Times New Roman"/>
                <w:sz w:val="18"/>
                <w:szCs w:val="18"/>
              </w:rPr>
              <w:t>[140-147]</w:t>
            </w:r>
          </w:p>
          <w:p w14:paraId="1B83630B"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and</w:t>
            </w:r>
          </w:p>
          <w:p w14:paraId="1A7B4B3B" w14:textId="77777777" w:rsidR="00042CB3" w:rsidRPr="008A7CBF" w:rsidRDefault="00042CB3" w:rsidP="00042CB3">
            <w:pPr>
              <w:spacing w:line="240" w:lineRule="auto"/>
              <w:jc w:val="left"/>
              <w:rPr>
                <w:rFonts w:ascii="Times New Roman" w:hAnsi="Times New Roman"/>
                <w:sz w:val="18"/>
                <w:szCs w:val="18"/>
              </w:rPr>
            </w:pPr>
            <w:r w:rsidRPr="008A7CBF">
              <w:rPr>
                <w:rFonts w:ascii="Times New Roman" w:hAnsi="Times New Roman"/>
                <w:sz w:val="18"/>
                <w:szCs w:val="18"/>
              </w:rPr>
              <w:t>Kost</w:t>
            </w:r>
          </w:p>
          <w:p w14:paraId="0701CCAF" w14:textId="77777777" w:rsidR="00042CB3" w:rsidRPr="008A7CBF" w:rsidRDefault="00042CB3" w:rsidP="00042CB3">
            <w:pPr>
              <w:spacing w:line="240" w:lineRule="auto"/>
              <w:jc w:val="left"/>
              <w:rPr>
                <w:rFonts w:ascii="Times New Roman" w:hAnsi="Times New Roman"/>
                <w:sz w:val="18"/>
                <w:szCs w:val="18"/>
              </w:rPr>
            </w:pPr>
            <w:r w:rsidRPr="008A7CBF">
              <w:rPr>
                <w:rFonts w:ascii="Times New Roman" w:hAnsi="Times New Roman"/>
                <w:sz w:val="18"/>
                <w:szCs w:val="18"/>
              </w:rPr>
              <w:t>Point of Care</w:t>
            </w:r>
          </w:p>
          <w:p w14:paraId="6B161C87" w14:textId="06E73720" w:rsidR="00042CB3" w:rsidRPr="008A7CBF" w:rsidRDefault="00042CB3" w:rsidP="00042CB3">
            <w:pPr>
              <w:spacing w:line="240" w:lineRule="auto"/>
              <w:jc w:val="left"/>
              <w:rPr>
                <w:rFonts w:ascii="Times New Roman" w:hAnsi="Times New Roman"/>
                <w:sz w:val="18"/>
                <w:szCs w:val="18"/>
              </w:rPr>
            </w:pPr>
            <w:r w:rsidRPr="008A7CBF">
              <w:rPr>
                <w:rFonts w:ascii="Times New Roman" w:hAnsi="Times New Roman"/>
                <w:sz w:val="18"/>
                <w:szCs w:val="18"/>
              </w:rPr>
              <w:t xml:space="preserve">2017 </w:t>
            </w:r>
            <w:r w:rsidR="008A7CBF" w:rsidRPr="008A7CBF">
              <w:rPr>
                <w:rFonts w:ascii="Times New Roman" w:hAnsi="Times New Roman"/>
                <w:sz w:val="18"/>
                <w:szCs w:val="18"/>
              </w:rPr>
              <w:t>[31]</w:t>
            </w:r>
          </w:p>
        </w:tc>
        <w:tc>
          <w:tcPr>
            <w:tcW w:w="1440" w:type="dxa"/>
          </w:tcPr>
          <w:p w14:paraId="4A5167C5"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POC delivery options</w:t>
            </w:r>
          </w:p>
        </w:tc>
        <w:tc>
          <w:tcPr>
            <w:tcW w:w="1260" w:type="dxa"/>
          </w:tcPr>
          <w:p w14:paraId="3006CCCE"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Remote settings</w:t>
            </w:r>
          </w:p>
        </w:tc>
        <w:tc>
          <w:tcPr>
            <w:tcW w:w="1170" w:type="dxa"/>
          </w:tcPr>
          <w:p w14:paraId="0FEBC551" w14:textId="77777777" w:rsidR="00042CB3" w:rsidRPr="003F26ED" w:rsidRDefault="00042CB3" w:rsidP="00042CB3">
            <w:pPr>
              <w:spacing w:line="240" w:lineRule="auto"/>
              <w:jc w:val="left"/>
              <w:rPr>
                <w:rFonts w:ascii="Times New Roman" w:hAnsi="Times New Roman"/>
                <w:sz w:val="18"/>
                <w:szCs w:val="18"/>
              </w:rPr>
            </w:pPr>
            <w:r w:rsidRPr="003F26ED">
              <w:rPr>
                <w:rFonts w:ascii="Times New Roman" w:hAnsi="Times New Roman"/>
                <w:sz w:val="18"/>
                <w:szCs w:val="18"/>
              </w:rPr>
              <w:t>Test kits, nucleic acid diagnostics, specimens, blood products</w:t>
            </w:r>
          </w:p>
        </w:tc>
        <w:tc>
          <w:tcPr>
            <w:tcW w:w="4045" w:type="dxa"/>
          </w:tcPr>
          <w:p w14:paraId="62FD7D08" w14:textId="77777777" w:rsidR="00042CB3" w:rsidRPr="003F26ED" w:rsidRDefault="00042CB3" w:rsidP="00042CB3">
            <w:pPr>
              <w:pStyle w:val="NormalWeb"/>
              <w:spacing w:line="240" w:lineRule="auto"/>
              <w:jc w:val="left"/>
              <w:rPr>
                <w:rFonts w:ascii="Times New Roman" w:hAnsi="Times New Roman"/>
                <w:sz w:val="18"/>
                <w:szCs w:val="18"/>
              </w:rPr>
            </w:pPr>
            <w:r w:rsidRPr="003F26ED">
              <w:rPr>
                <w:rFonts w:ascii="Times New Roman" w:hAnsi="Times New Roman"/>
                <w:sz w:val="18"/>
                <w:szCs w:val="18"/>
              </w:rPr>
              <w:t>Transporting specimens via small drones does not affect the accuracy of routine chemistry, hematology, and coagulation tests results. Drone-based medical delivery models offer an innovative approach to addressing longstanding issues of health care access and equity and are particularly relevant to COVID-19. Additionally, the use of an AED-equipped drone has the potential to reduce time to defibrillation in out-of-hospital cardiac arrest.</w:t>
            </w:r>
          </w:p>
        </w:tc>
      </w:tr>
    </w:tbl>
    <w:p w14:paraId="266A516A" w14:textId="77777777" w:rsidR="00042CB3" w:rsidRDefault="00042CB3" w:rsidP="00042CB3">
      <w:pPr>
        <w:rPr>
          <w:rFonts w:ascii="Times New Roman" w:hAnsi="Times New Roman" w:cs="Times New Roman"/>
          <w:b/>
          <w:bCs/>
          <w:sz w:val="18"/>
          <w:szCs w:val="18"/>
        </w:rPr>
      </w:pPr>
    </w:p>
    <w:p w14:paraId="57C2144A" w14:textId="516B9440" w:rsidR="00042CB3" w:rsidRDefault="00042CB3" w:rsidP="00042CB3">
      <w:pPr>
        <w:rPr>
          <w:rFonts w:ascii="Times New Roman" w:hAnsi="Times New Roman" w:cs="Times New Roman"/>
          <w:sz w:val="18"/>
          <w:szCs w:val="18"/>
        </w:rPr>
      </w:pPr>
      <w:r w:rsidRPr="00B424D3">
        <w:rPr>
          <w:rFonts w:ascii="Times New Roman" w:hAnsi="Times New Roman" w:cs="Times New Roman"/>
          <w:b/>
          <w:bCs/>
          <w:sz w:val="18"/>
          <w:szCs w:val="18"/>
        </w:rPr>
        <w:t xml:space="preserve">Abbreviations: </w:t>
      </w:r>
      <w:r w:rsidRPr="00B424D3">
        <w:rPr>
          <w:rFonts w:ascii="Times New Roman" w:hAnsi="Times New Roman" w:cs="Times New Roman"/>
          <w:sz w:val="18"/>
          <w:szCs w:val="18"/>
        </w:rPr>
        <w:t>AbT, antibody test;</w:t>
      </w:r>
      <w:r w:rsidRPr="00B424D3">
        <w:rPr>
          <w:rFonts w:ascii="Times New Roman" w:hAnsi="Times New Roman" w:cs="Times New Roman"/>
          <w:b/>
          <w:bCs/>
          <w:sz w:val="18"/>
          <w:szCs w:val="18"/>
        </w:rPr>
        <w:t xml:space="preserve"> </w:t>
      </w:r>
      <w:r w:rsidRPr="00B424D3">
        <w:rPr>
          <w:rFonts w:ascii="Times New Roman" w:hAnsi="Times New Roman" w:cs="Times New Roman"/>
          <w:sz w:val="18"/>
          <w:szCs w:val="18"/>
        </w:rPr>
        <w:t>ACS, acute coronary syndrome;</w:t>
      </w:r>
      <w:r>
        <w:rPr>
          <w:rFonts w:ascii="Times New Roman" w:hAnsi="Times New Roman" w:cs="Times New Roman"/>
          <w:b/>
          <w:bCs/>
          <w:sz w:val="18"/>
          <w:szCs w:val="18"/>
        </w:rPr>
        <w:t xml:space="preserve"> </w:t>
      </w:r>
      <w:r w:rsidRPr="00FD5DD1">
        <w:rPr>
          <w:rFonts w:ascii="Times New Roman" w:hAnsi="Times New Roman" w:cs="Times New Roman"/>
          <w:sz w:val="18"/>
          <w:szCs w:val="18"/>
        </w:rPr>
        <w:t>AED, automated external defibr</w:t>
      </w:r>
      <w:r>
        <w:rPr>
          <w:rFonts w:ascii="Times New Roman" w:hAnsi="Times New Roman" w:cs="Times New Roman"/>
          <w:sz w:val="18"/>
          <w:szCs w:val="18"/>
        </w:rPr>
        <w:t>ill</w:t>
      </w:r>
      <w:r w:rsidRPr="00FD5DD1">
        <w:rPr>
          <w:rFonts w:ascii="Times New Roman" w:hAnsi="Times New Roman" w:cs="Times New Roman"/>
          <w:sz w:val="18"/>
          <w:szCs w:val="18"/>
        </w:rPr>
        <w:t>ator;</w:t>
      </w:r>
      <w:r>
        <w:rPr>
          <w:rFonts w:ascii="Times New Roman" w:hAnsi="Times New Roman" w:cs="Times New Roman"/>
          <w:b/>
          <w:bCs/>
          <w:sz w:val="18"/>
          <w:szCs w:val="18"/>
        </w:rPr>
        <w:t xml:space="preserve"> </w:t>
      </w:r>
      <w:r w:rsidRPr="00B424D3">
        <w:rPr>
          <w:rFonts w:ascii="Times New Roman" w:hAnsi="Times New Roman" w:cs="Times New Roman"/>
          <w:sz w:val="18"/>
          <w:szCs w:val="18"/>
        </w:rPr>
        <w:t xml:space="preserve">AHF, acute heart failure; AHS, Alberta Health Services; AMI, acute myocardial infarction; </w:t>
      </w:r>
      <w:r w:rsidRPr="00B424D3">
        <w:rPr>
          <w:rFonts w:ascii="Times New Roman" w:hAnsi="Times New Roman" w:cs="Times New Roman"/>
          <w:i/>
          <w:iCs/>
          <w:sz w:val="18"/>
          <w:szCs w:val="18"/>
        </w:rPr>
        <w:t>APLM, Archives of Pathology and Laboratory Medicine;</w:t>
      </w:r>
      <w:r w:rsidRPr="00B424D3">
        <w:rPr>
          <w:rFonts w:ascii="Times New Roman" w:hAnsi="Times New Roman" w:cs="Times New Roman"/>
          <w:sz w:val="18"/>
          <w:szCs w:val="18"/>
        </w:rPr>
        <w:t xml:space="preserve"> BG, blood gases (pO</w:t>
      </w:r>
      <w:r w:rsidRPr="00B424D3">
        <w:rPr>
          <w:rFonts w:ascii="Times New Roman" w:hAnsi="Times New Roman" w:cs="Times New Roman"/>
          <w:sz w:val="18"/>
          <w:szCs w:val="18"/>
          <w:vertAlign w:val="subscript"/>
        </w:rPr>
        <w:t>2</w:t>
      </w:r>
      <w:r w:rsidRPr="00B424D3">
        <w:rPr>
          <w:rFonts w:ascii="Times New Roman" w:hAnsi="Times New Roman" w:cs="Times New Roman"/>
          <w:sz w:val="18"/>
          <w:szCs w:val="18"/>
        </w:rPr>
        <w:t>, pCO</w:t>
      </w:r>
      <w:r w:rsidRPr="00B424D3">
        <w:rPr>
          <w:rFonts w:ascii="Times New Roman" w:hAnsi="Times New Roman" w:cs="Times New Roman"/>
          <w:sz w:val="18"/>
          <w:szCs w:val="18"/>
          <w:vertAlign w:val="subscript"/>
        </w:rPr>
        <w:t>2</w:t>
      </w:r>
      <w:r w:rsidRPr="00B424D3">
        <w:rPr>
          <w:rFonts w:ascii="Times New Roman" w:hAnsi="Times New Roman" w:cs="Times New Roman"/>
          <w:sz w:val="18"/>
          <w:szCs w:val="18"/>
        </w:rPr>
        <w:t xml:space="preserve">, pH); BNP, blood natriuretic peptide (or NT-proBNP); </w:t>
      </w:r>
      <w:r w:rsidR="006C11CD">
        <w:rPr>
          <w:rFonts w:ascii="Times New Roman" w:hAnsi="Times New Roman" w:cs="Times New Roman"/>
          <w:sz w:val="18"/>
          <w:szCs w:val="18"/>
        </w:rPr>
        <w:t xml:space="preserve">BUN, blood urea nitrogen; </w:t>
      </w:r>
      <w:r w:rsidRPr="00B424D3">
        <w:rPr>
          <w:rFonts w:ascii="Times New Roman" w:hAnsi="Times New Roman" w:cs="Times New Roman"/>
          <w:sz w:val="18"/>
          <w:szCs w:val="18"/>
        </w:rPr>
        <w:t>Ca</w:t>
      </w:r>
      <w:r w:rsidRPr="00B424D3">
        <w:rPr>
          <w:rFonts w:ascii="Times New Roman" w:hAnsi="Times New Roman" w:cs="Times New Roman"/>
          <w:sz w:val="18"/>
          <w:szCs w:val="18"/>
          <w:vertAlign w:val="superscript"/>
        </w:rPr>
        <w:t>++</w:t>
      </w:r>
      <w:r w:rsidRPr="00B424D3">
        <w:rPr>
          <w:rFonts w:ascii="Times New Roman" w:hAnsi="Times New Roman" w:cs="Times New Roman"/>
          <w:sz w:val="18"/>
          <w:szCs w:val="18"/>
        </w:rPr>
        <w:t xml:space="preserve">, ionized calcium, typically measured in whole blood; CCU, cardiac (coronary) care unit; CHF, congestive heart failure; CO, carbon monoxide; COPD, chronic obstructive pulmonary disease; COVID-19, Coronavirus infectious disease 2019; Cr, creatinine; </w:t>
      </w:r>
      <w:r w:rsidR="003161DB">
        <w:rPr>
          <w:rFonts w:ascii="Times New Roman" w:hAnsi="Times New Roman" w:cs="Times New Roman"/>
          <w:sz w:val="18"/>
          <w:szCs w:val="18"/>
        </w:rPr>
        <w:t xml:space="preserve">CRP, C-reactive protein; </w:t>
      </w:r>
      <w:r w:rsidRPr="00B424D3">
        <w:rPr>
          <w:rFonts w:ascii="Times New Roman" w:hAnsi="Times New Roman" w:cs="Times New Roman"/>
          <w:sz w:val="18"/>
          <w:szCs w:val="18"/>
        </w:rPr>
        <w:t xml:space="preserve">CT, computerized tomography; cTn, cardiac troponin I (cTnI) or T (cTnT); Dx, diagnosis; </w:t>
      </w:r>
      <w:r w:rsidRPr="00B424D3">
        <w:rPr>
          <w:rFonts w:ascii="Times New Roman" w:hAnsi="Times New Roman" w:cs="Times New Roman"/>
          <w:i/>
          <w:iCs/>
          <w:sz w:val="18"/>
          <w:szCs w:val="18"/>
        </w:rPr>
        <w:t>EHJACC, European Heart Journal - Acute Cardiovascular Care</w:t>
      </w:r>
      <w:r w:rsidRPr="00B424D3">
        <w:rPr>
          <w:rFonts w:ascii="Times New Roman" w:hAnsi="Times New Roman" w:cs="Times New Roman"/>
          <w:sz w:val="18"/>
          <w:szCs w:val="18"/>
        </w:rPr>
        <w:t xml:space="preserve">; ED, emergency department; EMS, emergency medical services; ER, emergency room; FN, false negative; HC, healthcare; Hct, hematocrit; HEART, protocol comprising history, electrocardiogram, age, risk factors, and troponin; HF, heart failure; Hgb, hemoglobin; </w:t>
      </w:r>
      <w:r>
        <w:rPr>
          <w:rFonts w:ascii="Times New Roman" w:hAnsi="Times New Roman" w:cs="Times New Roman"/>
          <w:sz w:val="18"/>
          <w:szCs w:val="18"/>
        </w:rPr>
        <w:t xml:space="preserve">; </w:t>
      </w:r>
      <w:r w:rsidRPr="00B424D3">
        <w:rPr>
          <w:rFonts w:ascii="Times New Roman" w:hAnsi="Times New Roman" w:cs="Times New Roman"/>
          <w:sz w:val="18"/>
          <w:szCs w:val="18"/>
        </w:rPr>
        <w:t xml:space="preserve">hs-cTn, high sensitivity cTn; ICU, intensive care unit; IHD, ischemic heart disease; INR, International Normalized Ratio; </w:t>
      </w:r>
      <w:r w:rsidRPr="00B424D3">
        <w:rPr>
          <w:rFonts w:ascii="Times New Roman" w:hAnsi="Times New Roman" w:cs="Times New Roman"/>
          <w:i/>
          <w:iCs/>
          <w:sz w:val="18"/>
          <w:szCs w:val="18"/>
        </w:rPr>
        <w:t>JAMA, Journal of the American Medical Association</w:t>
      </w:r>
      <w:r w:rsidRPr="00B424D3">
        <w:rPr>
          <w:rFonts w:ascii="Times New Roman" w:hAnsi="Times New Roman" w:cs="Times New Roman"/>
          <w:sz w:val="18"/>
          <w:szCs w:val="18"/>
        </w:rPr>
        <w:t xml:space="preserve">; </w:t>
      </w:r>
      <w:r w:rsidRPr="00B424D3">
        <w:rPr>
          <w:rFonts w:ascii="Times New Roman" w:hAnsi="Times New Roman" w:cs="Times New Roman"/>
          <w:i/>
          <w:iCs/>
          <w:sz w:val="18"/>
          <w:szCs w:val="18"/>
        </w:rPr>
        <w:t>JCH,</w:t>
      </w:r>
      <w:r w:rsidRPr="00B424D3">
        <w:rPr>
          <w:rFonts w:ascii="Times New Roman" w:hAnsi="Times New Roman" w:cs="Times New Roman"/>
          <w:sz w:val="18"/>
          <w:szCs w:val="18"/>
        </w:rPr>
        <w:t xml:space="preserve"> </w:t>
      </w:r>
      <w:r w:rsidRPr="00B424D3">
        <w:rPr>
          <w:rFonts w:ascii="Times New Roman" w:hAnsi="Times New Roman" w:cs="Times New Roman"/>
          <w:i/>
          <w:iCs/>
          <w:sz w:val="18"/>
          <w:szCs w:val="18"/>
        </w:rPr>
        <w:t>Journal of Cambodian Health</w:t>
      </w:r>
      <w:r w:rsidRPr="00B424D3">
        <w:rPr>
          <w:rFonts w:ascii="Times New Roman" w:hAnsi="Times New Roman" w:cs="Times New Roman"/>
          <w:sz w:val="18"/>
          <w:szCs w:val="18"/>
        </w:rPr>
        <w:t xml:space="preserve">; </w:t>
      </w:r>
      <w:r w:rsidRPr="00B424D3">
        <w:rPr>
          <w:rFonts w:ascii="Times New Roman" w:hAnsi="Times New Roman" w:cs="Times New Roman"/>
          <w:i/>
          <w:iCs/>
          <w:sz w:val="18"/>
          <w:szCs w:val="18"/>
        </w:rPr>
        <w:t>JIFCCLM, Journal of the International Federation of Clinical Chemistry and Laboratory Medicine</w:t>
      </w:r>
      <w:r w:rsidRPr="00B424D3">
        <w:rPr>
          <w:rFonts w:ascii="Times New Roman" w:hAnsi="Times New Roman" w:cs="Times New Roman"/>
          <w:sz w:val="18"/>
          <w:szCs w:val="18"/>
        </w:rPr>
        <w:t xml:space="preserve">; LSI, life-saving interventions; NPV, negative predictive value; NSTEMI, non-ST-segment elevation myocardial infarction; </w:t>
      </w:r>
      <w:r w:rsidR="006C5F4C">
        <w:rPr>
          <w:rFonts w:ascii="Times New Roman" w:hAnsi="Times New Roman" w:cs="Times New Roman"/>
          <w:sz w:val="18"/>
          <w:szCs w:val="18"/>
        </w:rPr>
        <w:t>O</w:t>
      </w:r>
      <w:r w:rsidR="006C5F4C" w:rsidRPr="006C5F4C">
        <w:rPr>
          <w:rFonts w:ascii="Times New Roman" w:hAnsi="Times New Roman" w:cs="Times New Roman"/>
          <w:sz w:val="18"/>
          <w:szCs w:val="18"/>
          <w:vertAlign w:val="subscript"/>
        </w:rPr>
        <w:t>2</w:t>
      </w:r>
      <w:r w:rsidR="006C5F4C">
        <w:rPr>
          <w:rFonts w:ascii="Times New Roman" w:hAnsi="Times New Roman" w:cs="Times New Roman"/>
          <w:sz w:val="18"/>
          <w:szCs w:val="18"/>
        </w:rPr>
        <w:t xml:space="preserve"> Sat, oxygen saturation; </w:t>
      </w:r>
      <w:r w:rsidRPr="00B424D3">
        <w:rPr>
          <w:rFonts w:ascii="Times New Roman" w:hAnsi="Times New Roman" w:cs="Times New Roman"/>
          <w:i/>
          <w:iCs/>
          <w:sz w:val="18"/>
          <w:szCs w:val="18"/>
        </w:rPr>
        <w:t>ODH, Omnia Digital Health</w:t>
      </w:r>
      <w:r w:rsidRPr="00B424D3">
        <w:rPr>
          <w:rFonts w:ascii="Times New Roman" w:hAnsi="Times New Roman" w:cs="Times New Roman"/>
          <w:sz w:val="18"/>
          <w:szCs w:val="18"/>
        </w:rPr>
        <w:t>; PCI, percutaneous coronary intervention; PE, pulmonary embolism; PetCO</w:t>
      </w:r>
      <w:r w:rsidRPr="00B424D3">
        <w:rPr>
          <w:rFonts w:ascii="Times New Roman" w:hAnsi="Times New Roman" w:cs="Times New Roman"/>
          <w:sz w:val="18"/>
          <w:szCs w:val="18"/>
          <w:vertAlign w:val="subscript"/>
        </w:rPr>
        <w:t>2</w:t>
      </w:r>
      <w:r w:rsidRPr="00B424D3">
        <w:rPr>
          <w:rFonts w:ascii="Times New Roman" w:hAnsi="Times New Roman" w:cs="Times New Roman"/>
          <w:sz w:val="18"/>
          <w:szCs w:val="18"/>
        </w:rPr>
        <w:t>, probability and end-tidal CO</w:t>
      </w:r>
      <w:r w:rsidRPr="00B424D3">
        <w:rPr>
          <w:rFonts w:ascii="Times New Roman" w:hAnsi="Times New Roman" w:cs="Times New Roman"/>
          <w:sz w:val="18"/>
          <w:szCs w:val="18"/>
          <w:vertAlign w:val="subscript"/>
        </w:rPr>
        <w:t>2</w:t>
      </w:r>
      <w:r w:rsidRPr="00B424D3">
        <w:rPr>
          <w:rFonts w:ascii="Times New Roman" w:hAnsi="Times New Roman" w:cs="Times New Roman"/>
          <w:sz w:val="18"/>
          <w:szCs w:val="18"/>
        </w:rPr>
        <w:t xml:space="preserve">; POC, point-of-care; POCT, POC testing; PPV, positive predictive value; PT, prothrombin time; </w:t>
      </w:r>
      <w:r>
        <w:rPr>
          <w:rFonts w:ascii="Times New Roman" w:hAnsi="Times New Roman" w:cs="Times New Roman"/>
          <w:sz w:val="18"/>
          <w:szCs w:val="18"/>
        </w:rPr>
        <w:t xml:space="preserve">Publ Hlth, Public Health; </w:t>
      </w:r>
      <w:r w:rsidRPr="00B424D3">
        <w:rPr>
          <w:rFonts w:ascii="Times New Roman" w:hAnsi="Times New Roman" w:cs="Times New Roman"/>
          <w:sz w:val="18"/>
          <w:szCs w:val="18"/>
        </w:rPr>
        <w:t xml:space="preserve">qSOFA, quick sequential (sepsis-related) organ failure assessment; RAgT, rapid antigen test; </w:t>
      </w:r>
      <w:r w:rsidR="006C11CD">
        <w:rPr>
          <w:rFonts w:ascii="Times New Roman" w:hAnsi="Times New Roman" w:cs="Times New Roman"/>
          <w:sz w:val="18"/>
          <w:szCs w:val="18"/>
        </w:rPr>
        <w:t xml:space="preserve">RR, respiratory rate; </w:t>
      </w:r>
      <w:r w:rsidRPr="00B424D3">
        <w:rPr>
          <w:rFonts w:ascii="Times New Roman" w:hAnsi="Times New Roman" w:cs="Times New Roman"/>
          <w:sz w:val="18"/>
          <w:szCs w:val="18"/>
        </w:rPr>
        <w:t xml:space="preserve">RT-PCR, reverse transcriptase-polymerase chain reaction; Rx, treatment; </w:t>
      </w:r>
      <w:r w:rsidRPr="00B424D3">
        <w:rPr>
          <w:rFonts w:ascii="Times New Roman" w:hAnsi="Times New Roman" w:cs="Times New Roman"/>
          <w:i/>
          <w:iCs/>
          <w:sz w:val="18"/>
          <w:szCs w:val="18"/>
        </w:rPr>
        <w:t>SJTREM, Scandian Journal of Rescue, Trauma, and Emergency Medicine</w:t>
      </w:r>
      <w:r w:rsidRPr="00B424D3">
        <w:rPr>
          <w:rFonts w:ascii="Times New Roman" w:hAnsi="Times New Roman" w:cs="Times New Roman"/>
          <w:sz w:val="18"/>
          <w:szCs w:val="18"/>
        </w:rPr>
        <w:t xml:space="preserve">; STEMO, stroke emergency mobile (unit); STI, sexually transmitted infections; SWOT, strengths, weaknesses, opportunities, and threats; SWN, small-world network; </w:t>
      </w:r>
      <w:r w:rsidR="0051009E">
        <w:rPr>
          <w:rFonts w:ascii="Times New Roman" w:hAnsi="Times New Roman" w:cs="Times New Roman"/>
          <w:sz w:val="18"/>
          <w:szCs w:val="18"/>
        </w:rPr>
        <w:t xml:space="preserve">T2DM, type 2 diabetes; </w:t>
      </w:r>
      <w:r w:rsidRPr="00B424D3">
        <w:rPr>
          <w:rFonts w:ascii="Times New Roman" w:hAnsi="Times New Roman" w:cs="Times New Roman"/>
          <w:sz w:val="18"/>
          <w:szCs w:val="18"/>
        </w:rPr>
        <w:t xml:space="preserve">TAT, turnaround time; </w:t>
      </w:r>
      <w:r>
        <w:rPr>
          <w:rFonts w:ascii="Times New Roman" w:hAnsi="Times New Roman" w:cs="Times New Roman"/>
          <w:sz w:val="18"/>
          <w:szCs w:val="18"/>
        </w:rPr>
        <w:t xml:space="preserve">TB, tuberculosis; </w:t>
      </w:r>
      <w:r w:rsidRPr="00B424D3">
        <w:rPr>
          <w:rFonts w:ascii="Times New Roman" w:hAnsi="Times New Roman" w:cs="Times New Roman"/>
          <w:sz w:val="18"/>
          <w:szCs w:val="18"/>
        </w:rPr>
        <w:t>TCO</w:t>
      </w:r>
      <w:r w:rsidRPr="00B424D3">
        <w:rPr>
          <w:rFonts w:ascii="Times New Roman" w:hAnsi="Times New Roman" w:cs="Times New Roman"/>
          <w:sz w:val="18"/>
          <w:szCs w:val="18"/>
          <w:vertAlign w:val="subscript"/>
        </w:rPr>
        <w:t>2</w:t>
      </w:r>
      <w:r w:rsidRPr="00B424D3">
        <w:rPr>
          <w:rFonts w:ascii="Times New Roman" w:hAnsi="Times New Roman" w:cs="Times New Roman"/>
          <w:sz w:val="18"/>
          <w:szCs w:val="18"/>
        </w:rPr>
        <w:t>, total carbon dioxide; VBG, venous blood gasses; WHO, World Health Organization; and WBA, whole-blood analyzer.</w:t>
      </w:r>
    </w:p>
    <w:p w14:paraId="05887E89" w14:textId="77777777" w:rsidR="00042CB3" w:rsidRDefault="00042CB3" w:rsidP="00042CB3">
      <w:pPr>
        <w:rPr>
          <w:rFonts w:ascii="Times New Roman" w:hAnsi="Times New Roman" w:cs="Times New Roman"/>
          <w:sz w:val="18"/>
          <w:szCs w:val="18"/>
        </w:rPr>
      </w:pPr>
    </w:p>
    <w:p w14:paraId="045959B4" w14:textId="7955F03E" w:rsidR="00042CB3" w:rsidRPr="003F26ED" w:rsidRDefault="00042CB3" w:rsidP="00042CB3">
      <w:pPr>
        <w:rPr>
          <w:rFonts w:ascii="Times New Roman" w:hAnsi="Times New Roman" w:cs="Times New Roman"/>
          <w:b/>
          <w:bCs/>
          <w:sz w:val="18"/>
          <w:szCs w:val="18"/>
          <w:lang w:bidi="en-US"/>
        </w:rPr>
      </w:pPr>
      <w:r w:rsidRPr="003F26ED">
        <w:rPr>
          <w:rFonts w:ascii="Times New Roman" w:hAnsi="Times New Roman" w:cs="Times New Roman"/>
          <w:b/>
          <w:bCs/>
          <w:sz w:val="18"/>
          <w:szCs w:val="18"/>
          <w:lang w:bidi="en-US"/>
        </w:rPr>
        <w:t>Supplement References</w:t>
      </w:r>
    </w:p>
    <w:p w14:paraId="4F110E6D" w14:textId="1E119964"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Baker T, Moore K, Lim J, Papanastasiou C, McCarthy S, Schreve F, et al. Rural emergency care facilities may be adapting to their context: A population-level study of resources and workforce. Aust J Rural Health. 2022</w:t>
      </w:r>
      <w:r w:rsidR="002726DA" w:rsidRPr="003F26ED">
        <w:rPr>
          <w:rFonts w:ascii="Times New Roman" w:hAnsi="Times New Roman"/>
          <w:sz w:val="18"/>
          <w:szCs w:val="18"/>
        </w:rPr>
        <w:t>;</w:t>
      </w:r>
      <w:r w:rsidRPr="003F26ED">
        <w:rPr>
          <w:rFonts w:ascii="Times New Roman" w:hAnsi="Times New Roman"/>
          <w:sz w:val="18"/>
          <w:szCs w:val="18"/>
        </w:rPr>
        <w:t>30(3):393-401.</w:t>
      </w:r>
    </w:p>
    <w:p w14:paraId="5C634D61" w14:textId="0984EF5E"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Fuzery AK, Kost GJ. Point-of-care testing by ambulance teams: An opportunity for a new standard. Clin Lab News. 2021</w:t>
      </w:r>
      <w:r w:rsidR="002726DA" w:rsidRPr="003F26ED">
        <w:rPr>
          <w:rFonts w:ascii="Times New Roman" w:hAnsi="Times New Roman"/>
          <w:sz w:val="18"/>
          <w:szCs w:val="18"/>
        </w:rPr>
        <w:t>;</w:t>
      </w:r>
      <w:r w:rsidRPr="003F26ED">
        <w:rPr>
          <w:rFonts w:ascii="Times New Roman" w:hAnsi="Times New Roman"/>
          <w:sz w:val="18"/>
          <w:szCs w:val="18"/>
        </w:rPr>
        <w:t>47:6,8-13.</w:t>
      </w:r>
    </w:p>
    <w:p w14:paraId="689C5DA6" w14:textId="4E5634EB"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Fuzery AK, Kost GJ. Point-of-care testing practices, failure modes, and risk mitigation strategies in emergency medical services programs in the Canadian province of Alberta. Arch Path Lab Med. 2020</w:t>
      </w:r>
      <w:r w:rsidR="002726DA" w:rsidRPr="003F26ED">
        <w:rPr>
          <w:rFonts w:ascii="Times New Roman" w:hAnsi="Times New Roman"/>
          <w:sz w:val="18"/>
          <w:szCs w:val="18"/>
        </w:rPr>
        <w:t>;</w:t>
      </w:r>
      <w:r w:rsidRPr="003F26ED">
        <w:rPr>
          <w:rFonts w:ascii="Times New Roman" w:hAnsi="Times New Roman"/>
          <w:sz w:val="18"/>
          <w:szCs w:val="18"/>
        </w:rPr>
        <w:t>144:1352-1371.</w:t>
      </w:r>
    </w:p>
    <w:p w14:paraId="51C19A39" w14:textId="2B304377"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Heaney K, Whiting K, Petley L, Fry I, Newton A. Point-of-care testing by paramedics using a portable laboratory: an evaluation. J Paramed Pract. 2020</w:t>
      </w:r>
      <w:r w:rsidR="002726DA" w:rsidRPr="003F26ED">
        <w:rPr>
          <w:rFonts w:ascii="Times New Roman" w:hAnsi="Times New Roman"/>
          <w:sz w:val="18"/>
          <w:szCs w:val="18"/>
        </w:rPr>
        <w:t>;</w:t>
      </w:r>
      <w:r w:rsidRPr="003F26ED">
        <w:rPr>
          <w:rFonts w:ascii="Times New Roman" w:hAnsi="Times New Roman"/>
          <w:sz w:val="18"/>
          <w:szCs w:val="18"/>
        </w:rPr>
        <w:t>12(3);100-108.</w:t>
      </w:r>
    </w:p>
    <w:p w14:paraId="0B464C49" w14:textId="594B2067"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Sanko S, Kashani S, Ito T, Guggenheim A, Fei S, Eckstein M. Advanced practice providers in the field: Implementation of the Los Angeles Fire Department Advanced Provider Response Unit. Prehosp Emerg Care. 2020</w:t>
      </w:r>
      <w:r w:rsidR="002726DA" w:rsidRPr="003F26ED">
        <w:rPr>
          <w:rFonts w:ascii="Times New Roman" w:hAnsi="Times New Roman"/>
          <w:sz w:val="18"/>
          <w:szCs w:val="18"/>
        </w:rPr>
        <w:t>;</w:t>
      </w:r>
      <w:r w:rsidRPr="003F26ED">
        <w:rPr>
          <w:rFonts w:ascii="Times New Roman" w:hAnsi="Times New Roman"/>
          <w:sz w:val="18"/>
          <w:szCs w:val="18"/>
        </w:rPr>
        <w:t>24(5);693-703.</w:t>
      </w:r>
    </w:p>
    <w:p w14:paraId="22E93C40" w14:textId="38D5AB41" w:rsidR="00042CB3" w:rsidRPr="003F26ED" w:rsidRDefault="00CB4C7D"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 xml:space="preserve">Eng M, Kost GJ. Geospatial analysis and novel testing strategies can help build COVID-19 resilience in resource-poor settings. </w:t>
      </w:r>
      <w:hyperlink r:id="rId7" w:history="1">
        <w:r w:rsidRPr="003F26ED">
          <w:rPr>
            <w:rStyle w:val="Hyperlink"/>
            <w:rFonts w:ascii="Times New Roman" w:hAnsi="Times New Roman"/>
            <w:sz w:val="18"/>
            <w:szCs w:val="18"/>
          </w:rPr>
          <w:t>https://preprints.jmir.org/preprint/47416</w:t>
        </w:r>
      </w:hyperlink>
      <w:r w:rsidRPr="003F26ED">
        <w:rPr>
          <w:rStyle w:val="Hyperlink"/>
          <w:rFonts w:ascii="Times New Roman" w:hAnsi="Times New Roman"/>
          <w:color w:val="000000" w:themeColor="text1"/>
          <w:sz w:val="18"/>
          <w:szCs w:val="18"/>
          <w:u w:val="none"/>
        </w:rPr>
        <w:t xml:space="preserve"> Accessed July 1</w:t>
      </w:r>
      <w:r w:rsidR="00CD61EE">
        <w:rPr>
          <w:rStyle w:val="Hyperlink"/>
          <w:rFonts w:ascii="Times New Roman" w:hAnsi="Times New Roman"/>
          <w:color w:val="000000" w:themeColor="text1"/>
          <w:sz w:val="18"/>
          <w:szCs w:val="18"/>
          <w:u w:val="none"/>
        </w:rPr>
        <w:t>4</w:t>
      </w:r>
      <w:r w:rsidRPr="003F26ED">
        <w:rPr>
          <w:rStyle w:val="Hyperlink"/>
          <w:rFonts w:ascii="Times New Roman" w:hAnsi="Times New Roman"/>
          <w:color w:val="000000" w:themeColor="text1"/>
          <w:sz w:val="18"/>
          <w:szCs w:val="18"/>
          <w:u w:val="none"/>
        </w:rPr>
        <w:t>, 2023.</w:t>
      </w:r>
    </w:p>
    <w:p w14:paraId="68B931C6" w14:textId="26F06640"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Eng M, Zadran A, Kost GJ. COVID-19 risk avoidance and management in limited-resource countries. Point-of-care strategies for Cambodia. Omnia Digital Health. 2021</w:t>
      </w:r>
      <w:r w:rsidR="002726DA" w:rsidRPr="003F26ED">
        <w:rPr>
          <w:rFonts w:ascii="Times New Roman" w:hAnsi="Times New Roman"/>
          <w:sz w:val="18"/>
          <w:szCs w:val="18"/>
        </w:rPr>
        <w:t>;</w:t>
      </w:r>
      <w:r w:rsidR="00EB1178" w:rsidRPr="003F26ED">
        <w:rPr>
          <w:rFonts w:ascii="Times New Roman" w:hAnsi="Times New Roman"/>
          <w:sz w:val="18"/>
          <w:szCs w:val="18"/>
        </w:rPr>
        <w:t>6</w:t>
      </w:r>
      <w:r w:rsidRPr="003F26ED">
        <w:rPr>
          <w:rFonts w:ascii="Times New Roman" w:hAnsi="Times New Roman"/>
          <w:sz w:val="18"/>
          <w:szCs w:val="18"/>
        </w:rPr>
        <w:t>/7:112-115.</w:t>
      </w:r>
    </w:p>
    <w:p w14:paraId="51E3B36B" w14:textId="073488C0" w:rsidR="00CB69AD" w:rsidRPr="003F26ED" w:rsidRDefault="00CB69AD" w:rsidP="00CB69AD">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Kost GJ. The Coronavirus Disease 2019 spatial care path: Home, community, and emergency diagnostic portals. Diagnostics. 2022</w:t>
      </w:r>
      <w:r w:rsidR="00EB1178" w:rsidRPr="003F26ED">
        <w:rPr>
          <w:rFonts w:ascii="Times New Roman" w:hAnsi="Times New Roman"/>
          <w:sz w:val="18"/>
          <w:szCs w:val="18"/>
        </w:rPr>
        <w:t>;</w:t>
      </w:r>
      <w:r w:rsidRPr="003F26ED">
        <w:rPr>
          <w:rFonts w:ascii="Times New Roman" w:hAnsi="Times New Roman"/>
          <w:sz w:val="18"/>
          <w:szCs w:val="18"/>
        </w:rPr>
        <w:t xml:space="preserve">12(1216):1-16. </w:t>
      </w:r>
      <w:hyperlink r:id="rId8" w:history="1">
        <w:r w:rsidRPr="003F26ED">
          <w:rPr>
            <w:rStyle w:val="Hyperlink"/>
            <w:rFonts w:ascii="Times New Roman" w:hAnsi="Times New Roman"/>
            <w:sz w:val="18"/>
            <w:szCs w:val="18"/>
          </w:rPr>
          <w:t>https://doi.org/10.3390/diagnostics12051216</w:t>
        </w:r>
      </w:hyperlink>
    </w:p>
    <w:p w14:paraId="23B7608F" w14:textId="7B5812ED"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Kost GJ. The COVID-19 Grand Challenge: Setting expectations and future directions for community and home testing. Arch Path Lab Med. 2022</w:t>
      </w:r>
      <w:r w:rsidR="00EB1178" w:rsidRPr="003F26ED">
        <w:rPr>
          <w:rFonts w:ascii="Times New Roman" w:hAnsi="Times New Roman"/>
          <w:sz w:val="18"/>
          <w:szCs w:val="18"/>
        </w:rPr>
        <w:t>;</w:t>
      </w:r>
      <w:r w:rsidRPr="003F26ED">
        <w:rPr>
          <w:rFonts w:ascii="Times New Roman" w:hAnsi="Times New Roman"/>
          <w:sz w:val="18"/>
          <w:szCs w:val="18"/>
        </w:rPr>
        <w:t>146:789-790.</w:t>
      </w:r>
    </w:p>
    <w:p w14:paraId="4D000971" w14:textId="5FA0F181"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Kost GJ. Home antigen test recall affects millions: Beware false positives, but also uncertainty and potential false negatives. Arch Path Lab Med. 2022</w:t>
      </w:r>
      <w:r w:rsidR="00EB1178" w:rsidRPr="003F26ED">
        <w:rPr>
          <w:rFonts w:ascii="Times New Roman" w:hAnsi="Times New Roman"/>
          <w:sz w:val="18"/>
          <w:szCs w:val="18"/>
        </w:rPr>
        <w:t>;</w:t>
      </w:r>
      <w:r w:rsidRPr="003F26ED">
        <w:rPr>
          <w:rFonts w:ascii="Times New Roman" w:hAnsi="Times New Roman"/>
          <w:sz w:val="18"/>
          <w:szCs w:val="18"/>
        </w:rPr>
        <w:t>146:403.</w:t>
      </w:r>
    </w:p>
    <w:p w14:paraId="1577166F" w14:textId="18C78970"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Kost GJ.  Diagnostic strategies for endemic Coronavirus disease 2019 (COVID-19) — Rapid antigen tests, repeat testing, and prevalence boundaries. Arch Path Lab Med. 2021</w:t>
      </w:r>
      <w:r w:rsidR="00EB1178" w:rsidRPr="003F26ED">
        <w:rPr>
          <w:rFonts w:ascii="Times New Roman" w:hAnsi="Times New Roman"/>
          <w:sz w:val="18"/>
          <w:szCs w:val="18"/>
        </w:rPr>
        <w:t>;</w:t>
      </w:r>
      <w:r w:rsidRPr="003F26ED">
        <w:rPr>
          <w:rFonts w:ascii="Times New Roman" w:hAnsi="Times New Roman"/>
          <w:sz w:val="18"/>
          <w:szCs w:val="18"/>
        </w:rPr>
        <w:t>146:16-25.</w:t>
      </w:r>
    </w:p>
    <w:p w14:paraId="14A466C3" w14:textId="2028C550"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Kost GJ. The impact of increasing disease prevalence, false omissions, and diagnostic uncertainty on Coronavirus disease 2019 (COVID-19) test performance. Arch Path Lab Med. 2021</w:t>
      </w:r>
      <w:r w:rsidR="00EB1178" w:rsidRPr="003F26ED">
        <w:rPr>
          <w:rFonts w:ascii="Times New Roman" w:hAnsi="Times New Roman"/>
          <w:sz w:val="18"/>
          <w:szCs w:val="18"/>
        </w:rPr>
        <w:t>;</w:t>
      </w:r>
      <w:r w:rsidRPr="003F26ED">
        <w:rPr>
          <w:rFonts w:ascii="Times New Roman" w:hAnsi="Times New Roman"/>
          <w:sz w:val="18"/>
          <w:szCs w:val="18"/>
        </w:rPr>
        <w:t>145:797-813.</w:t>
      </w:r>
    </w:p>
    <w:p w14:paraId="0206F06E" w14:textId="73980B63"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Kost GJ. Designing and interpreting COVID-19 diagnostics: Mathematics, visual logistics, and low prevalence. Arch Path Lab Med. 2021</w:t>
      </w:r>
      <w:r w:rsidR="00EB1178" w:rsidRPr="003F26ED">
        <w:rPr>
          <w:rFonts w:ascii="Times New Roman" w:hAnsi="Times New Roman"/>
          <w:sz w:val="18"/>
          <w:szCs w:val="18"/>
        </w:rPr>
        <w:t>;</w:t>
      </w:r>
      <w:r w:rsidRPr="003F26ED">
        <w:rPr>
          <w:rFonts w:ascii="Times New Roman" w:hAnsi="Times New Roman"/>
          <w:sz w:val="18"/>
          <w:szCs w:val="18"/>
        </w:rPr>
        <w:t>145:291-307.</w:t>
      </w:r>
    </w:p>
    <w:p w14:paraId="5F42582B" w14:textId="6F319E68"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Kost GJ.  Geospatial spread of antimicrobial resistance, bacterial and fungal threats to COVID-19 survival, and point-of-care solutions. Arch Path Lab Med. 2021</w:t>
      </w:r>
      <w:r w:rsidR="00EB1178" w:rsidRPr="003F26ED">
        <w:rPr>
          <w:rFonts w:ascii="Times New Roman" w:hAnsi="Times New Roman"/>
          <w:sz w:val="18"/>
          <w:szCs w:val="18"/>
        </w:rPr>
        <w:t>;</w:t>
      </w:r>
      <w:r w:rsidRPr="003F26ED">
        <w:rPr>
          <w:rFonts w:ascii="Times New Roman" w:hAnsi="Times New Roman"/>
          <w:sz w:val="18"/>
          <w:szCs w:val="18"/>
        </w:rPr>
        <w:t>145:145-167.</w:t>
      </w:r>
    </w:p>
    <w:p w14:paraId="0F3D49E9" w14:textId="77ACB090"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Kost GJ. Geospatial hotspots need point-of-care strategies to stop highly infectious outbreaks: Ebola and Coronavirus. Arch Pathol Lab Med. 2020</w:t>
      </w:r>
      <w:r w:rsidR="00EB1178" w:rsidRPr="003F26ED">
        <w:rPr>
          <w:rFonts w:ascii="Times New Roman" w:hAnsi="Times New Roman"/>
          <w:sz w:val="18"/>
          <w:szCs w:val="18"/>
        </w:rPr>
        <w:t>;</w:t>
      </w:r>
      <w:r w:rsidRPr="003F26ED">
        <w:rPr>
          <w:rFonts w:ascii="Times New Roman" w:hAnsi="Times New Roman"/>
          <w:sz w:val="18"/>
          <w:szCs w:val="18"/>
        </w:rPr>
        <w:t>144:1166–1190.</w:t>
      </w:r>
    </w:p>
    <w:p w14:paraId="3D49236C" w14:textId="3FC25D32"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 xml:space="preserve">Community vending machines. City of Davis, Public Health Department, Yolo County, California. 2022.  </w:t>
      </w:r>
      <w:hyperlink r:id="rId9" w:history="1">
        <w:r w:rsidRPr="003F26ED">
          <w:rPr>
            <w:rStyle w:val="Hyperlink"/>
            <w:rFonts w:ascii="Times New Roman" w:hAnsi="Times New Roman"/>
            <w:sz w:val="18"/>
            <w:szCs w:val="18"/>
          </w:rPr>
          <w:t>https://cityofdavis.org/coronavirus</w:t>
        </w:r>
      </w:hyperlink>
      <w:r w:rsidRPr="003F26ED">
        <w:rPr>
          <w:rFonts w:ascii="Times New Roman" w:hAnsi="Times New Roman"/>
          <w:sz w:val="18"/>
          <w:szCs w:val="18"/>
        </w:rPr>
        <w:t xml:space="preserve"> Accessed </w:t>
      </w:r>
      <w:r w:rsidR="00CD61EE">
        <w:rPr>
          <w:rFonts w:ascii="Times New Roman" w:hAnsi="Times New Roman"/>
          <w:sz w:val="18"/>
          <w:szCs w:val="18"/>
        </w:rPr>
        <w:t>July 14, 2023</w:t>
      </w:r>
      <w:r w:rsidRPr="003F26ED">
        <w:rPr>
          <w:rFonts w:ascii="Times New Roman" w:hAnsi="Times New Roman"/>
          <w:sz w:val="18"/>
          <w:szCs w:val="18"/>
        </w:rPr>
        <w:t>.</w:t>
      </w:r>
    </w:p>
    <w:p w14:paraId="39E0AD6B" w14:textId="0F96AF0A"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Centers for Disease Prevention and Control. ELC Enhancing Detection Expansion. Epidemiology and Laboratory Capacity for Prevention and Control of Emerging Infectious Diseases. Atlanta, GA: CDC. 2021</w:t>
      </w:r>
      <w:r w:rsidR="00EB1178" w:rsidRPr="003F26ED">
        <w:rPr>
          <w:rFonts w:ascii="Times New Roman" w:hAnsi="Times New Roman"/>
          <w:sz w:val="18"/>
          <w:szCs w:val="18"/>
        </w:rPr>
        <w:t xml:space="preserve">, </w:t>
      </w:r>
      <w:r w:rsidRPr="003F26ED">
        <w:rPr>
          <w:rFonts w:ascii="Times New Roman" w:hAnsi="Times New Roman"/>
          <w:sz w:val="18"/>
          <w:szCs w:val="18"/>
        </w:rPr>
        <w:t xml:space="preserve">17 pages. </w:t>
      </w:r>
      <w:hyperlink r:id="rId10" w:history="1">
        <w:r w:rsidRPr="003F26ED">
          <w:rPr>
            <w:rStyle w:val="Hyperlink"/>
            <w:rFonts w:ascii="Times New Roman" w:hAnsi="Times New Roman"/>
            <w:sz w:val="18"/>
            <w:szCs w:val="18"/>
          </w:rPr>
          <w:t>https://www.cdc.gov/ncezid/dpei/pdf/elc-enhancing-detection-expansion-faq-508.pdf</w:t>
        </w:r>
      </w:hyperlink>
      <w:r w:rsidRPr="003F26ED">
        <w:rPr>
          <w:rFonts w:ascii="Times New Roman" w:hAnsi="Times New Roman"/>
          <w:sz w:val="18"/>
          <w:szCs w:val="18"/>
        </w:rPr>
        <w:t xml:space="preserve"> Accessed </w:t>
      </w:r>
      <w:r w:rsidR="00CD61EE">
        <w:rPr>
          <w:rFonts w:ascii="Times New Roman" w:hAnsi="Times New Roman"/>
          <w:sz w:val="18"/>
          <w:szCs w:val="18"/>
        </w:rPr>
        <w:t>July 14, 2023</w:t>
      </w:r>
      <w:r w:rsidR="008341A8">
        <w:rPr>
          <w:rFonts w:ascii="Times New Roman" w:hAnsi="Times New Roman"/>
          <w:sz w:val="18"/>
          <w:szCs w:val="18"/>
        </w:rPr>
        <w:t>.</w:t>
      </w:r>
    </w:p>
    <w:p w14:paraId="7B69AAC6" w14:textId="12AEE7D0"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Baker DR, Cadet K, Mani S. COVID-19 testing and social determinants of health among disadvantaged Baltimore neighborhoods: A community mobile health clinic outreach model. Popul Health Manag. 2021</w:t>
      </w:r>
      <w:r w:rsidR="00EB1178" w:rsidRPr="003F26ED">
        <w:rPr>
          <w:rFonts w:ascii="Times New Roman" w:hAnsi="Times New Roman"/>
          <w:sz w:val="18"/>
          <w:szCs w:val="18"/>
        </w:rPr>
        <w:t>;</w:t>
      </w:r>
      <w:r w:rsidRPr="003F26ED">
        <w:rPr>
          <w:rFonts w:ascii="Times New Roman" w:hAnsi="Times New Roman"/>
          <w:sz w:val="18"/>
          <w:szCs w:val="18"/>
        </w:rPr>
        <w:t>24(6): 657-663.</w:t>
      </w:r>
    </w:p>
    <w:p w14:paraId="1FC96405" w14:textId="406982AA"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lastRenderedPageBreak/>
        <w:t>Fiscus L, Towns R, Wood S, Oliver P, Fox S, Weathers A, et al. Spotlight on the safety net: Deploying mobile COVID-19 testing programs in North Carolina as an approach to improving health equity. N C Med J. 2021</w:t>
      </w:r>
      <w:r w:rsidR="00EB1178" w:rsidRPr="003F26ED">
        <w:rPr>
          <w:rFonts w:ascii="Times New Roman" w:hAnsi="Times New Roman"/>
          <w:sz w:val="18"/>
          <w:szCs w:val="18"/>
        </w:rPr>
        <w:t>;</w:t>
      </w:r>
      <w:r w:rsidRPr="003F26ED">
        <w:rPr>
          <w:rFonts w:ascii="Times New Roman" w:hAnsi="Times New Roman"/>
          <w:sz w:val="18"/>
          <w:szCs w:val="18"/>
        </w:rPr>
        <w:t>82(1):80-82.</w:t>
      </w:r>
    </w:p>
    <w:p w14:paraId="0C0ED17C" w14:textId="68BD0C61"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Frimpong M, Amoako YA, Anim KB, Ahor HS, Yeboah R, Arthur J, et al. Diagnostics for COVID-19: A case for field-deployable, rapid molecular tests for community surveillance. Ghana Med J. 2020</w:t>
      </w:r>
      <w:r w:rsidR="00EB1178" w:rsidRPr="003F26ED">
        <w:rPr>
          <w:rFonts w:ascii="Times New Roman" w:hAnsi="Times New Roman"/>
          <w:sz w:val="18"/>
          <w:szCs w:val="18"/>
        </w:rPr>
        <w:t>;</w:t>
      </w:r>
      <w:r w:rsidRPr="003F26ED">
        <w:rPr>
          <w:rFonts w:ascii="Times New Roman" w:hAnsi="Times New Roman"/>
          <w:sz w:val="18"/>
          <w:szCs w:val="18"/>
        </w:rPr>
        <w:t>54(4 Suppl):71-76.</w:t>
      </w:r>
    </w:p>
    <w:p w14:paraId="2F874855" w14:textId="518AC469"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Gulley T, Tyson T, Collins E, Helton R, Hill-Collins P, France N, et al. The Health Wagon Partners with the Virginia Department of Health to provide COVID-19 testing in rural Southwest Virginia. J Appalach Health. 2020</w:t>
      </w:r>
      <w:r w:rsidR="00EB1178" w:rsidRPr="003F26ED">
        <w:rPr>
          <w:rFonts w:ascii="Times New Roman" w:hAnsi="Times New Roman"/>
          <w:sz w:val="18"/>
          <w:szCs w:val="18"/>
        </w:rPr>
        <w:t>;</w:t>
      </w:r>
      <w:r w:rsidRPr="003F26ED">
        <w:rPr>
          <w:rFonts w:ascii="Times New Roman" w:hAnsi="Times New Roman"/>
          <w:sz w:val="18"/>
          <w:szCs w:val="18"/>
        </w:rPr>
        <w:t>2(3):146-149.</w:t>
      </w:r>
    </w:p>
    <w:p w14:paraId="73EEA6E3" w14:textId="7F7E54D1"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Jiménez J, Parra YJ, Murphy K, Chen AN, Cook A, Watkins J, et al. Community-informed mobile COVID-19 testing model to addressing health inequities. J Public Health Manag Pract. 2022</w:t>
      </w:r>
      <w:r w:rsidR="00EB1178" w:rsidRPr="003F26ED">
        <w:rPr>
          <w:rFonts w:ascii="Times New Roman" w:hAnsi="Times New Roman"/>
          <w:sz w:val="18"/>
          <w:szCs w:val="18"/>
        </w:rPr>
        <w:t>;</w:t>
      </w:r>
      <w:r w:rsidRPr="003F26ED">
        <w:rPr>
          <w:rFonts w:ascii="Times New Roman" w:hAnsi="Times New Roman"/>
          <w:sz w:val="18"/>
          <w:szCs w:val="18"/>
        </w:rPr>
        <w:t>28(Suppl 1):S101-s10.</w:t>
      </w:r>
    </w:p>
    <w:p w14:paraId="258553A5" w14:textId="521C2859"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Lau CSM, Johns J, Merlene S, Kanya S, Taber A, Melander D, et al. Trends in COVID-19 testing and positivity rates from a mobile testing program in the Phoenix metropolitan area. J Community Health. 202</w:t>
      </w:r>
      <w:r w:rsidR="00EB1178" w:rsidRPr="003F26ED">
        <w:rPr>
          <w:rFonts w:ascii="Times New Roman" w:hAnsi="Times New Roman"/>
          <w:sz w:val="18"/>
          <w:szCs w:val="18"/>
        </w:rPr>
        <w:t>1;</w:t>
      </w:r>
      <w:r w:rsidRPr="003F26ED">
        <w:rPr>
          <w:rFonts w:ascii="Times New Roman" w:hAnsi="Times New Roman"/>
          <w:sz w:val="18"/>
          <w:szCs w:val="18"/>
        </w:rPr>
        <w:t>46(6):1221-5.</w:t>
      </w:r>
    </w:p>
    <w:p w14:paraId="06E69A1E" w14:textId="2B50DF94"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Lau CSM, Shu S, Mayer J, Towns M, Farris A, Washington F, et al. COVID-19 trends in the Phoenix metropolitan area from a mobile testing program: Last quarter of 2020. J Community Health. 2021</w:t>
      </w:r>
      <w:r w:rsidR="00EB1178" w:rsidRPr="003F26ED">
        <w:rPr>
          <w:rFonts w:ascii="Times New Roman" w:hAnsi="Times New Roman"/>
          <w:sz w:val="18"/>
          <w:szCs w:val="18"/>
        </w:rPr>
        <w:t>;</w:t>
      </w:r>
      <w:r w:rsidRPr="003F26ED">
        <w:rPr>
          <w:rFonts w:ascii="Times New Roman" w:hAnsi="Times New Roman"/>
          <w:sz w:val="18"/>
          <w:szCs w:val="18"/>
        </w:rPr>
        <w:t>46(6):1078-82.</w:t>
      </w:r>
    </w:p>
    <w:p w14:paraId="57B314B7" w14:textId="23CF6287"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Neely J, Eddins A, Lesure N, Dee D, Real R, Singer R, et al. Privacy, or the lack thereof, and its implications for dignity in mobile COVID-19 testing. SAGE Open Nurs. 2021</w:t>
      </w:r>
      <w:r w:rsidR="00EB1178" w:rsidRPr="003F26ED">
        <w:rPr>
          <w:rFonts w:ascii="Times New Roman" w:hAnsi="Times New Roman"/>
          <w:sz w:val="18"/>
          <w:szCs w:val="18"/>
        </w:rPr>
        <w:t>;</w:t>
      </w:r>
      <w:r w:rsidRPr="003F26ED">
        <w:rPr>
          <w:rFonts w:ascii="Times New Roman" w:hAnsi="Times New Roman"/>
          <w:sz w:val="18"/>
          <w:szCs w:val="18"/>
        </w:rPr>
        <w:t>7:23779608211029096. doi: 10.1177/23779608211029096.</w:t>
      </w:r>
    </w:p>
    <w:p w14:paraId="0C2E8394" w14:textId="0F004081"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Vinjerui KH, Elgersma IH, Fretheim A. Increased COVID-19 testing rates following combined door-to-door and mobile testing facility campaigns in Oslo, Norway, a difference-in-difference analysis. Int J Environ Res Public Health. 2021</w:t>
      </w:r>
      <w:r w:rsidR="00EB1178" w:rsidRPr="003F26ED">
        <w:rPr>
          <w:rFonts w:ascii="Times New Roman" w:hAnsi="Times New Roman"/>
          <w:sz w:val="18"/>
          <w:szCs w:val="18"/>
        </w:rPr>
        <w:t>;</w:t>
      </w:r>
      <w:r w:rsidRPr="003F26ED">
        <w:rPr>
          <w:rFonts w:ascii="Times New Roman" w:hAnsi="Times New Roman"/>
          <w:sz w:val="18"/>
          <w:szCs w:val="18"/>
        </w:rPr>
        <w:t>18(21). doi: 10.3390/ijerph182111078.</w:t>
      </w:r>
    </w:p>
    <w:p w14:paraId="3E6C55E5" w14:textId="5215BC52" w:rsidR="00CB69AD" w:rsidRPr="003F26ED" w:rsidRDefault="00CB69AD" w:rsidP="00CB69AD">
      <w:pPr>
        <w:pStyle w:val="ListParagraph"/>
        <w:numPr>
          <w:ilvl w:val="0"/>
          <w:numId w:val="18"/>
        </w:numPr>
        <w:spacing w:line="240" w:lineRule="auto"/>
        <w:rPr>
          <w:rFonts w:ascii="Times New Roman" w:hAnsi="Times New Roman"/>
          <w:bCs/>
          <w:sz w:val="18"/>
          <w:szCs w:val="18"/>
          <w:lang w:bidi="en-US"/>
        </w:rPr>
      </w:pPr>
      <w:r w:rsidRPr="003F26ED">
        <w:rPr>
          <w:rFonts w:ascii="Times New Roman" w:hAnsi="Times New Roman"/>
          <w:sz w:val="18"/>
          <w:szCs w:val="18"/>
        </w:rPr>
        <w:t>Kost GJ, Ferguson WJ, Kost LE. Principles of point of care culture, the spatial care path, and enabling community and global resilience. J Intl Fed Clin Chem Lab Med. 2014</w:t>
      </w:r>
      <w:r w:rsidR="00B13FE0" w:rsidRPr="003F26ED">
        <w:rPr>
          <w:rFonts w:ascii="Times New Roman" w:hAnsi="Times New Roman"/>
          <w:sz w:val="18"/>
          <w:szCs w:val="18"/>
        </w:rPr>
        <w:t>;</w:t>
      </w:r>
      <w:r w:rsidRPr="003F26ED">
        <w:rPr>
          <w:rFonts w:ascii="Times New Roman" w:hAnsi="Times New Roman"/>
          <w:sz w:val="18"/>
          <w:szCs w:val="18"/>
        </w:rPr>
        <w:t>25:134-153.</w:t>
      </w:r>
    </w:p>
    <w:p w14:paraId="5D280BF4" w14:textId="7328749C" w:rsidR="00CB69AD" w:rsidRPr="003F26ED" w:rsidRDefault="00CB69AD" w:rsidP="00CB69AD">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Kost GJ, Ferguson WJ, Hoe J, Truong AT, Banpavichit A, Kongpila S. The Ebola Spatial Care Path™: Accelerating point-of-care diagnosis, decision making, and community resilience in outbreaks. Am J Disaster Med. 2015</w:t>
      </w:r>
      <w:r w:rsidR="00B13FE0" w:rsidRPr="003F26ED">
        <w:rPr>
          <w:rFonts w:ascii="Times New Roman" w:hAnsi="Times New Roman"/>
          <w:sz w:val="18"/>
          <w:szCs w:val="18"/>
        </w:rPr>
        <w:t>;</w:t>
      </w:r>
      <w:r w:rsidRPr="003F26ED">
        <w:rPr>
          <w:rFonts w:ascii="Times New Roman" w:hAnsi="Times New Roman"/>
          <w:sz w:val="18"/>
          <w:szCs w:val="18"/>
        </w:rPr>
        <w:t>10(2):121-43.</w:t>
      </w:r>
    </w:p>
    <w:p w14:paraId="645F80B5" w14:textId="2FD90BDB" w:rsidR="00CB69AD" w:rsidRPr="003F26ED" w:rsidRDefault="00CB69AD" w:rsidP="00CB69AD">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Kost GJ, Ferguson WJ, Truong A-T, Prom D, Hoe J, Banpavichit A, et al. The Ebola Spatial Care Path: Point-of-care lessons learned for stopping outbreaks. Clin. Lab. Int. 2015</w:t>
      </w:r>
      <w:r w:rsidR="00B13FE0" w:rsidRPr="003F26ED">
        <w:rPr>
          <w:rFonts w:ascii="Times New Roman" w:hAnsi="Times New Roman"/>
          <w:sz w:val="18"/>
          <w:szCs w:val="18"/>
        </w:rPr>
        <w:t>;</w:t>
      </w:r>
      <w:r w:rsidRPr="003F26ED">
        <w:rPr>
          <w:rFonts w:ascii="Times New Roman" w:hAnsi="Times New Roman"/>
          <w:sz w:val="18"/>
          <w:szCs w:val="18"/>
        </w:rPr>
        <w:t>39:6–14.</w:t>
      </w:r>
    </w:p>
    <w:p w14:paraId="3ED97D44" w14:textId="228D0BC3" w:rsidR="00CB69AD" w:rsidRPr="003F26ED" w:rsidRDefault="00CB69AD" w:rsidP="00CB69AD">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color w:val="211E1E"/>
          <w:sz w:val="18"/>
          <w:szCs w:val="18"/>
        </w:rPr>
        <w:t>Kost GJ, Ferguson WJ. Spatial care paths strengthen links in the chain of global resilience: Disaster caches, prediabetes, Ebola Virus Disease, and the future of point of care. Point of Care. 2016</w:t>
      </w:r>
      <w:r w:rsidR="00B13FE0" w:rsidRPr="003F26ED">
        <w:rPr>
          <w:rFonts w:ascii="Times New Roman" w:hAnsi="Times New Roman"/>
          <w:color w:val="211E1E"/>
          <w:sz w:val="18"/>
          <w:szCs w:val="18"/>
        </w:rPr>
        <w:t>;</w:t>
      </w:r>
      <w:r w:rsidRPr="003F26ED">
        <w:rPr>
          <w:rFonts w:ascii="Times New Roman" w:hAnsi="Times New Roman"/>
          <w:color w:val="211E1E"/>
          <w:sz w:val="18"/>
          <w:szCs w:val="18"/>
        </w:rPr>
        <w:t>15:43-58.</w:t>
      </w:r>
    </w:p>
    <w:p w14:paraId="38A7678E" w14:textId="59082928" w:rsidR="00CB69AD" w:rsidRPr="003F26ED" w:rsidRDefault="00CB69AD" w:rsidP="00CB69AD">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color w:val="211E1E"/>
          <w:sz w:val="18"/>
          <w:szCs w:val="18"/>
        </w:rPr>
        <w:t>Kost GJ, Pratumvinit B. Diabetes spatial care paths, leading edge HbA1c testing, facilitation thresholds, proactive-preemptive strategic intelligence, and unmanned aerial vehicles in limited-resource countries. Point of Care. 2017</w:t>
      </w:r>
      <w:r w:rsidR="00B13FE0" w:rsidRPr="003F26ED">
        <w:rPr>
          <w:rFonts w:ascii="Times New Roman" w:hAnsi="Times New Roman"/>
          <w:color w:val="211E1E"/>
          <w:sz w:val="18"/>
          <w:szCs w:val="18"/>
        </w:rPr>
        <w:t>;</w:t>
      </w:r>
      <w:r w:rsidRPr="003F26ED">
        <w:rPr>
          <w:rFonts w:ascii="Times New Roman" w:hAnsi="Times New Roman"/>
          <w:color w:val="211E1E"/>
          <w:sz w:val="18"/>
          <w:szCs w:val="18"/>
        </w:rPr>
        <w:t>16:12-31.</w:t>
      </w:r>
    </w:p>
    <w:p w14:paraId="093C81DD" w14:textId="3725B190" w:rsidR="00CB69AD" w:rsidRPr="003F26ED" w:rsidRDefault="00CB69AD" w:rsidP="00CB69AD">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Kost GJ, Zadran A, Duong TTB, Pham TT, Ho AVD, Nguyen NV, et al. Point-of-care diagnosis of acute myocardial infarction in Central Vietnam: International exchange, needs assessment, and spatial care paths. Point of Care. 2018</w:t>
      </w:r>
      <w:r w:rsidR="00B13FE0" w:rsidRPr="003F26ED">
        <w:rPr>
          <w:rFonts w:ascii="Times New Roman" w:hAnsi="Times New Roman"/>
          <w:sz w:val="18"/>
          <w:szCs w:val="18"/>
        </w:rPr>
        <w:t>;</w:t>
      </w:r>
      <w:r w:rsidRPr="003F26ED">
        <w:rPr>
          <w:rFonts w:ascii="Times New Roman" w:hAnsi="Times New Roman"/>
          <w:sz w:val="18"/>
          <w:szCs w:val="18"/>
        </w:rPr>
        <w:t>17(3):73-92.</w:t>
      </w:r>
    </w:p>
    <w:p w14:paraId="205007FB" w14:textId="4CFA1100" w:rsidR="00CB69AD" w:rsidRPr="003F26ED" w:rsidRDefault="00CB69AD" w:rsidP="00CB69AD">
      <w:pPr>
        <w:pStyle w:val="ListParagraph"/>
        <w:numPr>
          <w:ilvl w:val="0"/>
          <w:numId w:val="18"/>
        </w:numPr>
        <w:spacing w:line="240" w:lineRule="auto"/>
        <w:rPr>
          <w:rFonts w:ascii="Times New Roman" w:hAnsi="Times New Roman"/>
          <w:bCs/>
          <w:sz w:val="18"/>
          <w:szCs w:val="18"/>
          <w:lang w:bidi="en-US"/>
        </w:rPr>
      </w:pPr>
      <w:r w:rsidRPr="003F26ED">
        <w:rPr>
          <w:rFonts w:ascii="Times New Roman" w:hAnsi="Times New Roman"/>
          <w:sz w:val="18"/>
          <w:szCs w:val="18"/>
        </w:rPr>
        <w:t>Ferguson WJ, Louie RF, Tang CS, Vy JH, Wallace AP, Peng LS, et al. Geographic information systems can enhance crisis standards of care during complex emergencies and disasters. Point of Care. 2012</w:t>
      </w:r>
      <w:r w:rsidR="00B13FE0" w:rsidRPr="003F26ED">
        <w:rPr>
          <w:rFonts w:ascii="Times New Roman" w:hAnsi="Times New Roman"/>
          <w:sz w:val="18"/>
          <w:szCs w:val="18"/>
        </w:rPr>
        <w:t>;</w:t>
      </w:r>
      <w:r w:rsidRPr="003F26ED">
        <w:rPr>
          <w:rFonts w:ascii="Times New Roman" w:hAnsi="Times New Roman"/>
          <w:sz w:val="18"/>
          <w:szCs w:val="18"/>
        </w:rPr>
        <w:t>11:184-190.</w:t>
      </w:r>
    </w:p>
    <w:p w14:paraId="394EE301" w14:textId="4A89EFD6" w:rsidR="00CB69AD" w:rsidRPr="003F26ED" w:rsidRDefault="00CB69AD" w:rsidP="00CB69AD">
      <w:pPr>
        <w:pStyle w:val="ListParagraph"/>
        <w:numPr>
          <w:ilvl w:val="0"/>
          <w:numId w:val="18"/>
        </w:numPr>
        <w:spacing w:line="240" w:lineRule="auto"/>
        <w:rPr>
          <w:rFonts w:ascii="Times New Roman" w:hAnsi="Times New Roman"/>
          <w:bCs/>
          <w:sz w:val="18"/>
          <w:szCs w:val="18"/>
          <w:lang w:bidi="en-US"/>
        </w:rPr>
      </w:pPr>
      <w:r w:rsidRPr="003F26ED">
        <w:rPr>
          <w:rFonts w:ascii="Times New Roman" w:hAnsi="Times New Roman"/>
          <w:sz w:val="18"/>
          <w:szCs w:val="18"/>
        </w:rPr>
        <w:t>Ferguson WJ, Louie RF, Katip P, Kost GJ. Use of geographic information systems for placement and management of point-of-care technologies in small-world networks. In Kost GJ, Ed., Curtis CM, Assoc. Ed. Global Point of Care: Strategies for Disasters, Emergencies, and Public Health Resilience. Washington DC: AACC Press-Elsevier</w:t>
      </w:r>
      <w:r w:rsidR="008678B0">
        <w:rPr>
          <w:rFonts w:ascii="Times New Roman" w:hAnsi="Times New Roman"/>
          <w:sz w:val="18"/>
          <w:szCs w:val="18"/>
        </w:rPr>
        <w:t>;</w:t>
      </w:r>
      <w:r w:rsidRPr="003F26ED">
        <w:rPr>
          <w:rFonts w:ascii="Times New Roman" w:hAnsi="Times New Roman"/>
          <w:sz w:val="18"/>
          <w:szCs w:val="18"/>
        </w:rPr>
        <w:t xml:space="preserve"> 2015</w:t>
      </w:r>
      <w:r w:rsidR="008678B0">
        <w:rPr>
          <w:rFonts w:ascii="Times New Roman" w:hAnsi="Times New Roman"/>
          <w:b/>
          <w:bCs/>
          <w:sz w:val="18"/>
          <w:szCs w:val="18"/>
        </w:rPr>
        <w:t>.</w:t>
      </w:r>
      <w:r w:rsidRPr="003F26ED">
        <w:rPr>
          <w:rFonts w:ascii="Times New Roman" w:hAnsi="Times New Roman"/>
          <w:sz w:val="18"/>
          <w:szCs w:val="18"/>
        </w:rPr>
        <w:t xml:space="preserve"> Chapter 35, </w:t>
      </w:r>
      <w:r w:rsidR="008678B0">
        <w:rPr>
          <w:rFonts w:ascii="Times New Roman" w:hAnsi="Times New Roman"/>
          <w:sz w:val="18"/>
          <w:szCs w:val="18"/>
        </w:rPr>
        <w:t xml:space="preserve">p. </w:t>
      </w:r>
      <w:r w:rsidRPr="003F26ED">
        <w:rPr>
          <w:rFonts w:ascii="Times New Roman" w:hAnsi="Times New Roman"/>
          <w:sz w:val="18"/>
          <w:szCs w:val="18"/>
        </w:rPr>
        <w:t>393-404.</w:t>
      </w:r>
    </w:p>
    <w:p w14:paraId="22676765" w14:textId="7B2CEE8A" w:rsidR="00CB69AD" w:rsidRPr="003F26ED" w:rsidRDefault="00CB69AD" w:rsidP="00CB69AD">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Ferguson WJ, Kemp K, Kost G. Using a geographic information system to enhance patient access to point-of-care diagnostics in a limited-resource setting. Int J Health Geogr. 2016</w:t>
      </w:r>
      <w:r w:rsidR="00B13FE0" w:rsidRPr="003F26ED">
        <w:rPr>
          <w:rFonts w:ascii="Times New Roman" w:hAnsi="Times New Roman"/>
          <w:sz w:val="18"/>
          <w:szCs w:val="18"/>
        </w:rPr>
        <w:t>;</w:t>
      </w:r>
      <w:r w:rsidRPr="003F26ED">
        <w:rPr>
          <w:rFonts w:ascii="Times New Roman" w:hAnsi="Times New Roman"/>
          <w:sz w:val="18"/>
          <w:szCs w:val="18"/>
        </w:rPr>
        <w:t>15:10. doi: 10.1186/s12942-016-0037-9.</w:t>
      </w:r>
    </w:p>
    <w:p w14:paraId="73F652D9" w14:textId="56F4FFC6" w:rsidR="00CB69AD" w:rsidRPr="003F26ED" w:rsidRDefault="00CB69AD" w:rsidP="00CB69AD">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Kost GJ. Geospatial science and point-of-care testing: Creating solutions for population access, emergencies, outbreaks, and disasters. Front Public Health. 2019</w:t>
      </w:r>
      <w:r w:rsidR="00B13FE0" w:rsidRPr="003F26ED">
        <w:rPr>
          <w:rFonts w:ascii="Times New Roman" w:hAnsi="Times New Roman"/>
          <w:sz w:val="18"/>
          <w:szCs w:val="18"/>
        </w:rPr>
        <w:t>;</w:t>
      </w:r>
      <w:r w:rsidRPr="003F26ED">
        <w:rPr>
          <w:rFonts w:ascii="Times New Roman" w:hAnsi="Times New Roman"/>
          <w:sz w:val="18"/>
          <w:szCs w:val="18"/>
        </w:rPr>
        <w:t xml:space="preserve">7(329):1-31. </w:t>
      </w:r>
    </w:p>
    <w:p w14:paraId="6F7A8919" w14:textId="041ABC5F"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Castro-Portillo E, López-Izquierdo R, Sanz-García A, Ortega GJ, Delgado-Benito JF, Castro Villamor MA, et al. Role of prehospital point-of-care N-terminal pro-brain natriuretic peptide in acute life-threatening cardiovascular disease. Int J Cardiol. 2022</w:t>
      </w:r>
      <w:r w:rsidR="00241B6C">
        <w:rPr>
          <w:rFonts w:ascii="Times New Roman" w:hAnsi="Times New Roman"/>
          <w:sz w:val="18"/>
          <w:szCs w:val="18"/>
        </w:rPr>
        <w:t>;</w:t>
      </w:r>
      <w:r w:rsidRPr="003F26ED">
        <w:rPr>
          <w:rFonts w:ascii="Times New Roman" w:hAnsi="Times New Roman"/>
          <w:sz w:val="18"/>
          <w:szCs w:val="18"/>
        </w:rPr>
        <w:t>S0167-5273(22):923-928. doi: 10.1016/j.ijcard.2022.06.025.</w:t>
      </w:r>
    </w:p>
    <w:p w14:paraId="4AEA7719" w14:textId="5910222D"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Jones C, Lightowler B. The efficacy of the HEART score in prehospital settings. J Paramed Pract. 2022</w:t>
      </w:r>
      <w:r w:rsidR="00241B6C">
        <w:rPr>
          <w:rFonts w:ascii="Times New Roman" w:hAnsi="Times New Roman"/>
          <w:sz w:val="18"/>
          <w:szCs w:val="18"/>
        </w:rPr>
        <w:t>;</w:t>
      </w:r>
      <w:r w:rsidRPr="003F26ED">
        <w:rPr>
          <w:rFonts w:ascii="Times New Roman" w:hAnsi="Times New Roman"/>
          <w:sz w:val="18"/>
          <w:szCs w:val="18"/>
        </w:rPr>
        <w:t>14(5):198-211.</w:t>
      </w:r>
    </w:p>
    <w:p w14:paraId="1FE7CD08" w14:textId="35F0F429"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Pavlovsky T, Obadia M, Ragot S, Douay B, Casalino E, Ghazali DA. Predictors of risk stratification and value of point-of-care of high-sensitivity cardiac troponin-I in EMS management of non-ST-segment elevation myocardial infarction: A retrospective study. Prehosp Disaster Med. 2022</w:t>
      </w:r>
      <w:r w:rsidR="00241B6C">
        <w:rPr>
          <w:rFonts w:ascii="Times New Roman" w:hAnsi="Times New Roman"/>
          <w:sz w:val="18"/>
          <w:szCs w:val="18"/>
        </w:rPr>
        <w:t>;</w:t>
      </w:r>
      <w:r w:rsidRPr="003F26ED">
        <w:rPr>
          <w:rFonts w:ascii="Times New Roman" w:hAnsi="Times New Roman"/>
          <w:sz w:val="18"/>
          <w:szCs w:val="18"/>
        </w:rPr>
        <w:t>37(3):365-372.</w:t>
      </w:r>
    </w:p>
    <w:p w14:paraId="1AB1624F" w14:textId="5121B6E9"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Cooper JG, Ferguson J, Donaldson LA, Black KMM, Horrill JL, Davidson EM, et al. Could high-sensitivity cardiac troponin testing rule out acute myocardial infarction in the prehospital setting? J Am Coll Cardiol. 2021</w:t>
      </w:r>
      <w:r w:rsidR="00241B6C">
        <w:rPr>
          <w:rFonts w:ascii="Times New Roman" w:hAnsi="Times New Roman"/>
          <w:sz w:val="18"/>
          <w:szCs w:val="18"/>
        </w:rPr>
        <w:t>;</w:t>
      </w:r>
      <w:r w:rsidRPr="003F26ED">
        <w:rPr>
          <w:rFonts w:ascii="Times New Roman" w:hAnsi="Times New Roman"/>
          <w:sz w:val="18"/>
          <w:szCs w:val="18"/>
        </w:rPr>
        <w:t>78(23):2392-2394.</w:t>
      </w:r>
    </w:p>
    <w:p w14:paraId="22151F3B" w14:textId="063E5FA9"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Cooper JG, Ferguson J, Donaldson LA, Black KMM, Livock KJ, Horrill JL, et al. The ambulance cardiac chest pain evaluation in Scotland study (ACCESS): A prospective cohort study. Ann Emerg Med. 2021</w:t>
      </w:r>
      <w:r w:rsidR="00241B6C">
        <w:rPr>
          <w:rFonts w:ascii="Times New Roman" w:hAnsi="Times New Roman"/>
          <w:sz w:val="18"/>
          <w:szCs w:val="18"/>
        </w:rPr>
        <w:t>;</w:t>
      </w:r>
      <w:r w:rsidRPr="003F26ED">
        <w:rPr>
          <w:rFonts w:ascii="Times New Roman" w:hAnsi="Times New Roman"/>
          <w:sz w:val="18"/>
          <w:szCs w:val="18"/>
        </w:rPr>
        <w:t>77(6):575-588.</w:t>
      </w:r>
    </w:p>
    <w:p w14:paraId="1F5BEC8F" w14:textId="0AF54229"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Koper LH, Frenk LDS, Meeder JG, van Osch FHM, Bruinen AL, Janssen MJW, et al. URGENT 1.5: diagnostic accuracy of the modified HEART score, with fingerstick point-of-care troponin testing, in ruling out acute coronary syndrome. Neth Heart J. 2022</w:t>
      </w:r>
      <w:r w:rsidR="00241B6C">
        <w:rPr>
          <w:rFonts w:ascii="Times New Roman" w:hAnsi="Times New Roman"/>
          <w:sz w:val="18"/>
          <w:szCs w:val="18"/>
        </w:rPr>
        <w:t>;</w:t>
      </w:r>
      <w:r w:rsidRPr="003F26ED">
        <w:rPr>
          <w:rFonts w:ascii="Times New Roman" w:hAnsi="Times New Roman"/>
          <w:sz w:val="18"/>
          <w:szCs w:val="18"/>
        </w:rPr>
        <w:t>30(7-8):360-369.</w:t>
      </w:r>
    </w:p>
    <w:p w14:paraId="248EE06D" w14:textId="232AD62B"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Lee TH, Chen LC, Wang E, Wang CC, Lin YR, Chen WL. Development of an electrochemical immunosensor for detection of cardiac troponin I at the point-of-care. Biosensors (Basel). 2021</w:t>
      </w:r>
      <w:r w:rsidR="00241B6C">
        <w:rPr>
          <w:rFonts w:ascii="Times New Roman" w:hAnsi="Times New Roman"/>
          <w:sz w:val="18"/>
          <w:szCs w:val="18"/>
        </w:rPr>
        <w:t>;</w:t>
      </w:r>
      <w:r w:rsidRPr="003F26ED">
        <w:rPr>
          <w:rFonts w:ascii="Times New Roman" w:hAnsi="Times New Roman"/>
          <w:sz w:val="18"/>
          <w:szCs w:val="18"/>
        </w:rPr>
        <w:t>11(210):1-9.</w:t>
      </w:r>
    </w:p>
    <w:p w14:paraId="18446B19" w14:textId="52A7E3B7"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lastRenderedPageBreak/>
        <w:t>Martín-Rodríguez F, Sanz-García A, Castro-Portillo E, Delgado-Benito JF, Del Pozo Vegas C, Ortega Rabbione G, et al. Prehospital troponin as a predictor of early clinical deterioration. Eur J Clin Invest. 2021</w:t>
      </w:r>
      <w:r w:rsidR="00241B6C">
        <w:rPr>
          <w:rFonts w:ascii="Times New Roman" w:hAnsi="Times New Roman"/>
          <w:sz w:val="18"/>
          <w:szCs w:val="18"/>
        </w:rPr>
        <w:t>;</w:t>
      </w:r>
      <w:r w:rsidRPr="003F26ED">
        <w:rPr>
          <w:rFonts w:ascii="Times New Roman" w:hAnsi="Times New Roman"/>
          <w:sz w:val="18"/>
          <w:szCs w:val="18"/>
        </w:rPr>
        <w:t>51(11):e13591.</w:t>
      </w:r>
    </w:p>
    <w:p w14:paraId="13CD6C16" w14:textId="3BFAE927"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Stopyra JP, Snavely AC, Smith LM, Harris RD, Nelson RD, Winslow JE, et al. Prehospital use of a modified HEART pathway and point-of-care troponin to predict cardiovascular events. PLoS ONE. 2020</w:t>
      </w:r>
      <w:r w:rsidR="00241B6C">
        <w:rPr>
          <w:rFonts w:ascii="Times New Roman" w:hAnsi="Times New Roman"/>
          <w:sz w:val="18"/>
          <w:szCs w:val="18"/>
        </w:rPr>
        <w:t>;</w:t>
      </w:r>
      <w:r w:rsidRPr="003F26ED">
        <w:rPr>
          <w:rFonts w:ascii="Times New Roman" w:hAnsi="Times New Roman"/>
          <w:sz w:val="18"/>
          <w:szCs w:val="18"/>
        </w:rPr>
        <w:t>15(10): e0239460.</w:t>
      </w:r>
    </w:p>
    <w:p w14:paraId="4AB83ED7" w14:textId="305D7CFB"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Stopyra JP, Snavely AC, Scheidler JF, Smith LM, Nelson RD, Winslow JE, et al. Point-of-care troponin testing during ambulance transport to detect acute myocardial infarction. Prehosp Emerg Care. 2020</w:t>
      </w:r>
      <w:r w:rsidR="00241B6C">
        <w:rPr>
          <w:rFonts w:ascii="Times New Roman" w:hAnsi="Times New Roman"/>
          <w:sz w:val="18"/>
          <w:szCs w:val="18"/>
        </w:rPr>
        <w:t>;</w:t>
      </w:r>
      <w:r w:rsidRPr="003F26ED">
        <w:rPr>
          <w:rFonts w:ascii="Times New Roman" w:hAnsi="Times New Roman"/>
          <w:sz w:val="18"/>
          <w:szCs w:val="18"/>
        </w:rPr>
        <w:t>24(6):751-759.</w:t>
      </w:r>
    </w:p>
    <w:p w14:paraId="194F9673" w14:textId="733A6DD0"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Alghamdi A, Alotaibi A, Alharbi M, Reynard C, Body R. Diagnostic performance of prehospital point-of-care troponin tests to rule out acute myocardial infarction: A systematic review. Prehosp Disaster Med. 2020</w:t>
      </w:r>
      <w:r w:rsidR="00241B6C">
        <w:rPr>
          <w:rFonts w:ascii="Times New Roman" w:hAnsi="Times New Roman"/>
          <w:sz w:val="18"/>
          <w:szCs w:val="18"/>
        </w:rPr>
        <w:t>;</w:t>
      </w:r>
      <w:r w:rsidRPr="003F26ED">
        <w:rPr>
          <w:rFonts w:ascii="Times New Roman" w:hAnsi="Times New Roman"/>
          <w:sz w:val="18"/>
          <w:szCs w:val="18"/>
        </w:rPr>
        <w:t>35(5):567-573.</w:t>
      </w:r>
    </w:p>
    <w:p w14:paraId="1D4B732D" w14:textId="4F7C23FE"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Alghmadi A, Body R. BET 1: Prehospital cardiac troponin testing to 'rule out' acute coronary syndromes using point of care assays. Emerg Med J. 2018</w:t>
      </w:r>
      <w:r w:rsidR="00241B6C">
        <w:rPr>
          <w:rFonts w:ascii="Times New Roman" w:hAnsi="Times New Roman"/>
          <w:sz w:val="18"/>
          <w:szCs w:val="18"/>
        </w:rPr>
        <w:t>;</w:t>
      </w:r>
      <w:r w:rsidRPr="003F26ED">
        <w:rPr>
          <w:rFonts w:ascii="Times New Roman" w:hAnsi="Times New Roman"/>
          <w:sz w:val="18"/>
          <w:szCs w:val="18"/>
        </w:rPr>
        <w:t>35(9):572-574.</w:t>
      </w:r>
    </w:p>
    <w:p w14:paraId="728E3E11" w14:textId="68EFE57A"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Harjola P, Miró Ò, Martín-Sánchez FJ, Escalada X, Freund Y, Penaloza A, et al. Pre-hospital management protocols and perceived difficulty in diagnosing acute heart failure. ESC Heart Fail. 2020</w:t>
      </w:r>
      <w:r w:rsidR="00241B6C">
        <w:rPr>
          <w:rFonts w:ascii="Times New Roman" w:hAnsi="Times New Roman"/>
          <w:sz w:val="18"/>
          <w:szCs w:val="18"/>
        </w:rPr>
        <w:t>;</w:t>
      </w:r>
      <w:r w:rsidRPr="003F26ED">
        <w:rPr>
          <w:rFonts w:ascii="Times New Roman" w:hAnsi="Times New Roman"/>
          <w:sz w:val="18"/>
          <w:szCs w:val="18"/>
        </w:rPr>
        <w:t>7(1):289-296.</w:t>
      </w:r>
    </w:p>
    <w:p w14:paraId="55EFFF45" w14:textId="49AF7565"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Johannessen TR, Vallersnes OM, Halvorsen S, Larstorp ACK, Mdala I, Atar D. Pre-hospital one-hour troponin in a low-prevalence population of acute coronary syndrome: OUT-ACS study. Open Heart. 2020</w:t>
      </w:r>
      <w:r w:rsidR="00241B6C">
        <w:rPr>
          <w:rFonts w:ascii="Times New Roman" w:hAnsi="Times New Roman"/>
          <w:sz w:val="18"/>
          <w:szCs w:val="18"/>
        </w:rPr>
        <w:t>;</w:t>
      </w:r>
      <w:r w:rsidRPr="003F26ED">
        <w:rPr>
          <w:rFonts w:ascii="Times New Roman" w:hAnsi="Times New Roman"/>
          <w:sz w:val="18"/>
          <w:szCs w:val="18"/>
        </w:rPr>
        <w:t>7:e001296.</w:t>
      </w:r>
    </w:p>
    <w:p w14:paraId="7320E5E3" w14:textId="550042F1"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Kaier TE, Stengaard C, Marjot J, Sørensen JT, Alaour B, Stavropoulou-Tatla S, et al. Cardiac myosin-binding protein C to diagnose acute myocardial infarction in the pre-hospital setting. J Am Heart Assoc. 2019</w:t>
      </w:r>
      <w:r w:rsidR="00241B6C">
        <w:rPr>
          <w:rFonts w:ascii="Times New Roman" w:hAnsi="Times New Roman"/>
          <w:sz w:val="18"/>
          <w:szCs w:val="18"/>
        </w:rPr>
        <w:t>;</w:t>
      </w:r>
      <w:r w:rsidRPr="003F26ED">
        <w:rPr>
          <w:rFonts w:ascii="Times New Roman" w:hAnsi="Times New Roman"/>
          <w:sz w:val="18"/>
          <w:szCs w:val="18"/>
        </w:rPr>
        <w:t>8(15):e013152. doi: 10.1161/jaha.119.013152.</w:t>
      </w:r>
    </w:p>
    <w:p w14:paraId="50201DEA" w14:textId="5EB670A3"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Alghamdi A, Body R. BET 1: Prehospital cardiac troponin testing to 'rule out' acute coronary syndromes using point of care assays. Emerg Med J. 2018</w:t>
      </w:r>
      <w:r w:rsidR="00241B6C">
        <w:rPr>
          <w:rFonts w:ascii="Times New Roman" w:hAnsi="Times New Roman"/>
          <w:sz w:val="18"/>
          <w:szCs w:val="18"/>
        </w:rPr>
        <w:t>;</w:t>
      </w:r>
      <w:r w:rsidRPr="003F26ED">
        <w:rPr>
          <w:rFonts w:ascii="Times New Roman" w:hAnsi="Times New Roman"/>
          <w:sz w:val="18"/>
          <w:szCs w:val="18"/>
        </w:rPr>
        <w:t>35(9):572-574.</w:t>
      </w:r>
    </w:p>
    <w:p w14:paraId="7B287BF0" w14:textId="71D6A698"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Rasmussen MB, Stengaard C, Sørensen JT, Riddervold IS, Hansen TM, Giebner M, et al. Predictive value of routine point-of-care cardiac troponin T measurement for prehospital diagnosis and risk-stratification in patients with suspected acute myocardial infarction. Eur Heart J Acute Cardiovasc Care. 2019</w:t>
      </w:r>
      <w:r w:rsidR="00241B6C">
        <w:rPr>
          <w:rFonts w:ascii="Times New Roman" w:hAnsi="Times New Roman"/>
          <w:sz w:val="18"/>
          <w:szCs w:val="18"/>
        </w:rPr>
        <w:t>;</w:t>
      </w:r>
      <w:r w:rsidRPr="003F26ED">
        <w:rPr>
          <w:rFonts w:ascii="Times New Roman" w:hAnsi="Times New Roman"/>
          <w:sz w:val="18"/>
          <w:szCs w:val="18"/>
        </w:rPr>
        <w:t>8(4):299-308.</w:t>
      </w:r>
    </w:p>
    <w:p w14:paraId="5B278F89" w14:textId="1752CBB6"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Stengaard C, Sørensen JT, Ladefoged SA, Lassen JF, Rasmussen MB, Pedersen CK, et al. The potential of optimizing prehospital triage of patients with suspected acute myocardial infarction using high-sensitivity cardiac troponin T and copeptin. Biomarkers. 2017</w:t>
      </w:r>
      <w:r w:rsidR="00241B6C">
        <w:rPr>
          <w:rFonts w:ascii="Times New Roman" w:hAnsi="Times New Roman"/>
          <w:sz w:val="18"/>
          <w:szCs w:val="18"/>
        </w:rPr>
        <w:t>;</w:t>
      </w:r>
      <w:r w:rsidRPr="003F26ED">
        <w:rPr>
          <w:rFonts w:ascii="Times New Roman" w:hAnsi="Times New Roman"/>
          <w:sz w:val="18"/>
          <w:szCs w:val="18"/>
        </w:rPr>
        <w:t>22(3-4):351-360.</w:t>
      </w:r>
    </w:p>
    <w:p w14:paraId="17BA6399" w14:textId="1695B963"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Ezekowitz JA, Welsh RC, Weiss D, Chan M, Keeble W, Khadour F, et al. Providing rapid out of hospital acute cardiovascular treatment 4 (PROACT-4). J Am Heart Assoc. 2015</w:t>
      </w:r>
      <w:r w:rsidR="00241B6C">
        <w:rPr>
          <w:rFonts w:ascii="Times New Roman" w:hAnsi="Times New Roman"/>
          <w:sz w:val="18"/>
          <w:szCs w:val="18"/>
        </w:rPr>
        <w:t>;</w:t>
      </w:r>
      <w:r w:rsidRPr="003F26ED">
        <w:rPr>
          <w:rFonts w:ascii="Times New Roman" w:hAnsi="Times New Roman"/>
          <w:sz w:val="18"/>
          <w:szCs w:val="18"/>
        </w:rPr>
        <w:t>4(12):1-9.</w:t>
      </w:r>
    </w:p>
    <w:p w14:paraId="648B9C7A" w14:textId="57241C44"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Tideman PA, Tirimacco R, Senior DP, Setchell JJ, Huynh LT, Tavella R. Impact of a regionalised clinical cardiac support network on mortality among rural patients with myocardial infarction. Med J Aust. 2014</w:t>
      </w:r>
      <w:r w:rsidR="00241B6C">
        <w:rPr>
          <w:rFonts w:ascii="Times New Roman" w:hAnsi="Times New Roman"/>
          <w:sz w:val="18"/>
          <w:szCs w:val="18"/>
        </w:rPr>
        <w:t>;</w:t>
      </w:r>
      <w:r w:rsidRPr="003F26ED">
        <w:rPr>
          <w:rFonts w:ascii="Times New Roman" w:hAnsi="Times New Roman"/>
          <w:sz w:val="18"/>
          <w:szCs w:val="18"/>
        </w:rPr>
        <w:t>200(3):157-160.</w:t>
      </w:r>
    </w:p>
    <w:p w14:paraId="5AFEE17D" w14:textId="51001C4C"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Stengaard C, Thorsted Sørensen J, Terkelsen CJ. Prehospital point of care testing of biomarkers has diagnostic value in relation to acute myocardial infarction. Ugeskr Laeger. 2013</w:t>
      </w:r>
      <w:r w:rsidR="00241B6C">
        <w:rPr>
          <w:rFonts w:ascii="Times New Roman" w:hAnsi="Times New Roman"/>
          <w:sz w:val="18"/>
          <w:szCs w:val="18"/>
        </w:rPr>
        <w:t>;</w:t>
      </w:r>
      <w:r w:rsidRPr="003F26ED">
        <w:rPr>
          <w:rFonts w:ascii="Times New Roman" w:hAnsi="Times New Roman"/>
          <w:sz w:val="18"/>
          <w:szCs w:val="18"/>
        </w:rPr>
        <w:t>175(4):186-189.</w:t>
      </w:r>
    </w:p>
    <w:p w14:paraId="7F1D6B32" w14:textId="4FA75782"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Venturini JM, Stake CE, Cichon ME. Prehospital point-of-care testing for troponin: are the results reliable? Prehosp Emerg Care. 2013</w:t>
      </w:r>
      <w:r w:rsidR="00241B6C">
        <w:rPr>
          <w:rFonts w:ascii="Times New Roman" w:hAnsi="Times New Roman"/>
          <w:sz w:val="18"/>
          <w:szCs w:val="18"/>
        </w:rPr>
        <w:t>;</w:t>
      </w:r>
      <w:r w:rsidRPr="003F26ED">
        <w:rPr>
          <w:rFonts w:ascii="Times New Roman" w:hAnsi="Times New Roman"/>
          <w:sz w:val="18"/>
          <w:szCs w:val="18"/>
        </w:rPr>
        <w:t>17(1):88-91.</w:t>
      </w:r>
    </w:p>
    <w:p w14:paraId="26A667DC" w14:textId="357DDA12"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Prosen G, Klemen P, Štrnad M, Grmec S. Combination of lung ultrasound (a comet-tail sign) and N-terminal pro-brain natriuretic peptide in differentiating acute heart failure from chronic obstructive pulmonary disease and asthma as cause of acute dyspnea in prehospital emergency setting. Crit Care. 2011</w:t>
      </w:r>
      <w:r w:rsidR="00241B6C">
        <w:rPr>
          <w:rFonts w:ascii="Times New Roman" w:hAnsi="Times New Roman"/>
          <w:sz w:val="18"/>
          <w:szCs w:val="18"/>
        </w:rPr>
        <w:t>;</w:t>
      </w:r>
      <w:r w:rsidRPr="003F26ED">
        <w:rPr>
          <w:rFonts w:ascii="Times New Roman" w:hAnsi="Times New Roman"/>
          <w:sz w:val="18"/>
          <w:szCs w:val="18"/>
        </w:rPr>
        <w:t>15(2):R114.</w:t>
      </w:r>
    </w:p>
    <w:p w14:paraId="58EB1ECA" w14:textId="21567845"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Sørensen JT, Terkelsen CJ, Steengaard C, Lassen JF, Trautner S, Christensen EF, et al. Prehospital troponin T testing in the diagnosis and triage of patients with suspected acute myocardial infarction. Am J Cardiol. 2011</w:t>
      </w:r>
      <w:r w:rsidR="00241B6C">
        <w:rPr>
          <w:rFonts w:ascii="Times New Roman" w:hAnsi="Times New Roman"/>
          <w:sz w:val="18"/>
          <w:szCs w:val="18"/>
        </w:rPr>
        <w:t>;</w:t>
      </w:r>
      <w:r w:rsidRPr="003F26ED">
        <w:rPr>
          <w:rFonts w:ascii="Times New Roman" w:hAnsi="Times New Roman"/>
          <w:sz w:val="18"/>
          <w:szCs w:val="18"/>
        </w:rPr>
        <w:t>107(10):1436-1440.</w:t>
      </w:r>
    </w:p>
    <w:p w14:paraId="4F090A3E" w14:textId="3084D9F0" w:rsidR="00042CB3" w:rsidRPr="003F26ED" w:rsidRDefault="00042CB3" w:rsidP="00042CB3">
      <w:pPr>
        <w:pStyle w:val="ListParagraph"/>
        <w:numPr>
          <w:ilvl w:val="0"/>
          <w:numId w:val="18"/>
        </w:numPr>
        <w:spacing w:line="240" w:lineRule="auto"/>
        <w:rPr>
          <w:rFonts w:ascii="Times New Roman" w:hAnsi="Times New Roman"/>
          <w:color w:val="211E1E"/>
          <w:sz w:val="18"/>
          <w:szCs w:val="18"/>
        </w:rPr>
      </w:pPr>
      <w:r w:rsidRPr="003F26ED">
        <w:rPr>
          <w:rFonts w:ascii="Times New Roman" w:hAnsi="Times New Roman"/>
          <w:color w:val="211E1E"/>
          <w:sz w:val="18"/>
          <w:szCs w:val="18"/>
        </w:rPr>
        <w:t xml:space="preserve">Kost GJ, Kost LE, Suwanyangyuen A, Cheema SK, Curtis C, Sumner S, et al. </w:t>
      </w:r>
      <w:r w:rsidRPr="003F26ED">
        <w:rPr>
          <w:rFonts w:ascii="Times New Roman" w:hAnsi="Times New Roman"/>
          <w:sz w:val="18"/>
          <w:szCs w:val="18"/>
        </w:rPr>
        <w:t>Emergency cardiac biomarkers and point-of-care testing: Optimizing acute coronary syndrome care using small-world networks in rural settings. Point of Care. 2010</w:t>
      </w:r>
      <w:r w:rsidR="00241B6C">
        <w:rPr>
          <w:rFonts w:ascii="Times New Roman" w:hAnsi="Times New Roman"/>
          <w:sz w:val="18"/>
          <w:szCs w:val="18"/>
        </w:rPr>
        <w:t>;</w:t>
      </w:r>
      <w:r w:rsidRPr="003F26ED">
        <w:rPr>
          <w:rFonts w:ascii="Times New Roman" w:hAnsi="Times New Roman"/>
          <w:sz w:val="18"/>
          <w:szCs w:val="18"/>
        </w:rPr>
        <w:t>9:53-64.</w:t>
      </w:r>
    </w:p>
    <w:p w14:paraId="28DAC4B7" w14:textId="2EFA4885"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Di Serio F, Lovero R, Leone M, De Sario R, Ruggieri V, Varraso L, et al. Integration between the tele-cardiology unit and the central laboratory: methodological and clinical evaluation of point-of-care testing cardiac marker in the ambulance. Clin Chem Lab Med. 2006</w:t>
      </w:r>
      <w:r w:rsidR="00241B6C">
        <w:rPr>
          <w:rFonts w:ascii="Times New Roman" w:hAnsi="Times New Roman"/>
          <w:sz w:val="18"/>
          <w:szCs w:val="18"/>
        </w:rPr>
        <w:t>;</w:t>
      </w:r>
      <w:r w:rsidRPr="003F26ED">
        <w:rPr>
          <w:rFonts w:ascii="Times New Roman" w:hAnsi="Times New Roman"/>
          <w:sz w:val="18"/>
          <w:szCs w:val="18"/>
        </w:rPr>
        <w:t>44(6):768-773.</w:t>
      </w:r>
    </w:p>
    <w:p w14:paraId="6BB9724D" w14:textId="67D93D5B"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Owens CG, McClelland AJ, Walsh SJ, Smith BA, Tomlin A, Riddell JW, et al. Prehospital 80-LAD mapping: does it add significantly to the diagnosis of acute coronary syndromes? J Electrocardiol. 2004</w:t>
      </w:r>
      <w:r w:rsidR="00241B6C">
        <w:rPr>
          <w:rFonts w:ascii="Times New Roman" w:hAnsi="Times New Roman"/>
          <w:sz w:val="18"/>
          <w:szCs w:val="18"/>
        </w:rPr>
        <w:t>;</w:t>
      </w:r>
      <w:r w:rsidRPr="003F26ED">
        <w:rPr>
          <w:rFonts w:ascii="Times New Roman" w:hAnsi="Times New Roman"/>
          <w:sz w:val="18"/>
          <w:szCs w:val="18"/>
        </w:rPr>
        <w:t>37 Suppl:223-232.</w:t>
      </w:r>
    </w:p>
    <w:p w14:paraId="4462DB4D" w14:textId="2C522379"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 xml:space="preserve">Schuchert A, Hamm C, Scholz J, Klimmeck S, Goldmann B, Meinertz T. Prehospital testing for troponin T in patients with suspected acute myocardial infarction. Am Heart J. </w:t>
      </w:r>
      <w:r w:rsidR="00241B6C">
        <w:rPr>
          <w:rFonts w:ascii="Times New Roman" w:hAnsi="Times New Roman"/>
          <w:sz w:val="18"/>
          <w:szCs w:val="18"/>
        </w:rPr>
        <w:t>1</w:t>
      </w:r>
      <w:r w:rsidRPr="003F26ED">
        <w:rPr>
          <w:rFonts w:ascii="Times New Roman" w:hAnsi="Times New Roman"/>
          <w:sz w:val="18"/>
          <w:szCs w:val="18"/>
        </w:rPr>
        <w:t>999</w:t>
      </w:r>
      <w:r w:rsidR="00241B6C">
        <w:rPr>
          <w:rFonts w:ascii="Times New Roman" w:hAnsi="Times New Roman"/>
          <w:sz w:val="18"/>
          <w:szCs w:val="18"/>
        </w:rPr>
        <w:t>;</w:t>
      </w:r>
      <w:r w:rsidRPr="003F26ED">
        <w:rPr>
          <w:rFonts w:ascii="Times New Roman" w:hAnsi="Times New Roman"/>
          <w:sz w:val="18"/>
          <w:szCs w:val="18"/>
        </w:rPr>
        <w:t>138(1 Pt 1):45-48.</w:t>
      </w:r>
    </w:p>
    <w:p w14:paraId="17A84D78" w14:textId="421C879A" w:rsidR="009904B0" w:rsidRPr="00241B6C" w:rsidRDefault="009904B0" w:rsidP="00042CB3">
      <w:pPr>
        <w:pStyle w:val="ListParagraph"/>
        <w:numPr>
          <w:ilvl w:val="0"/>
          <w:numId w:val="18"/>
        </w:numPr>
        <w:spacing w:after="0" w:line="240" w:lineRule="auto"/>
        <w:rPr>
          <w:rFonts w:ascii="Times New Roman" w:hAnsi="Times New Roman"/>
          <w:sz w:val="18"/>
          <w:szCs w:val="18"/>
        </w:rPr>
      </w:pPr>
      <w:r w:rsidRPr="00241B6C">
        <w:rPr>
          <w:rFonts w:ascii="Times New Roman" w:hAnsi="Times New Roman"/>
          <w:sz w:val="18"/>
          <w:szCs w:val="18"/>
        </w:rPr>
        <w:t>Matthes A, Wolf F, Wilde E, Bleidorn J, Markwart R. Point-of-care measurement of C-reactive protein promotes de-escalation of treatment decisions and strengthens the perceived clinical confidence of physicians in out-of-hours outpatient emergency medical services. BMJ Open. 2023;13(5):e069453. doi: 10.1136/bmjopen-2022-069453.</w:t>
      </w:r>
    </w:p>
    <w:p w14:paraId="1F83DF08" w14:textId="245B2ECA"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241B6C">
        <w:rPr>
          <w:rFonts w:ascii="Times New Roman" w:hAnsi="Times New Roman"/>
          <w:sz w:val="18"/>
          <w:szCs w:val="18"/>
        </w:rPr>
        <w:t>Collopy KT, Westmoreland A, Powers WF. Patient care alterations after point-of-care laboratory testing during critical</w:t>
      </w:r>
      <w:r w:rsidRPr="003F26ED">
        <w:rPr>
          <w:rFonts w:ascii="Times New Roman" w:hAnsi="Times New Roman"/>
          <w:sz w:val="18"/>
          <w:szCs w:val="18"/>
        </w:rPr>
        <w:t xml:space="preserve"> care transport. Air Med J. 2022</w:t>
      </w:r>
      <w:r w:rsidR="00241B6C">
        <w:rPr>
          <w:rFonts w:ascii="Times New Roman" w:hAnsi="Times New Roman"/>
          <w:sz w:val="18"/>
          <w:szCs w:val="18"/>
        </w:rPr>
        <w:t>;</w:t>
      </w:r>
      <w:r w:rsidRPr="003F26ED">
        <w:rPr>
          <w:rFonts w:ascii="Times New Roman" w:hAnsi="Times New Roman"/>
          <w:sz w:val="18"/>
          <w:szCs w:val="18"/>
        </w:rPr>
        <w:t>41(4):370-375.</w:t>
      </w:r>
    </w:p>
    <w:p w14:paraId="21100961" w14:textId="2AF81FE4"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Morton S, Avery P, Payne J, OMeara M. Arterial blood gases and arterial lines in the prehospital setting: a systematic literature review and survey of current United Kingdom Helicopter Emergency Medical Services. Air Med J. 2022</w:t>
      </w:r>
      <w:r w:rsidR="00241B6C">
        <w:rPr>
          <w:rFonts w:ascii="Times New Roman" w:hAnsi="Times New Roman"/>
          <w:sz w:val="18"/>
          <w:szCs w:val="18"/>
        </w:rPr>
        <w:t>;</w:t>
      </w:r>
      <w:r w:rsidRPr="003F26ED">
        <w:rPr>
          <w:rFonts w:ascii="Times New Roman" w:hAnsi="Times New Roman"/>
          <w:sz w:val="18"/>
          <w:szCs w:val="18"/>
        </w:rPr>
        <w:t>41:201-208.</w:t>
      </w:r>
    </w:p>
    <w:p w14:paraId="7F448F0C" w14:textId="2D8639F1"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Murali A, Guyette FX, Martin-Gill C, Jones M, Kravetsky M, Wheeler SE. Implementation and challenges of portable blood gas measurements in air medical transport. Clin Chem Lab Med. 2022</w:t>
      </w:r>
      <w:r w:rsidR="00241B6C">
        <w:rPr>
          <w:rFonts w:ascii="Times New Roman" w:hAnsi="Times New Roman"/>
          <w:sz w:val="18"/>
          <w:szCs w:val="18"/>
        </w:rPr>
        <w:t>;</w:t>
      </w:r>
      <w:r w:rsidRPr="003F26ED">
        <w:rPr>
          <w:rFonts w:ascii="Times New Roman" w:hAnsi="Times New Roman"/>
          <w:sz w:val="18"/>
          <w:szCs w:val="18"/>
        </w:rPr>
        <w:t>60(6):859-866.</w:t>
      </w:r>
    </w:p>
    <w:p w14:paraId="0430C423" w14:textId="5637371A"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Cini S, Urbanelli A, Montemerani S, Ramacciani Isemann C, Righi L. Point-of-care blood gas analysis as a tool for COVID-19 patients: a prehospital setting experience. Recenti Prog Med. 2021</w:t>
      </w:r>
      <w:r w:rsidR="00241B6C">
        <w:rPr>
          <w:rFonts w:ascii="Times New Roman" w:hAnsi="Times New Roman"/>
          <w:sz w:val="18"/>
          <w:szCs w:val="18"/>
        </w:rPr>
        <w:t>;</w:t>
      </w:r>
      <w:r w:rsidRPr="003F26ED">
        <w:rPr>
          <w:rFonts w:ascii="Times New Roman" w:hAnsi="Times New Roman"/>
          <w:sz w:val="18"/>
          <w:szCs w:val="18"/>
        </w:rPr>
        <w:t>112(12):821-823.</w:t>
      </w:r>
    </w:p>
    <w:p w14:paraId="5DE12118" w14:textId="6B3BB59B"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lastRenderedPageBreak/>
        <w:t>Gruebl T, Ploeger B, Wranze-Bielefeld E, Mueller M, Schmidbauer W, Kill C, et al. Point-of-care testing in out-of-hospital cardiac arrest: a retrospective analysis of relevance and consequences. Scand J Trauma Resusc Emerg Med. 2021</w:t>
      </w:r>
      <w:r w:rsidR="00241B6C">
        <w:rPr>
          <w:rFonts w:ascii="Times New Roman" w:hAnsi="Times New Roman"/>
          <w:sz w:val="18"/>
          <w:szCs w:val="18"/>
        </w:rPr>
        <w:t>;</w:t>
      </w:r>
      <w:r w:rsidRPr="003F26ED">
        <w:rPr>
          <w:rFonts w:ascii="Times New Roman" w:hAnsi="Times New Roman"/>
          <w:sz w:val="18"/>
          <w:szCs w:val="18"/>
        </w:rPr>
        <w:t>29(128):1-10.</w:t>
      </w:r>
    </w:p>
    <w:p w14:paraId="20BF8045" w14:textId="738E21CD"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Nawrocki J, Furian M, Buergin A, Mayer L, Schneider S, Mademilov M, et al. Validation of a portable blood gas analyzer for use in challenging field conditions at high altitude. Front Physiol. 2021</w:t>
      </w:r>
      <w:r w:rsidR="00241B6C">
        <w:rPr>
          <w:rFonts w:ascii="Times New Roman" w:hAnsi="Times New Roman"/>
          <w:sz w:val="18"/>
          <w:szCs w:val="18"/>
        </w:rPr>
        <w:t>;</w:t>
      </w:r>
      <w:r w:rsidRPr="003F26ED">
        <w:rPr>
          <w:rFonts w:ascii="Times New Roman" w:hAnsi="Times New Roman"/>
          <w:sz w:val="18"/>
          <w:szCs w:val="18"/>
        </w:rPr>
        <w:t>11:600551. doi: 10.3389/fphys.2020.600551.</w:t>
      </w:r>
    </w:p>
    <w:p w14:paraId="6DA895C7" w14:textId="2BB14E7B"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McPherson MD. Point-of-care blood tests in decision-making for people over 65 with acute frailty. J Paramed Pract. 2019</w:t>
      </w:r>
      <w:r w:rsidR="00241B6C">
        <w:rPr>
          <w:rFonts w:ascii="Times New Roman" w:hAnsi="Times New Roman"/>
          <w:sz w:val="18"/>
          <w:szCs w:val="18"/>
        </w:rPr>
        <w:t>;</w:t>
      </w:r>
      <w:r w:rsidRPr="003F26ED">
        <w:rPr>
          <w:rFonts w:ascii="Times New Roman" w:hAnsi="Times New Roman"/>
          <w:sz w:val="18"/>
          <w:szCs w:val="18"/>
        </w:rPr>
        <w:t xml:space="preserve">11(3):106-115. </w:t>
      </w:r>
    </w:p>
    <w:p w14:paraId="7786F4C4" w14:textId="6E84FA7C"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Shin J, Lim YS, Kim K, Lee HJ, Lee SJ, Jung E, et al. Initial blood pH during cardiopulmonary resuscitation in out-of-hospital cardiac arrest patients: a multicenter observational registry-based study. Crit Care. 2017</w:t>
      </w:r>
      <w:r w:rsidR="00241B6C">
        <w:rPr>
          <w:rFonts w:ascii="Times New Roman" w:hAnsi="Times New Roman"/>
          <w:sz w:val="18"/>
          <w:szCs w:val="18"/>
        </w:rPr>
        <w:t>;</w:t>
      </w:r>
      <w:r w:rsidRPr="003F26ED">
        <w:rPr>
          <w:rFonts w:ascii="Times New Roman" w:hAnsi="Times New Roman"/>
          <w:sz w:val="18"/>
          <w:szCs w:val="18"/>
        </w:rPr>
        <w:t>21(1):322.</w:t>
      </w:r>
    </w:p>
    <w:p w14:paraId="0F68FE9D" w14:textId="728E5FA0"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Mikkelsen S, Wolsin-Hansen J, Nybo M, Maegaard CU, Jepsen S. Implementation of the ABL-90 blood gas analyzer in a ground-based mobile emergency care unit. SJTREM. 2015</w:t>
      </w:r>
      <w:r w:rsidR="00241B6C">
        <w:rPr>
          <w:rFonts w:ascii="Times New Roman" w:hAnsi="Times New Roman"/>
          <w:sz w:val="18"/>
          <w:szCs w:val="18"/>
        </w:rPr>
        <w:t>;</w:t>
      </w:r>
      <w:r w:rsidRPr="003F26ED">
        <w:rPr>
          <w:rFonts w:ascii="Times New Roman" w:hAnsi="Times New Roman"/>
          <w:sz w:val="18"/>
          <w:szCs w:val="18"/>
        </w:rPr>
        <w:t>23:54 (letter). doi: 10.1186/s13049-015-0134-y</w:t>
      </w:r>
    </w:p>
    <w:p w14:paraId="49FC86CE" w14:textId="0CFFF4FE"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Di Serio F, Petronelli MA, Sammartino E. Laboratory testing during critical care transport: point-of-care testing in air ambulances. Clin Chem Lab Med. 2010</w:t>
      </w:r>
      <w:r w:rsidR="00241B6C">
        <w:rPr>
          <w:rFonts w:ascii="Times New Roman" w:hAnsi="Times New Roman"/>
          <w:sz w:val="18"/>
          <w:szCs w:val="18"/>
        </w:rPr>
        <w:t>;</w:t>
      </w:r>
      <w:r w:rsidRPr="003F26ED">
        <w:rPr>
          <w:rFonts w:ascii="Times New Roman" w:hAnsi="Times New Roman"/>
          <w:sz w:val="18"/>
          <w:szCs w:val="18"/>
        </w:rPr>
        <w:t>48(7):955-961.</w:t>
      </w:r>
    </w:p>
    <w:p w14:paraId="77CC6865" w14:textId="12BE6BB3"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Jousi M, Reitala J, Lund V, Katila A, Leppäniemi A. The role of pre-hospital blood gas analysis in trauma resuscitation. World J Emerg Surg. 2010</w:t>
      </w:r>
      <w:r w:rsidR="00241B6C">
        <w:rPr>
          <w:rFonts w:ascii="Times New Roman" w:hAnsi="Times New Roman"/>
          <w:sz w:val="18"/>
          <w:szCs w:val="18"/>
        </w:rPr>
        <w:t>;</w:t>
      </w:r>
      <w:r w:rsidRPr="003F26ED">
        <w:rPr>
          <w:rFonts w:ascii="Times New Roman" w:hAnsi="Times New Roman"/>
          <w:sz w:val="18"/>
          <w:szCs w:val="18"/>
        </w:rPr>
        <w:t>5(10):1-7.</w:t>
      </w:r>
    </w:p>
    <w:p w14:paraId="77CDE98B" w14:textId="7D025FB1"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Vos G, Engel M, Ramsay G, van Waardenburg D. Point-of-care blood analyzer during the interhospital transport of critically ill children. Europ J Emerg Med. 2006</w:t>
      </w:r>
      <w:r w:rsidR="00241B6C">
        <w:rPr>
          <w:rFonts w:ascii="Times New Roman" w:hAnsi="Times New Roman"/>
          <w:sz w:val="18"/>
          <w:szCs w:val="18"/>
        </w:rPr>
        <w:t>;</w:t>
      </w:r>
      <w:r w:rsidRPr="003F26ED">
        <w:rPr>
          <w:rFonts w:ascii="Times New Roman" w:hAnsi="Times New Roman"/>
          <w:sz w:val="18"/>
          <w:szCs w:val="18"/>
        </w:rPr>
        <w:t>13:304-307.</w:t>
      </w:r>
    </w:p>
    <w:p w14:paraId="31856744" w14:textId="16036F98"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Gruszecki AC, Hortin G, Lam J, Kahler D, Smith D, Vines J, et al. Utilization, reliability, and clinical impact of point-of-care testing during critical care transport: six years of experience. Clin Chem. 2003</w:t>
      </w:r>
      <w:r w:rsidR="00241B6C">
        <w:rPr>
          <w:rFonts w:ascii="Times New Roman" w:hAnsi="Times New Roman"/>
          <w:sz w:val="18"/>
          <w:szCs w:val="18"/>
        </w:rPr>
        <w:t>;</w:t>
      </w:r>
      <w:r w:rsidRPr="003F26ED">
        <w:rPr>
          <w:rFonts w:ascii="Times New Roman" w:hAnsi="Times New Roman"/>
          <w:sz w:val="18"/>
          <w:szCs w:val="18"/>
        </w:rPr>
        <w:t xml:space="preserve">49(6):1017-1019. </w:t>
      </w:r>
    </w:p>
    <w:p w14:paraId="65D77996" w14:textId="2333355F"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Backer HD, Collins S. Use of a handheld, battery-operated chemistry analyzer for evaluation of heat-related symptoms in the backcountry of Grand Canyon National Park: a brief report. Ann Emerg Med. 1999</w:t>
      </w:r>
      <w:r w:rsidR="00241B6C">
        <w:rPr>
          <w:rFonts w:ascii="Times New Roman" w:hAnsi="Times New Roman"/>
          <w:sz w:val="18"/>
          <w:szCs w:val="18"/>
        </w:rPr>
        <w:t>;</w:t>
      </w:r>
      <w:r w:rsidRPr="003F26ED">
        <w:rPr>
          <w:rFonts w:ascii="Times New Roman" w:hAnsi="Times New Roman"/>
          <w:sz w:val="18"/>
          <w:szCs w:val="18"/>
        </w:rPr>
        <w:t>33(4):418-422.</w:t>
      </w:r>
    </w:p>
    <w:p w14:paraId="16606030" w14:textId="7FF7C7E0"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Herr DM, Newton NC, Santrach PJ, Hankins DG, Burritt MF. Airborne and rescue point-of-care testing. Am J Clin Pathol. 1995</w:t>
      </w:r>
      <w:r w:rsidR="00241B6C">
        <w:rPr>
          <w:rFonts w:ascii="Times New Roman" w:hAnsi="Times New Roman"/>
          <w:sz w:val="18"/>
          <w:szCs w:val="18"/>
        </w:rPr>
        <w:t>;</w:t>
      </w:r>
      <w:r w:rsidRPr="003F26ED">
        <w:rPr>
          <w:rFonts w:ascii="Times New Roman" w:hAnsi="Times New Roman"/>
          <w:sz w:val="18"/>
          <w:szCs w:val="18"/>
        </w:rPr>
        <w:t>104(4 Suppl 1, Kost Ed.):S54-S58.</w:t>
      </w:r>
    </w:p>
    <w:p w14:paraId="0A56CC1C" w14:textId="15234CE8"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Hill J, Gothard DM, McLean MM. Prehospital blood glucose testing as a predictor of impending hypotension in adult trauma patients. Air Med J. 2020</w:t>
      </w:r>
      <w:r w:rsidR="00780964">
        <w:rPr>
          <w:rFonts w:ascii="Times New Roman" w:hAnsi="Times New Roman"/>
          <w:sz w:val="18"/>
          <w:szCs w:val="18"/>
        </w:rPr>
        <w:t>;</w:t>
      </w:r>
      <w:r w:rsidRPr="003F26ED">
        <w:rPr>
          <w:rFonts w:ascii="Times New Roman" w:hAnsi="Times New Roman"/>
          <w:sz w:val="18"/>
          <w:szCs w:val="18"/>
        </w:rPr>
        <w:t>39(1):20-23.</w:t>
      </w:r>
    </w:p>
    <w:p w14:paraId="3EE10A44" w14:textId="3E6E7685"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Remick K, Redgate C, Ostermayer D, Kaji AH, Gausche-Hill M. Prehospital glucose testing for children with seizures: A proposed change in management. Prehosp Emerg Care. 2017</w:t>
      </w:r>
      <w:r w:rsidR="00780964">
        <w:rPr>
          <w:rFonts w:ascii="Times New Roman" w:hAnsi="Times New Roman"/>
          <w:sz w:val="18"/>
          <w:szCs w:val="18"/>
        </w:rPr>
        <w:t>;</w:t>
      </w:r>
      <w:r w:rsidRPr="003F26ED">
        <w:rPr>
          <w:rFonts w:ascii="Times New Roman" w:hAnsi="Times New Roman"/>
          <w:sz w:val="18"/>
          <w:szCs w:val="18"/>
        </w:rPr>
        <w:t>21(2):216-221.</w:t>
      </w:r>
    </w:p>
    <w:p w14:paraId="5A53A01A" w14:textId="11660C2C"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Lerner EB, Billittier IV AJ, Lance DR, Janicke DM, Teuscher JA. Can paramedics safely treat and discharge hypoglycemic patients in the field? Am J Emerg Med. 2003</w:t>
      </w:r>
      <w:r w:rsidR="00780964">
        <w:rPr>
          <w:rFonts w:ascii="Times New Roman" w:hAnsi="Times New Roman"/>
          <w:sz w:val="18"/>
          <w:szCs w:val="18"/>
        </w:rPr>
        <w:t>;</w:t>
      </w:r>
      <w:r w:rsidRPr="003F26ED">
        <w:rPr>
          <w:rFonts w:ascii="Times New Roman" w:hAnsi="Times New Roman"/>
          <w:sz w:val="18"/>
          <w:szCs w:val="18"/>
        </w:rPr>
        <w:t>21(2):115-120.</w:t>
      </w:r>
    </w:p>
    <w:p w14:paraId="5531F7A3" w14:textId="7A4D8124"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Novak A, Cherry J, Ali N, Smith I, Bowen J, Ray J, et al. Point-of-care blood testing with secondary care decision support for frail patients. J Paramed Pract. 2022</w:t>
      </w:r>
      <w:r w:rsidR="00780964">
        <w:rPr>
          <w:rFonts w:ascii="Times New Roman" w:hAnsi="Times New Roman"/>
          <w:sz w:val="18"/>
          <w:szCs w:val="18"/>
        </w:rPr>
        <w:t>;</w:t>
      </w:r>
      <w:r w:rsidRPr="003F26ED">
        <w:rPr>
          <w:rFonts w:ascii="Times New Roman" w:hAnsi="Times New Roman"/>
          <w:sz w:val="18"/>
          <w:szCs w:val="18"/>
        </w:rPr>
        <w:t>14(2):54-62</w:t>
      </w:r>
    </w:p>
    <w:p w14:paraId="78F5FB28" w14:textId="5A658EA4"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Galvagno SM, Sikorski RA, Floccare DJ, Rock P, Mazzeffi MA, DuBose JJ, et al. Prehospital point of care testing for the early detection of shock and prediction of lifesaving interventions. Shock. 2020</w:t>
      </w:r>
      <w:r w:rsidR="00780964">
        <w:rPr>
          <w:rFonts w:ascii="Times New Roman" w:hAnsi="Times New Roman"/>
          <w:sz w:val="18"/>
          <w:szCs w:val="18"/>
        </w:rPr>
        <w:t>;</w:t>
      </w:r>
      <w:r w:rsidRPr="003F26ED">
        <w:rPr>
          <w:rFonts w:ascii="Times New Roman" w:hAnsi="Times New Roman"/>
          <w:sz w:val="18"/>
          <w:szCs w:val="18"/>
        </w:rPr>
        <w:t>54(6):710-716.</w:t>
      </w:r>
    </w:p>
    <w:p w14:paraId="0FB130A9" w14:textId="1C9D2B50"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Martín-Rodríguez F, López-Izquierdo R, Medina-Lozano E, Ortega Rabbione G, Del Pozo Vegas C, Carbajosa Rodríguez V, et al. Accuracy of prehospital point-of-care lactate in early in-hospital mortality. Eur J Clin Invest. 2020</w:t>
      </w:r>
      <w:r w:rsidR="00780964">
        <w:rPr>
          <w:rFonts w:ascii="Times New Roman" w:hAnsi="Times New Roman"/>
          <w:sz w:val="18"/>
          <w:szCs w:val="18"/>
        </w:rPr>
        <w:t>;</w:t>
      </w:r>
      <w:r w:rsidRPr="003F26ED">
        <w:rPr>
          <w:rFonts w:ascii="Times New Roman" w:hAnsi="Times New Roman"/>
          <w:sz w:val="18"/>
          <w:szCs w:val="18"/>
        </w:rPr>
        <w:t>50(12):e13341. doi: 10.1111/eci.13341.</w:t>
      </w:r>
    </w:p>
    <w:p w14:paraId="1BA47214" w14:textId="2655698A"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Martín-Rodríguez F, López-Izquierdo R, Castro Villamor MA, Mangas IM, Del Brío Ibáñez P, Delgado Benito JF, et al. Prognostic value of lactate in prehospital care as a predictor of early mortality. Am J Emerg Med. 2019</w:t>
      </w:r>
      <w:r w:rsidR="00780964">
        <w:rPr>
          <w:rFonts w:ascii="Times New Roman" w:hAnsi="Times New Roman"/>
          <w:sz w:val="18"/>
          <w:szCs w:val="18"/>
        </w:rPr>
        <w:t>;</w:t>
      </w:r>
      <w:r w:rsidRPr="003F26ED">
        <w:rPr>
          <w:rFonts w:ascii="Times New Roman" w:hAnsi="Times New Roman"/>
          <w:sz w:val="18"/>
          <w:szCs w:val="18"/>
        </w:rPr>
        <w:t>37(9):1627-1632.</w:t>
      </w:r>
    </w:p>
    <w:p w14:paraId="2FAEF3E1" w14:textId="5DBCDF2C" w:rsidR="001E7F58" w:rsidRPr="00780964" w:rsidRDefault="001E7F58" w:rsidP="00042CB3">
      <w:pPr>
        <w:pStyle w:val="ListParagraph"/>
        <w:numPr>
          <w:ilvl w:val="0"/>
          <w:numId w:val="18"/>
        </w:numPr>
        <w:spacing w:after="0" w:line="240" w:lineRule="auto"/>
        <w:rPr>
          <w:rFonts w:ascii="Times New Roman" w:hAnsi="Times New Roman"/>
          <w:sz w:val="18"/>
          <w:szCs w:val="18"/>
        </w:rPr>
      </w:pPr>
      <w:r w:rsidRPr="00780964">
        <w:rPr>
          <w:rFonts w:ascii="Times New Roman" w:hAnsi="Times New Roman"/>
          <w:sz w:val="18"/>
          <w:szCs w:val="18"/>
        </w:rPr>
        <w:t>Krass I, Carter R, Mitchell B, Mohebbi M, Shih STF, Trinder P, et al. Pharmacy diabetes screening trial (PDST): Outcomes of a national clustered RCT comparing three screening methods for undiagnosed type 2 diabetes (T2DM) in community pharmacy. Diab Res Clin Pract. 2023;197:110566. doi: 10.1016/j.diabres.2023.110566.</w:t>
      </w:r>
    </w:p>
    <w:p w14:paraId="0EB922F7" w14:textId="4B6CE184"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Ventura IJ, Zadran A, Ho AVD, Zadran L, Thuan DTB, Pham TT, et al. Rapid diagnosis and effective monitoring of diabetes mellitus in central Vietnam: Point-of-care needs, improved patient access, and spatial care paths for enhanced public health. Point of Care. 2019</w:t>
      </w:r>
      <w:r w:rsidR="00780964">
        <w:rPr>
          <w:rFonts w:ascii="Times New Roman" w:hAnsi="Times New Roman"/>
          <w:sz w:val="18"/>
          <w:szCs w:val="18"/>
        </w:rPr>
        <w:t>;</w:t>
      </w:r>
      <w:r w:rsidRPr="003F26ED">
        <w:rPr>
          <w:rFonts w:ascii="Times New Roman" w:hAnsi="Times New Roman"/>
          <w:sz w:val="18"/>
          <w:szCs w:val="18"/>
        </w:rPr>
        <w:t>18:1-8.</w:t>
      </w:r>
    </w:p>
    <w:p w14:paraId="6F7F0BF5" w14:textId="04E15A1F"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Shephard M, Shephard A, McAteer B, Regnier T, Barancek K. Results from 15 years of quality surveillance for a National Indigenous Point-of-Care Testing Program for diabetes. Clin Biochem. 2017</w:t>
      </w:r>
      <w:r w:rsidR="00780964">
        <w:rPr>
          <w:rFonts w:ascii="Times New Roman" w:hAnsi="Times New Roman"/>
          <w:sz w:val="18"/>
          <w:szCs w:val="18"/>
        </w:rPr>
        <w:t>;</w:t>
      </w:r>
      <w:r w:rsidRPr="003F26ED">
        <w:rPr>
          <w:rFonts w:ascii="Times New Roman" w:hAnsi="Times New Roman"/>
          <w:sz w:val="18"/>
          <w:szCs w:val="18"/>
        </w:rPr>
        <w:t>50(18):1159-1163.</w:t>
      </w:r>
    </w:p>
    <w:p w14:paraId="77FAB8FA" w14:textId="18521D5E"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Motta LA, Shephard MDS, Brink J, Lawson S, Rheeder P. Point-of-care testing improves diabetes management in a primary care clinic in South Africa. Prim Care Diabetes. 2017</w:t>
      </w:r>
      <w:r w:rsidR="00780964">
        <w:rPr>
          <w:rFonts w:ascii="Times New Roman" w:hAnsi="Times New Roman"/>
          <w:sz w:val="18"/>
          <w:szCs w:val="18"/>
        </w:rPr>
        <w:t>;</w:t>
      </w:r>
      <w:r w:rsidRPr="003F26ED">
        <w:rPr>
          <w:rFonts w:ascii="Times New Roman" w:hAnsi="Times New Roman"/>
          <w:sz w:val="18"/>
          <w:szCs w:val="18"/>
        </w:rPr>
        <w:t>11(3):248-253.</w:t>
      </w:r>
    </w:p>
    <w:p w14:paraId="68973C23" w14:textId="16F8414D"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Kost GJ, Kanoksilp A, Mecozzi DM, Sonu R, Curtis C, Yu JN. Point-of-need hemoglobin A1c for evidence-based diabetes care in rural small-world networks: Khumuang Community Hospital, Buriram, Thailand. Point of Care. 2011</w:t>
      </w:r>
      <w:r w:rsidR="00780964">
        <w:rPr>
          <w:rFonts w:ascii="Times New Roman" w:hAnsi="Times New Roman"/>
          <w:sz w:val="18"/>
          <w:szCs w:val="18"/>
        </w:rPr>
        <w:t>;</w:t>
      </w:r>
      <w:r w:rsidRPr="003F26ED">
        <w:rPr>
          <w:rFonts w:ascii="Times New Roman" w:hAnsi="Times New Roman"/>
          <w:sz w:val="18"/>
          <w:szCs w:val="18"/>
        </w:rPr>
        <w:t>10:28-33.</w:t>
      </w:r>
    </w:p>
    <w:p w14:paraId="0CEB0B85" w14:textId="3E8CCA14"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Spaeth BA, Shephard MD, Schatz S. Point-of-care testing for haemoglobin A1c in remote Australian Indigenous communities improves timeliness of diabetes care. Rural Remote Health. 2014</w:t>
      </w:r>
      <w:r w:rsidR="00780964">
        <w:rPr>
          <w:rFonts w:ascii="Times New Roman" w:hAnsi="Times New Roman"/>
          <w:sz w:val="18"/>
          <w:szCs w:val="18"/>
        </w:rPr>
        <w:t>;</w:t>
      </w:r>
      <w:r w:rsidRPr="003F26ED">
        <w:rPr>
          <w:rFonts w:ascii="Times New Roman" w:hAnsi="Times New Roman"/>
          <w:sz w:val="18"/>
          <w:szCs w:val="18"/>
        </w:rPr>
        <w:t>14(4):2849.</w:t>
      </w:r>
    </w:p>
    <w:p w14:paraId="3025AA02" w14:textId="6E0903FE"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Martin DD, Shephard MD, Freeman H, Bulsara MK, Jones TW, Davis EA, et al. Point-of-care testing of HbA1c and blood glucose in a remote Aboriginal Australian community. Med J Aust. 2005</w:t>
      </w:r>
      <w:r w:rsidR="00780964">
        <w:rPr>
          <w:rFonts w:ascii="Times New Roman" w:hAnsi="Times New Roman"/>
          <w:sz w:val="18"/>
          <w:szCs w:val="18"/>
        </w:rPr>
        <w:t>;</w:t>
      </w:r>
      <w:r w:rsidRPr="003F26ED">
        <w:rPr>
          <w:rFonts w:ascii="Times New Roman" w:hAnsi="Times New Roman"/>
          <w:sz w:val="18"/>
          <w:szCs w:val="18"/>
        </w:rPr>
        <w:t>182(10):524-527.</w:t>
      </w:r>
    </w:p>
    <w:p w14:paraId="2FF7ED83" w14:textId="7775B11C"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Shephard MD, Mazzachi BC, Shephard AK, McLaughlin KJ, Denner B, Barnes G. The impact of point of care testing on diabetes services along Victoria's Mallee Track: results of a community-based diabetes risk assessment and management program. Rural Remote Health. 2005</w:t>
      </w:r>
      <w:r w:rsidR="00780964">
        <w:rPr>
          <w:rFonts w:ascii="Times New Roman" w:hAnsi="Times New Roman"/>
          <w:sz w:val="18"/>
          <w:szCs w:val="18"/>
        </w:rPr>
        <w:t>;</w:t>
      </w:r>
      <w:r w:rsidRPr="003F26ED">
        <w:rPr>
          <w:rFonts w:ascii="Times New Roman" w:hAnsi="Times New Roman"/>
          <w:sz w:val="18"/>
          <w:szCs w:val="18"/>
        </w:rPr>
        <w:t>5(3):371.</w:t>
      </w:r>
    </w:p>
    <w:p w14:paraId="555F8BD0" w14:textId="7808A477"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Schober P, Bossers SM, Koolwijk J, Terra M, Schwarte LA. Prehospital coagulation measurement by a portable blood analyzer in a helicopter emergency medical service (HEMS). Am J Emerg Med. 2021</w:t>
      </w:r>
      <w:r w:rsidR="00780964">
        <w:rPr>
          <w:rFonts w:ascii="Times New Roman" w:hAnsi="Times New Roman"/>
          <w:sz w:val="18"/>
          <w:szCs w:val="18"/>
        </w:rPr>
        <w:t>;</w:t>
      </w:r>
      <w:r w:rsidRPr="003F26ED">
        <w:rPr>
          <w:rFonts w:ascii="Times New Roman" w:hAnsi="Times New Roman"/>
          <w:sz w:val="18"/>
          <w:szCs w:val="18"/>
        </w:rPr>
        <w:t>46:137-140.</w:t>
      </w:r>
    </w:p>
    <w:p w14:paraId="4D838081" w14:textId="35DABE20"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lastRenderedPageBreak/>
        <w:t>Beynon C, Erk AG, Potzy A, Mohr S, Popp E. Point of care coagulometry in prehospital emergency care: an observational study. Scand J Trauma Resusc Emerg Med. 2015</w:t>
      </w:r>
      <w:r w:rsidR="00780964">
        <w:rPr>
          <w:rFonts w:ascii="Times New Roman" w:hAnsi="Times New Roman"/>
          <w:sz w:val="18"/>
          <w:szCs w:val="18"/>
        </w:rPr>
        <w:t>;</w:t>
      </w:r>
      <w:r w:rsidRPr="003F26ED">
        <w:rPr>
          <w:rFonts w:ascii="Times New Roman" w:hAnsi="Times New Roman"/>
          <w:sz w:val="18"/>
          <w:szCs w:val="18"/>
        </w:rPr>
        <w:t>23:58.</w:t>
      </w:r>
    </w:p>
    <w:p w14:paraId="48E5BBD1" w14:textId="48BB5072"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Rumpf TH, Krizmaric M, Grmec S. Capnometry in suspected pulmonary embolism with positive D-dimer in the field. Crit Care. 2009</w:t>
      </w:r>
      <w:r w:rsidR="00780964">
        <w:rPr>
          <w:rFonts w:ascii="Times New Roman" w:hAnsi="Times New Roman"/>
          <w:sz w:val="18"/>
          <w:szCs w:val="18"/>
        </w:rPr>
        <w:t>;</w:t>
      </w:r>
      <w:r w:rsidRPr="003F26ED">
        <w:rPr>
          <w:rFonts w:ascii="Times New Roman" w:hAnsi="Times New Roman"/>
          <w:sz w:val="18"/>
          <w:szCs w:val="18"/>
        </w:rPr>
        <w:t>13(6):R196</w:t>
      </w:r>
    </w:p>
    <w:p w14:paraId="30630A6F" w14:textId="420D2514"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Christensen HM, Pietersen PI, Laursen CB, Wittrock D, Nadim G, Jørgensen G, et al. Patients' perspectives on point-of-care diagnostics and treatment by emergency medical technicians in acute COPD exacerbations: A qualitative study. Scand J Trauma Resusc Emerg Med. 2022</w:t>
      </w:r>
      <w:r w:rsidR="001F6011">
        <w:rPr>
          <w:rFonts w:ascii="Times New Roman" w:hAnsi="Times New Roman"/>
          <w:sz w:val="18"/>
          <w:szCs w:val="18"/>
        </w:rPr>
        <w:t>;</w:t>
      </w:r>
      <w:r w:rsidRPr="003F26ED">
        <w:rPr>
          <w:rFonts w:ascii="Times New Roman" w:hAnsi="Times New Roman"/>
          <w:sz w:val="18"/>
          <w:szCs w:val="18"/>
        </w:rPr>
        <w:t>30(1):11.</w:t>
      </w:r>
    </w:p>
    <w:p w14:paraId="6293FF11" w14:textId="25E5E367"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Ienghong K, Cheung LW, Tiamkao S, Bhudhisawasdi V, Apiratwarakul K. The utilization of handheld ultrasound devices in a prehospital setting. Prehosp Disaster Med. 2022</w:t>
      </w:r>
      <w:r w:rsidR="001F6011">
        <w:rPr>
          <w:rFonts w:ascii="Times New Roman" w:hAnsi="Times New Roman"/>
          <w:sz w:val="18"/>
          <w:szCs w:val="18"/>
        </w:rPr>
        <w:t>;</w:t>
      </w:r>
      <w:r w:rsidRPr="003F26ED">
        <w:rPr>
          <w:rFonts w:ascii="Times New Roman" w:hAnsi="Times New Roman"/>
          <w:sz w:val="18"/>
          <w:szCs w:val="18"/>
        </w:rPr>
        <w:t>37(3):355-359. doi: 10.1017/s1049023x22000644.</w:t>
      </w:r>
    </w:p>
    <w:p w14:paraId="62AD1899" w14:textId="14AD92DD"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Dubecq C, Dubourg O, Morand G, Montagnon R, Travers S, Mahe P. Point-of-care ultrasound for treatment and triage in austere military environments. J Trauma Acute Care Surg. 2021</w:t>
      </w:r>
      <w:r w:rsidR="001F6011">
        <w:rPr>
          <w:rFonts w:ascii="Times New Roman" w:hAnsi="Times New Roman"/>
          <w:sz w:val="18"/>
          <w:szCs w:val="18"/>
        </w:rPr>
        <w:t>;</w:t>
      </w:r>
      <w:r w:rsidRPr="003F26ED">
        <w:rPr>
          <w:rFonts w:ascii="Times New Roman" w:hAnsi="Times New Roman"/>
          <w:sz w:val="18"/>
          <w:szCs w:val="18"/>
        </w:rPr>
        <w:t>91(2S Suppl 2):S124-129.</w:t>
      </w:r>
    </w:p>
    <w:p w14:paraId="2595953A" w14:textId="56539803"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Nadim G, Laursen CB, Pietersen PI, Wittrock D, Sørensen MK, Nielsen LB, et al. Prehospital emergency medical technicians can perform ultrasonography and blood analysis in prehospital evaluation of patients with chronic obstructive pulmonary disease: a feasibility study. BMC Health Serv Res. 2021</w:t>
      </w:r>
      <w:r w:rsidR="001F6011">
        <w:rPr>
          <w:rFonts w:ascii="Times New Roman" w:hAnsi="Times New Roman"/>
          <w:sz w:val="18"/>
          <w:szCs w:val="18"/>
        </w:rPr>
        <w:t>;</w:t>
      </w:r>
      <w:r w:rsidRPr="003F26ED">
        <w:rPr>
          <w:rFonts w:ascii="Times New Roman" w:hAnsi="Times New Roman"/>
          <w:sz w:val="18"/>
          <w:szCs w:val="18"/>
        </w:rPr>
        <w:t>21(1):290.</w:t>
      </w:r>
    </w:p>
    <w:p w14:paraId="768A9E45" w14:textId="7A80947C"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Schoeneck JH, Coughlin RF, Baloescu C, Cone DC, Liu RB, Kalam S, et al. Paramedic-performed prehospital point-of-care ultrasound for patients with undifferentiated dyspnea: A pilot study. West J Emerg Med. 2021</w:t>
      </w:r>
      <w:r w:rsidR="001F6011">
        <w:rPr>
          <w:rFonts w:ascii="Times New Roman" w:hAnsi="Times New Roman"/>
          <w:sz w:val="18"/>
          <w:szCs w:val="18"/>
        </w:rPr>
        <w:t>;</w:t>
      </w:r>
      <w:r w:rsidRPr="003F26ED">
        <w:rPr>
          <w:rFonts w:ascii="Times New Roman" w:hAnsi="Times New Roman"/>
          <w:sz w:val="18"/>
          <w:szCs w:val="18"/>
        </w:rPr>
        <w:t>22(3):750-755.</w:t>
      </w:r>
    </w:p>
    <w:p w14:paraId="3EE6B2DB" w14:textId="36A69581"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Sabatino V, Caramia MR, Curatola A, Vassallo F, Deidda A, Cinicola B, et al. Point-of-care ultrasound (POCUS) in a remote area of Sierra Leone: impact on patient management and training program for community health officers. J Ultrasound. 2020</w:t>
      </w:r>
      <w:r w:rsidR="001F6011">
        <w:rPr>
          <w:rFonts w:ascii="Times New Roman" w:hAnsi="Times New Roman"/>
          <w:sz w:val="18"/>
          <w:szCs w:val="18"/>
        </w:rPr>
        <w:t>;</w:t>
      </w:r>
      <w:r w:rsidRPr="003F26ED">
        <w:rPr>
          <w:rFonts w:ascii="Times New Roman" w:hAnsi="Times New Roman"/>
          <w:sz w:val="18"/>
          <w:szCs w:val="18"/>
        </w:rPr>
        <w:t>23(4):521-527.</w:t>
      </w:r>
    </w:p>
    <w:p w14:paraId="336843B7" w14:textId="4CBD2314"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Bobbia X, Abou-Badra M, Hansel N, Pes P, Petrovic T, Claret PG, et al. Changes in the availability of bedside ultrasound practice in emergency rooms and prehospital settings in France. Anaesth Crit Care Pain Med. 2018</w:t>
      </w:r>
      <w:r w:rsidR="001F6011">
        <w:rPr>
          <w:rFonts w:ascii="Times New Roman" w:hAnsi="Times New Roman"/>
          <w:sz w:val="18"/>
          <w:szCs w:val="18"/>
        </w:rPr>
        <w:t>;</w:t>
      </w:r>
      <w:r w:rsidRPr="003F26ED">
        <w:rPr>
          <w:rFonts w:ascii="Times New Roman" w:hAnsi="Times New Roman"/>
          <w:sz w:val="18"/>
          <w:szCs w:val="18"/>
        </w:rPr>
        <w:t>37(3):201-205.</w:t>
      </w:r>
    </w:p>
    <w:p w14:paraId="41FA9A3F" w14:textId="02BB5B36"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Chin EJ, Chan CH, Mortazavi R, Anderson CL, Kahn CA, Summers S, et al. A pilot study examining the viability of a prehospital assessment with ultrasound for emergencies (PAUSE) protocol. J Emerg Med. 2013</w:t>
      </w:r>
      <w:r w:rsidR="001F6011">
        <w:rPr>
          <w:rFonts w:ascii="Times New Roman" w:hAnsi="Times New Roman"/>
          <w:sz w:val="18"/>
          <w:szCs w:val="18"/>
        </w:rPr>
        <w:t>;</w:t>
      </w:r>
      <w:r w:rsidRPr="003F26ED">
        <w:rPr>
          <w:rFonts w:ascii="Times New Roman" w:hAnsi="Times New Roman"/>
          <w:sz w:val="18"/>
          <w:szCs w:val="18"/>
        </w:rPr>
        <w:t>44(1):142-149.</w:t>
      </w:r>
    </w:p>
    <w:p w14:paraId="45FC49C3" w14:textId="77777777"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Advance Health Services Cooperative. Mobile Diagnostic Clinic. Philippine Cooperative Central Fund Federation Bldg, 20 Gov. M. Roa St, Cebu City, 6000 Cebu.</w:t>
      </w:r>
    </w:p>
    <w:p w14:paraId="7AA6A6BC" w14:textId="76F8144C"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Söderqvist M, Virta J, Kämäräinen A. Substance abuse among emergency medical services patients. A pilot study on the clinical impact of an on-site oral fluid screening test. Point of Care. 2018</w:t>
      </w:r>
      <w:r w:rsidR="001F6011">
        <w:rPr>
          <w:rFonts w:ascii="Times New Roman" w:hAnsi="Times New Roman"/>
          <w:sz w:val="18"/>
          <w:szCs w:val="18"/>
        </w:rPr>
        <w:t>;</w:t>
      </w:r>
      <w:r w:rsidRPr="003F26ED">
        <w:rPr>
          <w:rFonts w:ascii="Times New Roman" w:hAnsi="Times New Roman"/>
          <w:sz w:val="18"/>
          <w:szCs w:val="18"/>
        </w:rPr>
        <w:t>17(2):47-49.</w:t>
      </w:r>
    </w:p>
    <w:p w14:paraId="2CF0F77A" w14:textId="741B50A3" w:rsidR="002E0D53" w:rsidRPr="001F6011" w:rsidRDefault="002E0D53" w:rsidP="00042CB3">
      <w:pPr>
        <w:pStyle w:val="ListParagraph"/>
        <w:numPr>
          <w:ilvl w:val="0"/>
          <w:numId w:val="18"/>
        </w:numPr>
        <w:spacing w:after="0" w:line="240" w:lineRule="auto"/>
        <w:rPr>
          <w:rFonts w:ascii="Times New Roman" w:hAnsi="Times New Roman"/>
          <w:sz w:val="18"/>
          <w:szCs w:val="18"/>
        </w:rPr>
      </w:pPr>
      <w:r w:rsidRPr="001F6011">
        <w:rPr>
          <w:rFonts w:ascii="Times New Roman" w:hAnsi="Times New Roman"/>
          <w:sz w:val="18"/>
          <w:szCs w:val="18"/>
        </w:rPr>
        <w:t>Levens AD, den Haan MC, Jukema JW, Heringa M, van den Hout WB, Moes D, et al. Feasibility of community pharmacist-initiated and point-of-Care CYP2C19 genotype-guided de-escalation of oral P2Y12 inhibitors. Genes. 2023;14(3).</w:t>
      </w:r>
    </w:p>
    <w:p w14:paraId="56F16969" w14:textId="2DBA1A9A" w:rsidR="003161DB" w:rsidRPr="001F6011" w:rsidRDefault="003161DB" w:rsidP="00042CB3">
      <w:pPr>
        <w:pStyle w:val="ListParagraph"/>
        <w:numPr>
          <w:ilvl w:val="0"/>
          <w:numId w:val="18"/>
        </w:numPr>
        <w:spacing w:after="0" w:line="240" w:lineRule="auto"/>
        <w:rPr>
          <w:rFonts w:ascii="Times New Roman" w:hAnsi="Times New Roman"/>
          <w:sz w:val="18"/>
          <w:szCs w:val="18"/>
        </w:rPr>
      </w:pPr>
      <w:r w:rsidRPr="001F6011">
        <w:rPr>
          <w:rFonts w:ascii="Times New Roman" w:hAnsi="Times New Roman"/>
          <w:sz w:val="18"/>
          <w:szCs w:val="18"/>
        </w:rPr>
        <w:t>Do NTT, Vu TVD, Greer RC, Dittrich S, Vandendorpe M, Pham NT, et al. Implementation of point-of-care testing of C-reactive protein concentrations to improve antibiotic targeting in respiratory illness in Vietnamese primary care: a pragmatic cluster-randomised controlled trial. Lancet Infect Dis. 2023. doi: 10.1016/s1473-3099(23)00125-1.</w:t>
      </w:r>
    </w:p>
    <w:p w14:paraId="630E3611" w14:textId="32DC29A3" w:rsidR="009F43E6" w:rsidRPr="001F6011" w:rsidRDefault="009F43E6" w:rsidP="00042CB3">
      <w:pPr>
        <w:pStyle w:val="ListParagraph"/>
        <w:numPr>
          <w:ilvl w:val="0"/>
          <w:numId w:val="18"/>
        </w:numPr>
        <w:spacing w:after="0" w:line="240" w:lineRule="auto"/>
        <w:rPr>
          <w:rFonts w:ascii="Times New Roman" w:hAnsi="Times New Roman"/>
          <w:sz w:val="18"/>
          <w:szCs w:val="18"/>
        </w:rPr>
      </w:pPr>
      <w:r w:rsidRPr="001F6011">
        <w:rPr>
          <w:rFonts w:ascii="Times New Roman" w:hAnsi="Times New Roman"/>
          <w:sz w:val="18"/>
          <w:szCs w:val="18"/>
        </w:rPr>
        <w:t>Mital S, Kelly D, Hughes C, Nosyk B, Thavorn K, Nguyen HV. Estimated cost-effectiveness of point-of-care testing in community pharmacies vs. self-testing and standard laboratory testing for HIV. AIDS (London, England). 2023;37(7):1125-35.</w:t>
      </w:r>
    </w:p>
    <w:p w14:paraId="43363040" w14:textId="49581091" w:rsidR="003161DB" w:rsidRPr="001F6011" w:rsidRDefault="003161DB" w:rsidP="00042CB3">
      <w:pPr>
        <w:pStyle w:val="ListParagraph"/>
        <w:numPr>
          <w:ilvl w:val="0"/>
          <w:numId w:val="18"/>
        </w:numPr>
        <w:spacing w:after="0" w:line="240" w:lineRule="auto"/>
        <w:rPr>
          <w:rFonts w:ascii="Times New Roman" w:hAnsi="Times New Roman"/>
          <w:sz w:val="18"/>
          <w:szCs w:val="18"/>
        </w:rPr>
      </w:pPr>
      <w:r w:rsidRPr="001F6011">
        <w:rPr>
          <w:rFonts w:ascii="Times New Roman" w:hAnsi="Times New Roman"/>
          <w:sz w:val="18"/>
          <w:szCs w:val="18"/>
        </w:rPr>
        <w:t>Sheehan Y, Cunningham EB, Cochrane A, Byrne M, Brown T, McGrath C, et al. A 'one-stop-shop' point-of-care hepatitis C RNA testing intervention to enhance treatment uptake in a reception prison: the PIVOT study. J Hepatology. 2023. doi: 10.1016/j.jhep.2023.04.019.</w:t>
      </w:r>
    </w:p>
    <w:p w14:paraId="665785E3" w14:textId="16990581" w:rsidR="00042CB3" w:rsidRPr="003F26ED" w:rsidRDefault="00042CB3" w:rsidP="00042CB3">
      <w:pPr>
        <w:numPr>
          <w:ilvl w:val="0"/>
          <w:numId w:val="18"/>
        </w:numPr>
        <w:rPr>
          <w:rFonts w:ascii="Times New Roman" w:hAnsi="Times New Roman" w:cs="Times New Roman"/>
          <w:sz w:val="18"/>
          <w:szCs w:val="18"/>
        </w:rPr>
      </w:pPr>
      <w:r w:rsidRPr="003F26ED">
        <w:rPr>
          <w:rFonts w:ascii="Times New Roman" w:hAnsi="Times New Roman" w:cs="Times New Roman"/>
          <w:sz w:val="18"/>
          <w:szCs w:val="18"/>
        </w:rPr>
        <w:t xml:space="preserve">Department of Health, Philippines. USAID to expedite patients’ access to TB care. </w:t>
      </w:r>
      <w:hyperlink r:id="rId11" w:history="1">
        <w:r w:rsidRPr="003F26ED">
          <w:rPr>
            <w:rStyle w:val="Hyperlink"/>
            <w:rFonts w:ascii="Times New Roman" w:hAnsi="Times New Roman" w:cs="Times New Roman"/>
            <w:sz w:val="18"/>
            <w:szCs w:val="18"/>
          </w:rPr>
          <w:t>https://www.pna.gov.ph/articles/1174445</w:t>
        </w:r>
      </w:hyperlink>
      <w:r w:rsidRPr="003F26ED">
        <w:rPr>
          <w:rFonts w:ascii="Times New Roman" w:hAnsi="Times New Roman" w:cs="Times New Roman"/>
          <w:sz w:val="18"/>
          <w:szCs w:val="18"/>
        </w:rPr>
        <w:t xml:space="preserve"> Accessed </w:t>
      </w:r>
      <w:r w:rsidR="00CD61EE">
        <w:rPr>
          <w:rFonts w:ascii="Times New Roman" w:hAnsi="Times New Roman"/>
          <w:sz w:val="18"/>
          <w:szCs w:val="18"/>
        </w:rPr>
        <w:t>July 14, 2023</w:t>
      </w:r>
      <w:r w:rsidRPr="003F26ED">
        <w:rPr>
          <w:rFonts w:ascii="Times New Roman" w:hAnsi="Times New Roman" w:cs="Times New Roman"/>
          <w:sz w:val="18"/>
          <w:szCs w:val="18"/>
        </w:rPr>
        <w:t>.</w:t>
      </w:r>
    </w:p>
    <w:p w14:paraId="46B83E97" w14:textId="77777777"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Beeman A, Gonzalez Marques C, Tang OY, Uwamahoro C, Jarmale S, Mutabazi Z, et al. Factors associated with HIV testing among patients seeking emergent injury care in Kigali, Rwanda. Afr J Emerg Med. (2022) 12(3):281-286.</w:t>
      </w:r>
    </w:p>
    <w:p w14:paraId="2545FAA1" w14:textId="77777777"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 xml:space="preserve">Zadran A, Ho AVD, Zadran L, Ventura-Curiel IJ, Pham T-T, Kost GJ. Optimizing public health preparedness for highly infectious diseases in Central Vietnam. Diagnostics. (2022) 12(2047):1-29. </w:t>
      </w:r>
      <w:r w:rsidRPr="003F26ED">
        <w:rPr>
          <w:rFonts w:ascii="Times New Roman" w:hAnsi="Times New Roman"/>
          <w:color w:val="222222"/>
          <w:sz w:val="18"/>
          <w:szCs w:val="18"/>
        </w:rPr>
        <w:t>doi.org/10.3390/diagnostics12092047</w:t>
      </w:r>
    </w:p>
    <w:p w14:paraId="08ACA8D1" w14:textId="2A945B54"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 xml:space="preserve">World Health Organization. Consolidated Guidelines on HIV Prevention, Testing, Treatment, Service Delivery and Monitoring: Recommendations for a Public Health Approach. Geneva: WHO. (2021), 592 pages. </w:t>
      </w:r>
      <w:hyperlink r:id="rId12" w:history="1">
        <w:r w:rsidRPr="003F26ED">
          <w:rPr>
            <w:rStyle w:val="Hyperlink"/>
            <w:rFonts w:ascii="Times New Roman" w:hAnsi="Times New Roman"/>
            <w:sz w:val="18"/>
            <w:szCs w:val="18"/>
          </w:rPr>
          <w:t>https://www.who.int/publications/i/item/9789240031593</w:t>
        </w:r>
      </w:hyperlink>
      <w:r w:rsidRPr="003F26ED">
        <w:rPr>
          <w:rFonts w:ascii="Times New Roman" w:hAnsi="Times New Roman"/>
          <w:sz w:val="18"/>
          <w:szCs w:val="18"/>
        </w:rPr>
        <w:t xml:space="preserve"> Accessed </w:t>
      </w:r>
      <w:r w:rsidR="00CD61EE">
        <w:rPr>
          <w:rFonts w:ascii="Times New Roman" w:hAnsi="Times New Roman"/>
          <w:sz w:val="18"/>
          <w:szCs w:val="18"/>
        </w:rPr>
        <w:t>July 14, 2023</w:t>
      </w:r>
      <w:r w:rsidRPr="003F26ED">
        <w:rPr>
          <w:rFonts w:ascii="Times New Roman" w:hAnsi="Times New Roman"/>
          <w:sz w:val="18"/>
          <w:szCs w:val="18"/>
        </w:rPr>
        <w:t>.</w:t>
      </w:r>
    </w:p>
    <w:p w14:paraId="62D5017C" w14:textId="77777777"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Vallely AJ, Pomat WS, Homer C, Guy R, Luchters S, Mola GDL, et al. Point-of-care testing and treatment of sexually transmitted infections to improve birth outcomes in high-burden, low-income settings: Study protocol for a cluster randomized crossover trial (the WANTAIM Trial, Papua New Guinea). Welcome Open Res. (2019) 4:53. doi: 10.12688/wellcomeopenres.15173.2.</w:t>
      </w:r>
    </w:p>
    <w:p w14:paraId="20A6EEA8" w14:textId="77777777"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West K. Rapid HIV testing: a new standard of care to protect prehospital providers. J Emer Med Serv. (2007) 32(5):40-41. doi: 10.1016/S0197-2510(07)72192-7.</w:t>
      </w:r>
    </w:p>
    <w:p w14:paraId="3F1E5921" w14:textId="77777777"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West K. HIV: test results in minutes: reviewing the prehospital occupational risk of acquiring HIV &amp; the availability &amp; value of rapid post-exposure testing. J Emer Med Serv. (2004) 29(7):68-73.</w:t>
      </w:r>
    </w:p>
    <w:p w14:paraId="0A4E2660" w14:textId="16D94AA2"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Metelmann C, Metelmann B, Scheer C, Gründling M, Henkel B, Hahnenkamp K, et al. Sepsis detection in emergency medicine: Results of an interprofessional survey on sepsis detection in prehospital emergency medicine and emergency departments. Anaesthesist. (2018) 67(8):584-591.</w:t>
      </w:r>
    </w:p>
    <w:p w14:paraId="2910F667" w14:textId="57241D49" w:rsidR="006C5F4C" w:rsidRPr="001F6011" w:rsidRDefault="006C5F4C" w:rsidP="00042CB3">
      <w:pPr>
        <w:pStyle w:val="ListParagraph"/>
        <w:numPr>
          <w:ilvl w:val="0"/>
          <w:numId w:val="18"/>
        </w:numPr>
        <w:spacing w:after="0" w:line="240" w:lineRule="auto"/>
        <w:rPr>
          <w:rFonts w:ascii="Times New Roman" w:hAnsi="Times New Roman"/>
          <w:sz w:val="18"/>
          <w:szCs w:val="18"/>
        </w:rPr>
      </w:pPr>
      <w:r w:rsidRPr="001F6011">
        <w:rPr>
          <w:rFonts w:ascii="Times New Roman" w:hAnsi="Times New Roman"/>
          <w:sz w:val="18"/>
          <w:szCs w:val="18"/>
        </w:rPr>
        <w:lastRenderedPageBreak/>
        <w:t>Donoso-Calero MI, Martín Conty JL, López-Izquierdo R, Sanz-García A, Dileone M, Polonio-López B, et al. Prehospital seizures: Short-term outcomes and risk stratification based in point-of-care testing. European J Clin Invest. 2023:e14042.</w:t>
      </w:r>
    </w:p>
    <w:p w14:paraId="7322ED1D" w14:textId="37A1EDBC"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Ebinger M, Siegerink B, Kunz A, Wendt M, Weber JE, Schwabauer E, et al. Association between dispatch of mobile stroke units and functional outcomes among patients with acute ischemic stroke in Berlin. JAMA. 2021</w:t>
      </w:r>
      <w:r w:rsidR="001F6011">
        <w:rPr>
          <w:rFonts w:ascii="Times New Roman" w:hAnsi="Times New Roman"/>
          <w:sz w:val="18"/>
          <w:szCs w:val="18"/>
        </w:rPr>
        <w:t>;</w:t>
      </w:r>
      <w:r w:rsidRPr="003F26ED">
        <w:rPr>
          <w:rFonts w:ascii="Times New Roman" w:hAnsi="Times New Roman"/>
          <w:sz w:val="18"/>
          <w:szCs w:val="18"/>
        </w:rPr>
        <w:t>325(5):454-466.</w:t>
      </w:r>
    </w:p>
    <w:p w14:paraId="1DEF733D" w14:textId="62811141"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Wendt M, Ebinger M, Kunz A, Rozanski M, Waldschmidt C, Weber JE, et al. Improved prehospital triage of patients with stroke in a specialized stroke ambulance. Results of the pre-hospital acute neurological therapy and optimization of medical care in stroke study. Stroke 2015</w:t>
      </w:r>
      <w:r w:rsidR="001F6011">
        <w:rPr>
          <w:rFonts w:ascii="Times New Roman" w:hAnsi="Times New Roman"/>
          <w:sz w:val="18"/>
          <w:szCs w:val="18"/>
        </w:rPr>
        <w:t>;</w:t>
      </w:r>
      <w:r w:rsidRPr="003F26ED">
        <w:rPr>
          <w:rFonts w:ascii="Times New Roman" w:hAnsi="Times New Roman"/>
          <w:sz w:val="18"/>
          <w:szCs w:val="18"/>
        </w:rPr>
        <w:t xml:space="preserve">46:740-745.  </w:t>
      </w:r>
    </w:p>
    <w:p w14:paraId="0624AED3" w14:textId="5C9A32BB"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Ebinger M, Winter B, Wendt M, Weber JE, Waldschmidt C, Rozanksi M, et al. Effect of the use of ambulance-based thrombolysis on time to thrombolysis in acute ischemic stroke. JAMA 2014</w:t>
      </w:r>
      <w:r w:rsidR="001F6011">
        <w:rPr>
          <w:rFonts w:ascii="Times New Roman" w:hAnsi="Times New Roman"/>
          <w:sz w:val="18"/>
          <w:szCs w:val="18"/>
        </w:rPr>
        <w:t>;</w:t>
      </w:r>
      <w:r w:rsidRPr="003F26ED">
        <w:rPr>
          <w:rFonts w:ascii="Times New Roman" w:hAnsi="Times New Roman"/>
          <w:sz w:val="18"/>
          <w:szCs w:val="18"/>
        </w:rPr>
        <w:t>311(16):1622-1631.</w:t>
      </w:r>
    </w:p>
    <w:p w14:paraId="485388F4" w14:textId="45CCE164"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Walter S, Kostopoulos P, Haas A, Keller I, Lesmeister M, Schlechtriemen T, et al. Diagnosis and treatment of patients with stroke in a mobile stroke unit versus in hospital: a randomized controlled trial. Lancet Neurol. 2012</w:t>
      </w:r>
      <w:r w:rsidR="001F6011">
        <w:rPr>
          <w:rFonts w:ascii="Times New Roman" w:hAnsi="Times New Roman"/>
          <w:sz w:val="18"/>
          <w:szCs w:val="18"/>
        </w:rPr>
        <w:t>;</w:t>
      </w:r>
      <w:r w:rsidRPr="003F26ED">
        <w:rPr>
          <w:rFonts w:ascii="Times New Roman" w:hAnsi="Times New Roman"/>
          <w:sz w:val="18"/>
          <w:szCs w:val="18"/>
        </w:rPr>
        <w:t>11:397-404.</w:t>
      </w:r>
    </w:p>
    <w:p w14:paraId="47B9CA3D" w14:textId="0A7D6195"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Chan J, Griffith LE, Costa AP, Leyenaar MS, Agarwal G. Community paramedicine: a systematic review of program descriptions and training. Canadian J Emer Med. 2019</w:t>
      </w:r>
      <w:r w:rsidR="001F6011">
        <w:rPr>
          <w:rFonts w:ascii="Times New Roman" w:hAnsi="Times New Roman"/>
          <w:sz w:val="18"/>
          <w:szCs w:val="18"/>
        </w:rPr>
        <w:t>;</w:t>
      </w:r>
      <w:r w:rsidRPr="003F26ED">
        <w:rPr>
          <w:rFonts w:ascii="Times New Roman" w:hAnsi="Times New Roman"/>
          <w:sz w:val="18"/>
          <w:szCs w:val="18"/>
        </w:rPr>
        <w:t>21:749-761.</w:t>
      </w:r>
    </w:p>
    <w:p w14:paraId="3D905895" w14:textId="1CCBE507"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Van Vuuren J, Thomas B, Agarwal G, MacDermott S, Kinsman L, O’Meara P, et al. Reshaping healthcare delivery for elderly patients: the role of community paramedicine; a systematic review. BMC Health Services Research. 2021</w:t>
      </w:r>
      <w:r w:rsidR="001F6011">
        <w:rPr>
          <w:rFonts w:ascii="Times New Roman" w:hAnsi="Times New Roman"/>
          <w:sz w:val="18"/>
          <w:szCs w:val="18"/>
        </w:rPr>
        <w:t>;</w:t>
      </w:r>
      <w:r w:rsidRPr="003F26ED">
        <w:rPr>
          <w:rFonts w:ascii="Times New Roman" w:hAnsi="Times New Roman"/>
          <w:sz w:val="18"/>
          <w:szCs w:val="18"/>
        </w:rPr>
        <w:t>21:29.</w:t>
      </w:r>
    </w:p>
    <w:p w14:paraId="65A31E79" w14:textId="5AF4DFA6"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Thirumalai M, Zengul AG, Evans E. Challenges and lessons learned from a telehealth community paramedicine program for the prevention of hypoglycemia: pre-post pilot feasibility study. JMIR Diabetes. 2021</w:t>
      </w:r>
      <w:r w:rsidR="001F6011">
        <w:rPr>
          <w:rFonts w:ascii="Times New Roman" w:hAnsi="Times New Roman"/>
          <w:sz w:val="18"/>
          <w:szCs w:val="18"/>
        </w:rPr>
        <w:t>;</w:t>
      </w:r>
      <w:r w:rsidRPr="003F26ED">
        <w:rPr>
          <w:rFonts w:ascii="Times New Roman" w:hAnsi="Times New Roman"/>
          <w:sz w:val="18"/>
          <w:szCs w:val="18"/>
        </w:rPr>
        <w:t>6:e26941.</w:t>
      </w:r>
    </w:p>
    <w:p w14:paraId="3DD4F9B3" w14:textId="12413327"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 xml:space="preserve">Rural Health Information Hub. Community Paramedicine. </w:t>
      </w:r>
      <w:hyperlink r:id="rId13" w:history="1">
        <w:r w:rsidRPr="003F26ED">
          <w:rPr>
            <w:rStyle w:val="Hyperlink"/>
            <w:rFonts w:ascii="Times New Roman" w:hAnsi="Times New Roman"/>
            <w:sz w:val="18"/>
            <w:szCs w:val="18"/>
          </w:rPr>
          <w:t>https://www.ruralhealthinfo.org/topics/community-paramedicine</w:t>
        </w:r>
      </w:hyperlink>
      <w:r w:rsidRPr="003F26ED">
        <w:rPr>
          <w:rFonts w:ascii="Times New Roman" w:hAnsi="Times New Roman"/>
          <w:sz w:val="18"/>
          <w:szCs w:val="18"/>
        </w:rPr>
        <w:t xml:space="preserve"> Accessed </w:t>
      </w:r>
      <w:r w:rsidR="00CD61EE">
        <w:rPr>
          <w:rFonts w:ascii="Times New Roman" w:hAnsi="Times New Roman"/>
          <w:sz w:val="18"/>
          <w:szCs w:val="18"/>
        </w:rPr>
        <w:t>July 14, 2023</w:t>
      </w:r>
      <w:r w:rsidRPr="003F26ED">
        <w:rPr>
          <w:rFonts w:ascii="Times New Roman" w:hAnsi="Times New Roman"/>
          <w:sz w:val="18"/>
          <w:szCs w:val="18"/>
        </w:rPr>
        <w:t>.</w:t>
      </w:r>
    </w:p>
    <w:p w14:paraId="2E7C1787" w14:textId="34FD6564"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 xml:space="preserve">Paramedic Real-world Example 1. </w:t>
      </w:r>
      <w:hyperlink r:id="rId14" w:history="1">
        <w:r w:rsidRPr="003F26ED">
          <w:rPr>
            <w:rStyle w:val="Hyperlink"/>
            <w:rFonts w:ascii="Times New Roman" w:hAnsi="Times New Roman"/>
            <w:sz w:val="18"/>
            <w:szCs w:val="18"/>
          </w:rPr>
          <w:t>https://www.albertahealthservices.ca/ems/Page16487.aspx</w:t>
        </w:r>
      </w:hyperlink>
      <w:r w:rsidRPr="003F26ED">
        <w:rPr>
          <w:rFonts w:ascii="Times New Roman" w:hAnsi="Times New Roman"/>
          <w:sz w:val="18"/>
          <w:szCs w:val="18"/>
        </w:rPr>
        <w:t xml:space="preserve"> Accessed </w:t>
      </w:r>
      <w:r w:rsidR="00CD61EE">
        <w:rPr>
          <w:rFonts w:ascii="Times New Roman" w:hAnsi="Times New Roman"/>
          <w:sz w:val="18"/>
          <w:szCs w:val="18"/>
        </w:rPr>
        <w:t>July 14, 2023</w:t>
      </w:r>
      <w:r w:rsidRPr="003F26ED">
        <w:rPr>
          <w:rFonts w:ascii="Times New Roman" w:hAnsi="Times New Roman"/>
          <w:sz w:val="18"/>
          <w:szCs w:val="18"/>
        </w:rPr>
        <w:t>.</w:t>
      </w:r>
    </w:p>
    <w:p w14:paraId="699F652A" w14:textId="20034816"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 xml:space="preserve">Paramedic Real-world Example 2. </w:t>
      </w:r>
      <w:hyperlink r:id="rId15" w:history="1">
        <w:r w:rsidRPr="003F26ED">
          <w:rPr>
            <w:rStyle w:val="Hyperlink"/>
            <w:rFonts w:ascii="Times New Roman" w:hAnsi="Times New Roman"/>
            <w:sz w:val="18"/>
            <w:szCs w:val="18"/>
          </w:rPr>
          <w:t>http://www.bcehs.ca/our-services/programs-services/community-paramedicine</w:t>
        </w:r>
      </w:hyperlink>
      <w:r w:rsidRPr="003F26ED">
        <w:rPr>
          <w:rFonts w:ascii="Times New Roman" w:hAnsi="Times New Roman"/>
          <w:sz w:val="18"/>
          <w:szCs w:val="18"/>
        </w:rPr>
        <w:t xml:space="preserve"> Accessed </w:t>
      </w:r>
      <w:r w:rsidR="00CD61EE">
        <w:rPr>
          <w:rFonts w:ascii="Times New Roman" w:hAnsi="Times New Roman"/>
          <w:sz w:val="18"/>
          <w:szCs w:val="18"/>
        </w:rPr>
        <w:t>July 14, 2023</w:t>
      </w:r>
      <w:r w:rsidRPr="003F26ED">
        <w:rPr>
          <w:rFonts w:ascii="Times New Roman" w:hAnsi="Times New Roman"/>
          <w:sz w:val="18"/>
          <w:szCs w:val="18"/>
        </w:rPr>
        <w:t>.</w:t>
      </w:r>
    </w:p>
    <w:p w14:paraId="22F8F545" w14:textId="5B7547DD"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Leff B, Burton L, Guido S., Greenough WB, Steinwachs D, Burton JR. Home hospital program: a pilot study. J Am Geriatr Soc. 1999</w:t>
      </w:r>
      <w:r w:rsidR="001F6011">
        <w:rPr>
          <w:rFonts w:ascii="Times New Roman" w:hAnsi="Times New Roman"/>
          <w:sz w:val="18"/>
          <w:szCs w:val="18"/>
        </w:rPr>
        <w:t>;</w:t>
      </w:r>
      <w:r w:rsidRPr="003F26ED">
        <w:rPr>
          <w:rFonts w:ascii="Times New Roman" w:hAnsi="Times New Roman"/>
          <w:sz w:val="18"/>
          <w:szCs w:val="18"/>
        </w:rPr>
        <w:t>47:697-702.</w:t>
      </w:r>
    </w:p>
    <w:p w14:paraId="43E618F4" w14:textId="77777777"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Leff B, Burton L, Mader SL, Naughton B, Burl J, Inouye SK, et al. Hospital at home: feasibility and outcomes of a program to provide hospital-level care at home for acutely ill older patients. Ann Intern Med. (2005) 143:798-808.</w:t>
      </w:r>
    </w:p>
    <w:p w14:paraId="6D582E04" w14:textId="7B00E132"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Leong MQ, Lim CW, Lai YF. Comparison of hospital-at-home models: a systematic review of reviews. BMJ Open. 2021</w:t>
      </w:r>
      <w:r w:rsidR="001F6011">
        <w:rPr>
          <w:rFonts w:ascii="Times New Roman" w:hAnsi="Times New Roman"/>
          <w:sz w:val="18"/>
          <w:szCs w:val="18"/>
        </w:rPr>
        <w:t>;</w:t>
      </w:r>
      <w:r w:rsidRPr="003F26ED">
        <w:rPr>
          <w:rFonts w:ascii="Times New Roman" w:hAnsi="Times New Roman"/>
          <w:sz w:val="18"/>
          <w:szCs w:val="18"/>
        </w:rPr>
        <w:t>11:e043285.</w:t>
      </w:r>
    </w:p>
    <w:p w14:paraId="6AEA4670" w14:textId="1B5240EB"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Balatbat C, Kadakia KT, Dzau VJ, Offodile AC. No place like home: Hospital at home as a post-pandemic frontier for care delivery innovation. NEJM Catalyst. 2021</w:t>
      </w:r>
      <w:r w:rsidR="001F6011">
        <w:rPr>
          <w:rFonts w:ascii="Times New Roman" w:hAnsi="Times New Roman"/>
          <w:sz w:val="18"/>
          <w:szCs w:val="18"/>
        </w:rPr>
        <w:t>.</w:t>
      </w:r>
      <w:r w:rsidRPr="003F26ED">
        <w:rPr>
          <w:rFonts w:ascii="Times New Roman" w:hAnsi="Times New Roman"/>
          <w:sz w:val="18"/>
          <w:szCs w:val="18"/>
        </w:rPr>
        <w:t xml:space="preserve"> </w:t>
      </w:r>
      <w:hyperlink r:id="rId16" w:history="1">
        <w:r w:rsidRPr="003F26ED">
          <w:rPr>
            <w:rStyle w:val="Hyperlink"/>
            <w:rFonts w:ascii="Times New Roman" w:hAnsi="Times New Roman"/>
            <w:sz w:val="18"/>
            <w:szCs w:val="18"/>
          </w:rPr>
          <w:t>https://catalyst.nejm.org/doi/pdf/10.1056/CAT.21.0237</w:t>
        </w:r>
      </w:hyperlink>
      <w:r w:rsidRPr="003F26ED">
        <w:rPr>
          <w:rFonts w:ascii="Times New Roman" w:hAnsi="Times New Roman"/>
          <w:sz w:val="18"/>
          <w:szCs w:val="18"/>
        </w:rPr>
        <w:t xml:space="preserve"> Accessed </w:t>
      </w:r>
      <w:r w:rsidR="00CD61EE">
        <w:rPr>
          <w:rFonts w:ascii="Times New Roman" w:hAnsi="Times New Roman"/>
          <w:sz w:val="18"/>
          <w:szCs w:val="18"/>
        </w:rPr>
        <w:t>July 14, 2023</w:t>
      </w:r>
      <w:r w:rsidRPr="003F26ED">
        <w:rPr>
          <w:rFonts w:ascii="Times New Roman" w:hAnsi="Times New Roman"/>
          <w:sz w:val="18"/>
          <w:szCs w:val="18"/>
        </w:rPr>
        <w:t>.</w:t>
      </w:r>
    </w:p>
    <w:p w14:paraId="389D219C" w14:textId="09DF37D8"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Lippert M, Semmens S, Tacey L, Rent T, Defoe K, Bucsis M, et al. The Hospital at home program: no place like home. Curr Oncol. 2017</w:t>
      </w:r>
      <w:r w:rsidR="001F6011">
        <w:rPr>
          <w:rFonts w:ascii="Times New Roman" w:hAnsi="Times New Roman"/>
          <w:sz w:val="18"/>
          <w:szCs w:val="18"/>
        </w:rPr>
        <w:t>;</w:t>
      </w:r>
      <w:r w:rsidRPr="003F26ED">
        <w:rPr>
          <w:rFonts w:ascii="Times New Roman" w:hAnsi="Times New Roman"/>
          <w:sz w:val="18"/>
          <w:szCs w:val="18"/>
        </w:rPr>
        <w:t xml:space="preserve">24:23-27. </w:t>
      </w:r>
    </w:p>
    <w:p w14:paraId="7F1F3F4D" w14:textId="0536D7BB"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 xml:space="preserve">Johns Hopkins Hospital at Home online resource: </w:t>
      </w:r>
      <w:hyperlink r:id="rId17" w:history="1">
        <w:r w:rsidRPr="003F26ED">
          <w:rPr>
            <w:rStyle w:val="Hyperlink"/>
            <w:rFonts w:ascii="Times New Roman" w:hAnsi="Times New Roman"/>
            <w:sz w:val="18"/>
            <w:szCs w:val="18"/>
          </w:rPr>
          <w:t>https://www.hospitalathome.org/</w:t>
        </w:r>
      </w:hyperlink>
      <w:r w:rsidRPr="003F26ED">
        <w:rPr>
          <w:rFonts w:ascii="Times New Roman" w:hAnsi="Times New Roman"/>
          <w:sz w:val="18"/>
          <w:szCs w:val="18"/>
        </w:rPr>
        <w:t xml:space="preserve"> Accessed </w:t>
      </w:r>
      <w:r w:rsidR="00CD61EE">
        <w:rPr>
          <w:rFonts w:ascii="Times New Roman" w:hAnsi="Times New Roman"/>
          <w:sz w:val="18"/>
          <w:szCs w:val="18"/>
        </w:rPr>
        <w:t>July 14, 2023</w:t>
      </w:r>
      <w:r w:rsidRPr="003F26ED">
        <w:rPr>
          <w:rFonts w:ascii="Times New Roman" w:hAnsi="Times New Roman"/>
          <w:sz w:val="18"/>
          <w:szCs w:val="18"/>
        </w:rPr>
        <w:t>.</w:t>
      </w:r>
    </w:p>
    <w:p w14:paraId="6CCC60CF" w14:textId="04217B0F"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 xml:space="preserve">Home Hospital Real-world Example 1: </w:t>
      </w:r>
      <w:hyperlink r:id="rId18" w:history="1">
        <w:r w:rsidRPr="003F26ED">
          <w:rPr>
            <w:rStyle w:val="Hyperlink"/>
            <w:rFonts w:ascii="Times New Roman" w:hAnsi="Times New Roman"/>
            <w:sz w:val="18"/>
            <w:szCs w:val="18"/>
          </w:rPr>
          <w:t>https://www.islandhealth.ca/our-services/hospital-home-services/hospital-home</w:t>
        </w:r>
      </w:hyperlink>
      <w:r w:rsidRPr="003F26ED">
        <w:rPr>
          <w:rStyle w:val="Hyperlink"/>
          <w:rFonts w:ascii="Times New Roman" w:hAnsi="Times New Roman"/>
          <w:sz w:val="18"/>
          <w:szCs w:val="18"/>
        </w:rPr>
        <w:t xml:space="preserve"> </w:t>
      </w:r>
      <w:r w:rsidRPr="003F26ED">
        <w:rPr>
          <w:rFonts w:ascii="Times New Roman" w:hAnsi="Times New Roman"/>
          <w:sz w:val="18"/>
          <w:szCs w:val="18"/>
        </w:rPr>
        <w:t xml:space="preserve">Accessed </w:t>
      </w:r>
      <w:r w:rsidR="00CD61EE">
        <w:rPr>
          <w:rFonts w:ascii="Times New Roman" w:hAnsi="Times New Roman"/>
          <w:sz w:val="18"/>
          <w:szCs w:val="18"/>
        </w:rPr>
        <w:t>July 14, 2023</w:t>
      </w:r>
      <w:r w:rsidRPr="003F26ED">
        <w:rPr>
          <w:rFonts w:ascii="Times New Roman" w:hAnsi="Times New Roman"/>
          <w:sz w:val="18"/>
          <w:szCs w:val="18"/>
        </w:rPr>
        <w:t>.</w:t>
      </w:r>
    </w:p>
    <w:p w14:paraId="77AADE81" w14:textId="631B8D56"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 xml:space="preserve">Home Hospital Real-world Example 2: </w:t>
      </w:r>
      <w:hyperlink r:id="rId19" w:history="1">
        <w:r w:rsidRPr="003F26ED">
          <w:rPr>
            <w:rStyle w:val="Hyperlink"/>
            <w:rFonts w:ascii="Times New Roman" w:hAnsi="Times New Roman"/>
            <w:sz w:val="18"/>
            <w:szCs w:val="18"/>
          </w:rPr>
          <w:t>https://www.ualberta.ca/folio/2020/02/virtual-hospital-cuts-ems-calls-er-visits-and-hospital-admissions-for-high-use-patients.html</w:t>
        </w:r>
      </w:hyperlink>
      <w:r w:rsidRPr="008341A8">
        <w:rPr>
          <w:rStyle w:val="Hyperlink"/>
          <w:rFonts w:ascii="Times New Roman" w:hAnsi="Times New Roman"/>
          <w:sz w:val="18"/>
          <w:szCs w:val="18"/>
          <w:u w:val="none"/>
        </w:rPr>
        <w:t xml:space="preserve"> </w:t>
      </w:r>
      <w:r w:rsidRPr="003F26ED">
        <w:rPr>
          <w:rFonts w:ascii="Times New Roman" w:hAnsi="Times New Roman"/>
          <w:sz w:val="18"/>
          <w:szCs w:val="18"/>
        </w:rPr>
        <w:t xml:space="preserve">Accessed </w:t>
      </w:r>
      <w:r w:rsidR="00CD61EE">
        <w:rPr>
          <w:rFonts w:ascii="Times New Roman" w:hAnsi="Times New Roman"/>
          <w:sz w:val="18"/>
          <w:szCs w:val="18"/>
        </w:rPr>
        <w:t>July 14, 2023</w:t>
      </w:r>
      <w:r w:rsidRPr="003F26ED">
        <w:rPr>
          <w:rFonts w:ascii="Times New Roman" w:hAnsi="Times New Roman"/>
          <w:sz w:val="18"/>
          <w:szCs w:val="18"/>
        </w:rPr>
        <w:t>.</w:t>
      </w:r>
    </w:p>
    <w:p w14:paraId="7126FE0F" w14:textId="741B1BC1"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Flemons K, Baylis B, Khan AZ, Kirkpatrick AW, Whitehead K, Moeini S. The use of drones for the delivery of diagnostic test kits and medical supplies to remote First Nations communities during Covid-19. Am J Infect Control. 2022</w:t>
      </w:r>
      <w:r w:rsidR="001F6011">
        <w:rPr>
          <w:rFonts w:ascii="Times New Roman" w:hAnsi="Times New Roman"/>
          <w:sz w:val="18"/>
          <w:szCs w:val="18"/>
        </w:rPr>
        <w:t>;</w:t>
      </w:r>
      <w:r w:rsidRPr="003F26ED">
        <w:rPr>
          <w:rFonts w:ascii="Times New Roman" w:hAnsi="Times New Roman"/>
          <w:sz w:val="18"/>
          <w:szCs w:val="18"/>
        </w:rPr>
        <w:t>50(8):849-856.</w:t>
      </w:r>
    </w:p>
    <w:p w14:paraId="7FED87BF" w14:textId="3200721F"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Katariya M, Chung DCK, Minife T, Gupta H, Zahidi AAA, Liew OW, et al. Drone inflight mixing of biochemical samples. Anal Biochem. 2018</w:t>
      </w:r>
      <w:r w:rsidR="001F6011">
        <w:rPr>
          <w:rFonts w:ascii="Times New Roman" w:hAnsi="Times New Roman"/>
          <w:sz w:val="18"/>
          <w:szCs w:val="18"/>
        </w:rPr>
        <w:t>;</w:t>
      </w:r>
      <w:r w:rsidRPr="003F26ED">
        <w:rPr>
          <w:rFonts w:ascii="Times New Roman" w:hAnsi="Times New Roman"/>
          <w:sz w:val="18"/>
          <w:szCs w:val="18"/>
        </w:rPr>
        <w:t>545:1-3.</w:t>
      </w:r>
    </w:p>
    <w:p w14:paraId="567DA5CB" w14:textId="6E5A2BBE"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Amukele TK, Hernandez J, Snozek CLH, Wyatt RG, Douglas M, Amini R, et al. Drone transport of chemistry and hematology samples over long distances. Am J Clin Pathol. 2017</w:t>
      </w:r>
      <w:r w:rsidR="001F6011">
        <w:rPr>
          <w:rFonts w:ascii="Times New Roman" w:hAnsi="Times New Roman"/>
          <w:sz w:val="18"/>
          <w:szCs w:val="18"/>
        </w:rPr>
        <w:t>;</w:t>
      </w:r>
      <w:r w:rsidRPr="003F26ED">
        <w:rPr>
          <w:rFonts w:ascii="Times New Roman" w:hAnsi="Times New Roman"/>
          <w:sz w:val="18"/>
          <w:szCs w:val="18"/>
        </w:rPr>
        <w:t>148(5):427-435.</w:t>
      </w:r>
    </w:p>
    <w:p w14:paraId="2D4E3CE1" w14:textId="73DC1A89"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Amukele T, Ness PM, Tobian AA, Boyd J, Street J. Drone transportation of blood products. Transfusion. 2017</w:t>
      </w:r>
      <w:r w:rsidR="001F6011">
        <w:rPr>
          <w:rFonts w:ascii="Times New Roman" w:hAnsi="Times New Roman"/>
          <w:sz w:val="18"/>
          <w:szCs w:val="18"/>
        </w:rPr>
        <w:t>;</w:t>
      </w:r>
      <w:r w:rsidRPr="003F26ED">
        <w:rPr>
          <w:rFonts w:ascii="Times New Roman" w:hAnsi="Times New Roman"/>
          <w:sz w:val="18"/>
          <w:szCs w:val="18"/>
        </w:rPr>
        <w:t>57(3):582-588.</w:t>
      </w:r>
    </w:p>
    <w:p w14:paraId="2D825F4D" w14:textId="0F2A333C"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Amukele TK, Street J, Carroll K, Miller H, Zhang SX. Drone transport of microbes in blood and sputum laboratory specimens. J Clin Microbiol. 2016</w:t>
      </w:r>
      <w:r w:rsidR="001F6011">
        <w:rPr>
          <w:rFonts w:ascii="Times New Roman" w:hAnsi="Times New Roman"/>
          <w:sz w:val="18"/>
          <w:szCs w:val="18"/>
        </w:rPr>
        <w:t>;</w:t>
      </w:r>
      <w:r w:rsidRPr="003F26ED">
        <w:rPr>
          <w:rFonts w:ascii="Times New Roman" w:hAnsi="Times New Roman"/>
          <w:sz w:val="18"/>
          <w:szCs w:val="18"/>
        </w:rPr>
        <w:t>54(10):2622-2625.</w:t>
      </w:r>
    </w:p>
    <w:p w14:paraId="7D8EE576" w14:textId="2DD617AE"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Claesson A, Fredman D, Svensson L, Ringh M, Hollenberg J, Nordberg P, et al. Unmanned aerial vehicles (drones) in out-of-hospital-cardiac-arrest. Scand J Trauma Resusc Emerg Med. 2016</w:t>
      </w:r>
      <w:r w:rsidR="001F6011">
        <w:rPr>
          <w:rFonts w:ascii="Times New Roman" w:hAnsi="Times New Roman"/>
          <w:sz w:val="18"/>
          <w:szCs w:val="18"/>
        </w:rPr>
        <w:t>;</w:t>
      </w:r>
      <w:r w:rsidRPr="003F26ED">
        <w:rPr>
          <w:rFonts w:ascii="Times New Roman" w:hAnsi="Times New Roman"/>
          <w:sz w:val="18"/>
          <w:szCs w:val="18"/>
        </w:rPr>
        <w:t>24(1):124.</w:t>
      </w:r>
    </w:p>
    <w:p w14:paraId="6E05CD8F" w14:textId="7423A0FF" w:rsidR="00042CB3" w:rsidRPr="003F26ED" w:rsidRDefault="00042CB3" w:rsidP="00042CB3">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Priye A, Wong S, Bi Y, Carpio M, Chang J, Coen M, et al. Lab-on-a-drone: Toward pinpoint deployment of smartphone-enabled nucleic acid-based diagnostics for mobile health care. Anal Chem. 2016</w:t>
      </w:r>
      <w:r w:rsidR="001F6011">
        <w:rPr>
          <w:rFonts w:ascii="Times New Roman" w:hAnsi="Times New Roman"/>
          <w:sz w:val="18"/>
          <w:szCs w:val="18"/>
        </w:rPr>
        <w:t>;</w:t>
      </w:r>
      <w:r w:rsidRPr="003F26ED">
        <w:rPr>
          <w:rFonts w:ascii="Times New Roman" w:hAnsi="Times New Roman"/>
          <w:sz w:val="18"/>
          <w:szCs w:val="18"/>
        </w:rPr>
        <w:t>88(9):4651-4660.</w:t>
      </w:r>
    </w:p>
    <w:p w14:paraId="144E5B7F" w14:textId="3FD20B85" w:rsidR="002D6FC8" w:rsidRPr="003F26ED" w:rsidRDefault="00042CB3" w:rsidP="00810145">
      <w:pPr>
        <w:pStyle w:val="ListParagraph"/>
        <w:numPr>
          <w:ilvl w:val="0"/>
          <w:numId w:val="18"/>
        </w:numPr>
        <w:spacing w:after="0" w:line="240" w:lineRule="auto"/>
        <w:rPr>
          <w:rFonts w:ascii="Times New Roman" w:hAnsi="Times New Roman"/>
          <w:sz w:val="18"/>
          <w:szCs w:val="18"/>
        </w:rPr>
      </w:pPr>
      <w:r w:rsidRPr="003F26ED">
        <w:rPr>
          <w:rFonts w:ascii="Times New Roman" w:hAnsi="Times New Roman"/>
          <w:sz w:val="18"/>
          <w:szCs w:val="18"/>
        </w:rPr>
        <w:t>Amukele TK, Sokoll LJ, Pepper D, Howard DP, Street J. Can unmanned aerial systems (drones) be used for the routine transport of chemistry, hematology, and coagulation laboratory specimens? PLoS One. 2015</w:t>
      </w:r>
      <w:r w:rsidR="001F6011">
        <w:rPr>
          <w:rFonts w:ascii="Times New Roman" w:hAnsi="Times New Roman"/>
          <w:sz w:val="18"/>
          <w:szCs w:val="18"/>
        </w:rPr>
        <w:t>;</w:t>
      </w:r>
      <w:r w:rsidRPr="003F26ED">
        <w:rPr>
          <w:rFonts w:ascii="Times New Roman" w:hAnsi="Times New Roman"/>
          <w:sz w:val="18"/>
          <w:szCs w:val="18"/>
        </w:rPr>
        <w:t>10(7):e0134020. doi: 10.1371/journal.pone.0134020</w:t>
      </w:r>
    </w:p>
    <w:p w14:paraId="0041C612" w14:textId="77777777" w:rsidR="002D6FC8" w:rsidRPr="002D6FC8" w:rsidRDefault="002D6FC8" w:rsidP="00042CB3">
      <w:pPr>
        <w:rPr>
          <w:rFonts w:ascii="Times New Roman" w:hAnsi="Times New Roman" w:cs="Times New Roman"/>
          <w:lang w:bidi="en-US"/>
        </w:rPr>
      </w:pPr>
    </w:p>
    <w:p w14:paraId="1A49F696" w14:textId="756E4D7F" w:rsidR="00D27A1C" w:rsidRPr="008C0061" w:rsidRDefault="008A7CBF" w:rsidP="008C0061">
      <w:pPr>
        <w:rPr>
          <w:rFonts w:ascii="Times New Roman" w:hAnsi="Times New Roman" w:cs="Times New Roman"/>
          <w:sz w:val="18"/>
          <w:szCs w:val="18"/>
          <w:lang w:bidi="en-US"/>
        </w:rPr>
      </w:pPr>
      <w:r w:rsidRPr="008A7CBF">
        <w:rPr>
          <w:rFonts w:ascii="Times New Roman" w:hAnsi="Times New Roman" w:cs="Times New Roman"/>
          <w:sz w:val="18"/>
          <w:szCs w:val="18"/>
          <w:lang w:bidi="en-US"/>
        </w:rPr>
        <w:t xml:space="preserve">Compendium </w:t>
      </w:r>
      <w:r w:rsidR="00524A90" w:rsidRPr="008A7CBF">
        <w:rPr>
          <w:rFonts w:ascii="Times New Roman" w:hAnsi="Times New Roman" w:cs="Times New Roman"/>
          <w:sz w:val="18"/>
          <w:szCs w:val="18"/>
          <w:lang w:bidi="en-US"/>
        </w:rPr>
        <w:t xml:space="preserve">Version </w:t>
      </w:r>
      <w:r w:rsidR="00DA61ED">
        <w:rPr>
          <w:rFonts w:ascii="Times New Roman" w:hAnsi="Times New Roman" w:cs="Times New Roman"/>
          <w:sz w:val="18"/>
          <w:szCs w:val="18"/>
          <w:lang w:bidi="en-US"/>
        </w:rPr>
        <w:t>4.</w:t>
      </w:r>
      <w:r w:rsidR="00F16DAD">
        <w:rPr>
          <w:rFonts w:ascii="Times New Roman" w:hAnsi="Times New Roman" w:cs="Times New Roman"/>
          <w:sz w:val="18"/>
          <w:szCs w:val="18"/>
          <w:lang w:bidi="en-US"/>
        </w:rPr>
        <w:t>1</w:t>
      </w:r>
      <w:r w:rsidR="008C0061">
        <w:rPr>
          <w:rFonts w:ascii="Times New Roman" w:hAnsi="Times New Roman" w:cs="Times New Roman"/>
          <w:sz w:val="18"/>
          <w:szCs w:val="18"/>
          <w:lang w:bidi="en-US"/>
        </w:rPr>
        <w:t>S</w:t>
      </w:r>
      <w:r w:rsidR="002D6FC8" w:rsidRPr="008A7CBF">
        <w:rPr>
          <w:rFonts w:ascii="Times New Roman" w:hAnsi="Times New Roman" w:cs="Times New Roman"/>
          <w:sz w:val="18"/>
          <w:szCs w:val="18"/>
          <w:lang w:bidi="en-US"/>
        </w:rPr>
        <w:t xml:space="preserve"> • </w:t>
      </w:r>
      <w:r w:rsidR="00524A90" w:rsidRPr="008A7CBF">
        <w:rPr>
          <w:rFonts w:ascii="Times New Roman" w:hAnsi="Times New Roman" w:cs="Times New Roman"/>
          <w:sz w:val="18"/>
          <w:szCs w:val="18"/>
          <w:lang w:bidi="en-US"/>
        </w:rPr>
        <w:t>July 1</w:t>
      </w:r>
      <w:r w:rsidR="008C0061">
        <w:rPr>
          <w:rFonts w:ascii="Times New Roman" w:hAnsi="Times New Roman" w:cs="Times New Roman"/>
          <w:sz w:val="18"/>
          <w:szCs w:val="18"/>
          <w:lang w:bidi="en-US"/>
        </w:rPr>
        <w:t>8</w:t>
      </w:r>
      <w:r w:rsidR="00524A90" w:rsidRPr="008A7CBF">
        <w:rPr>
          <w:rFonts w:ascii="Times New Roman" w:hAnsi="Times New Roman" w:cs="Times New Roman"/>
          <w:sz w:val="18"/>
          <w:szCs w:val="18"/>
          <w:lang w:bidi="en-US"/>
        </w:rPr>
        <w:t>, 2023</w:t>
      </w:r>
    </w:p>
    <w:sectPr w:rsidR="00D27A1C" w:rsidRPr="008C0061">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94458" w14:textId="77777777" w:rsidR="00217EBA" w:rsidRDefault="00217EBA" w:rsidP="00891F8C">
      <w:r>
        <w:separator/>
      </w:r>
    </w:p>
  </w:endnote>
  <w:endnote w:type="continuationSeparator" w:id="0">
    <w:p w14:paraId="0E8C61DF" w14:textId="77777777" w:rsidR="00217EBA" w:rsidRDefault="00217EBA" w:rsidP="00891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98700544"/>
      <w:docPartObj>
        <w:docPartGallery w:val="Page Numbers (Bottom of Page)"/>
        <w:docPartUnique/>
      </w:docPartObj>
    </w:sdtPr>
    <w:sdtEndPr>
      <w:rPr>
        <w:rStyle w:val="PageNumber"/>
      </w:rPr>
    </w:sdtEndPr>
    <w:sdtContent>
      <w:p w14:paraId="0AA867A0" w14:textId="10E98F32" w:rsidR="00FF0CFB" w:rsidRDefault="00FF0CFB" w:rsidP="00042C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sdtContent>
  </w:sdt>
  <w:p w14:paraId="5CC84914" w14:textId="77777777" w:rsidR="00FF0CFB" w:rsidRDefault="00FF0CFB" w:rsidP="00891F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07711735"/>
      <w:docPartObj>
        <w:docPartGallery w:val="Page Numbers (Bottom of Page)"/>
        <w:docPartUnique/>
      </w:docPartObj>
    </w:sdtPr>
    <w:sdtEndPr>
      <w:rPr>
        <w:rStyle w:val="PageNumber"/>
      </w:rPr>
    </w:sdtEndPr>
    <w:sdtContent>
      <w:p w14:paraId="31175557" w14:textId="5E1D405A" w:rsidR="00FF0CFB" w:rsidRDefault="00FF0CFB" w:rsidP="00042C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7679935D" w14:textId="77777777" w:rsidR="00FF0CFB" w:rsidRDefault="00FF0CFB" w:rsidP="00891F8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1E6D36" w14:textId="77777777" w:rsidR="00217EBA" w:rsidRDefault="00217EBA" w:rsidP="00891F8C">
      <w:r>
        <w:separator/>
      </w:r>
    </w:p>
  </w:footnote>
  <w:footnote w:type="continuationSeparator" w:id="0">
    <w:p w14:paraId="0D3C3176" w14:textId="77777777" w:rsidR="00217EBA" w:rsidRDefault="00217EBA" w:rsidP="00891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1349B"/>
    <w:multiLevelType w:val="hybridMultilevel"/>
    <w:tmpl w:val="F8C8C8C2"/>
    <w:lvl w:ilvl="0" w:tplc="5AEC94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F6105"/>
    <w:multiLevelType w:val="hybridMultilevel"/>
    <w:tmpl w:val="CDC6AB8C"/>
    <w:lvl w:ilvl="0" w:tplc="CE52CF22">
      <w:start w:val="1"/>
      <w:numFmt w:val="decimal"/>
      <w:lvlRestart w:val="0"/>
      <w:pStyle w:val="MDPI71FootNotes"/>
      <w:lvlText w:val="%1."/>
      <w:lvlJc w:val="left"/>
      <w:pPr>
        <w:ind w:left="425" w:hanging="425"/>
      </w:pPr>
      <w:rPr>
        <w:rFonts w:hint="default"/>
        <w:b w:val="0"/>
        <w:i w:val="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4073C"/>
    <w:multiLevelType w:val="hybridMultilevel"/>
    <w:tmpl w:val="7F22A884"/>
    <w:lvl w:ilvl="0" w:tplc="04090005">
      <w:start w:val="1"/>
      <w:numFmt w:val="bullet"/>
      <w:lvlText w:val=""/>
      <w:lvlJc w:val="left"/>
      <w:pPr>
        <w:ind w:left="1572" w:hanging="360"/>
      </w:pPr>
      <w:rPr>
        <w:rFonts w:ascii="Wingdings" w:hAnsi="Wingdings"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3" w15:restartNumberingAfterBreak="0">
    <w:nsid w:val="0E0E6FE7"/>
    <w:multiLevelType w:val="hybridMultilevel"/>
    <w:tmpl w:val="4CEEA514"/>
    <w:lvl w:ilvl="0" w:tplc="D1D465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337DA4"/>
    <w:multiLevelType w:val="hybridMultilevel"/>
    <w:tmpl w:val="9DCC18D0"/>
    <w:lvl w:ilvl="0" w:tplc="1B4A3466">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6C34FA"/>
    <w:multiLevelType w:val="hybridMultilevel"/>
    <w:tmpl w:val="8DEE6E9E"/>
    <w:lvl w:ilvl="0" w:tplc="390A8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F128B"/>
    <w:multiLevelType w:val="hybridMultilevel"/>
    <w:tmpl w:val="4B241B9A"/>
    <w:lvl w:ilvl="0" w:tplc="1206BC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07E7C"/>
    <w:multiLevelType w:val="hybridMultilevel"/>
    <w:tmpl w:val="A3FC7B68"/>
    <w:lvl w:ilvl="0" w:tplc="FFA87C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A4F9D"/>
    <w:multiLevelType w:val="hybridMultilevel"/>
    <w:tmpl w:val="0F30E344"/>
    <w:lvl w:ilvl="0" w:tplc="04090001">
      <w:start w:val="1"/>
      <w:numFmt w:val="bullet"/>
      <w:lvlText w:val=""/>
      <w:lvlJc w:val="left"/>
      <w:pPr>
        <w:ind w:left="1156" w:hanging="360"/>
      </w:pPr>
      <w:rPr>
        <w:rFonts w:ascii="Symbol" w:hAnsi="Symbol"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9" w15:restartNumberingAfterBreak="0">
    <w:nsid w:val="16335087"/>
    <w:multiLevelType w:val="hybridMultilevel"/>
    <w:tmpl w:val="0AAA84E6"/>
    <w:lvl w:ilvl="0" w:tplc="F3D0F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F15EFA"/>
    <w:multiLevelType w:val="hybridMultilevel"/>
    <w:tmpl w:val="09EC23F8"/>
    <w:lvl w:ilvl="0" w:tplc="835E20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7EE34CB"/>
    <w:multiLevelType w:val="hybridMultilevel"/>
    <w:tmpl w:val="A71A1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B468F5"/>
    <w:multiLevelType w:val="hybridMultilevel"/>
    <w:tmpl w:val="10C6E8EA"/>
    <w:lvl w:ilvl="0" w:tplc="87962C12">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5C6957"/>
    <w:multiLevelType w:val="hybridMultilevel"/>
    <w:tmpl w:val="E6307744"/>
    <w:lvl w:ilvl="0" w:tplc="04090001">
      <w:start w:val="1"/>
      <w:numFmt w:val="bullet"/>
      <w:lvlText w:val=""/>
      <w:lvlJc w:val="left"/>
      <w:pPr>
        <w:ind w:left="1046" w:hanging="360"/>
      </w:pPr>
      <w:rPr>
        <w:rFonts w:ascii="Symbol" w:hAnsi="Symbol" w:hint="default"/>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14" w15:restartNumberingAfterBreak="0">
    <w:nsid w:val="1E0C6F5D"/>
    <w:multiLevelType w:val="hybridMultilevel"/>
    <w:tmpl w:val="0E44B876"/>
    <w:lvl w:ilvl="0" w:tplc="2D3E1F6E">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5" w15:restartNumberingAfterBreak="0">
    <w:nsid w:val="1E4746FE"/>
    <w:multiLevelType w:val="hybridMultilevel"/>
    <w:tmpl w:val="9CE0A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437DAA"/>
    <w:multiLevelType w:val="hybridMultilevel"/>
    <w:tmpl w:val="1624D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753C31"/>
    <w:multiLevelType w:val="hybridMultilevel"/>
    <w:tmpl w:val="E8828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376BB0"/>
    <w:multiLevelType w:val="multilevel"/>
    <w:tmpl w:val="5BBCBF46"/>
    <w:lvl w:ilvl="0">
      <w:start w:val="1"/>
      <w:numFmt w:val="decimal"/>
      <w:lvlText w:val="%1"/>
      <w:lvlJc w:val="left"/>
      <w:pPr>
        <w:ind w:left="360" w:hanging="360"/>
      </w:pPr>
      <w:rPr>
        <w:rFonts w:hint="default"/>
      </w:rPr>
    </w:lvl>
    <w:lvl w:ilvl="1">
      <w:start w:val="1"/>
      <w:numFmt w:val="decimal"/>
      <w:lvlText w:val="%1.%2"/>
      <w:lvlJc w:val="left"/>
      <w:pPr>
        <w:ind w:left="504" w:hanging="504"/>
      </w:pPr>
      <w:rPr>
        <w:rFonts w:asciiTheme="minorHAnsi" w:hAnsiTheme="minorHAnsi" w:cstheme="minorHAnsi"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E10556C"/>
    <w:multiLevelType w:val="hybridMultilevel"/>
    <w:tmpl w:val="AC70E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C333C4"/>
    <w:multiLevelType w:val="hybridMultilevel"/>
    <w:tmpl w:val="A3FC7B68"/>
    <w:lvl w:ilvl="0" w:tplc="FFA87C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0469EB"/>
    <w:multiLevelType w:val="hybridMultilevel"/>
    <w:tmpl w:val="76C85C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6B35EA"/>
    <w:multiLevelType w:val="hybridMultilevel"/>
    <w:tmpl w:val="44584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A846BD"/>
    <w:multiLevelType w:val="hybridMultilevel"/>
    <w:tmpl w:val="0764F18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0AC7E89"/>
    <w:multiLevelType w:val="hybridMultilevel"/>
    <w:tmpl w:val="9A44CCDA"/>
    <w:lvl w:ilvl="0" w:tplc="C45463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1F0725A"/>
    <w:multiLevelType w:val="hybridMultilevel"/>
    <w:tmpl w:val="2B8AC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2D4EF2"/>
    <w:multiLevelType w:val="hybridMultilevel"/>
    <w:tmpl w:val="9EDA8650"/>
    <w:lvl w:ilvl="0" w:tplc="A86CA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CE7A6F"/>
    <w:multiLevelType w:val="hybridMultilevel"/>
    <w:tmpl w:val="E8A6BE1E"/>
    <w:lvl w:ilvl="0" w:tplc="595EF18A">
      <w:start w:val="1"/>
      <w:numFmt w:val="decimal"/>
      <w:lvlRestart w:val="0"/>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FC0459"/>
    <w:multiLevelType w:val="hybridMultilevel"/>
    <w:tmpl w:val="899A5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80267F"/>
    <w:multiLevelType w:val="hybridMultilevel"/>
    <w:tmpl w:val="98BCE7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2C2F18"/>
    <w:multiLevelType w:val="multilevel"/>
    <w:tmpl w:val="BE3809F2"/>
    <w:lvl w:ilvl="0">
      <w:start w:val="4"/>
      <w:numFmt w:val="decimal"/>
      <w:lvlText w:val="%1"/>
      <w:lvlJc w:val="left"/>
      <w:pPr>
        <w:ind w:left="400" w:hanging="400"/>
      </w:pPr>
      <w:rPr>
        <w:rFonts w:hint="default"/>
      </w:rPr>
    </w:lvl>
    <w:lvl w:ilvl="1">
      <w:start w:val="16"/>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69757E6"/>
    <w:multiLevelType w:val="hybridMultilevel"/>
    <w:tmpl w:val="44E42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630E8E"/>
    <w:multiLevelType w:val="hybridMultilevel"/>
    <w:tmpl w:val="17EC3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AE3395A"/>
    <w:multiLevelType w:val="hybridMultilevel"/>
    <w:tmpl w:val="76341C7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4" w15:restartNumberingAfterBreak="0">
    <w:nsid w:val="4FF3720F"/>
    <w:multiLevelType w:val="hybridMultilevel"/>
    <w:tmpl w:val="778E0D1C"/>
    <w:lvl w:ilvl="0" w:tplc="47D41B60">
      <w:start w:val="1"/>
      <w:numFmt w:val="decimal"/>
      <w:lvlRestart w:val="0"/>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35" w15:restartNumberingAfterBreak="0">
    <w:nsid w:val="50935118"/>
    <w:multiLevelType w:val="hybridMultilevel"/>
    <w:tmpl w:val="B468A870"/>
    <w:lvl w:ilvl="0" w:tplc="04090005">
      <w:start w:val="1"/>
      <w:numFmt w:val="bullet"/>
      <w:lvlText w:val=""/>
      <w:lvlJc w:val="left"/>
      <w:pPr>
        <w:ind w:left="1845" w:hanging="360"/>
      </w:pPr>
      <w:rPr>
        <w:rFonts w:ascii="Wingdings" w:hAnsi="Wingdings"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36" w15:restartNumberingAfterBreak="0">
    <w:nsid w:val="54075B53"/>
    <w:multiLevelType w:val="hybridMultilevel"/>
    <w:tmpl w:val="93E05F14"/>
    <w:lvl w:ilvl="0" w:tplc="4036D532">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37" w15:restartNumberingAfterBreak="0">
    <w:nsid w:val="59182A5B"/>
    <w:multiLevelType w:val="hybridMultilevel"/>
    <w:tmpl w:val="B24A4C90"/>
    <w:lvl w:ilvl="0" w:tplc="835E20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A3B4B33"/>
    <w:multiLevelType w:val="hybridMultilevel"/>
    <w:tmpl w:val="CD5237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0D48CA"/>
    <w:multiLevelType w:val="hybridMultilevel"/>
    <w:tmpl w:val="4D52B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1843EC"/>
    <w:multiLevelType w:val="hybridMultilevel"/>
    <w:tmpl w:val="34FE5B76"/>
    <w:lvl w:ilvl="0" w:tplc="835E204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4A7174C"/>
    <w:multiLevelType w:val="hybridMultilevel"/>
    <w:tmpl w:val="09EC23F8"/>
    <w:lvl w:ilvl="0" w:tplc="835E20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AE224DB"/>
    <w:multiLevelType w:val="hybridMultilevel"/>
    <w:tmpl w:val="F2929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C96ED8"/>
    <w:multiLevelType w:val="hybridMultilevel"/>
    <w:tmpl w:val="9E42FB46"/>
    <w:lvl w:ilvl="0" w:tplc="04090005">
      <w:start w:val="1"/>
      <w:numFmt w:val="bullet"/>
      <w:lvlText w:val=""/>
      <w:lvlJc w:val="left"/>
      <w:pPr>
        <w:ind w:left="1496" w:hanging="360"/>
      </w:pPr>
      <w:rPr>
        <w:rFonts w:ascii="Wingdings" w:hAnsi="Wingdings"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44" w15:restartNumberingAfterBreak="0">
    <w:nsid w:val="75D257F8"/>
    <w:multiLevelType w:val="hybridMultilevel"/>
    <w:tmpl w:val="A628B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D27A79"/>
    <w:multiLevelType w:val="hybridMultilevel"/>
    <w:tmpl w:val="C10EE646"/>
    <w:lvl w:ilvl="0" w:tplc="674427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7F7072"/>
    <w:multiLevelType w:val="hybridMultilevel"/>
    <w:tmpl w:val="0E2AD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555ED7"/>
    <w:multiLevelType w:val="hybridMultilevel"/>
    <w:tmpl w:val="D380832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0"/>
  </w:num>
  <w:num w:numId="2">
    <w:abstractNumId w:val="12"/>
  </w:num>
  <w:num w:numId="3">
    <w:abstractNumId w:val="4"/>
  </w:num>
  <w:num w:numId="4">
    <w:abstractNumId w:val="34"/>
  </w:num>
  <w:num w:numId="5">
    <w:abstractNumId w:val="27"/>
  </w:num>
  <w:num w:numId="6">
    <w:abstractNumId w:val="36"/>
  </w:num>
  <w:num w:numId="7">
    <w:abstractNumId w:val="14"/>
  </w:num>
  <w:num w:numId="8">
    <w:abstractNumId w:val="1"/>
  </w:num>
  <w:num w:numId="9">
    <w:abstractNumId w:val="3"/>
  </w:num>
  <w:num w:numId="10">
    <w:abstractNumId w:val="26"/>
  </w:num>
  <w:num w:numId="11">
    <w:abstractNumId w:val="5"/>
  </w:num>
  <w:num w:numId="12">
    <w:abstractNumId w:val="24"/>
  </w:num>
  <w:num w:numId="13">
    <w:abstractNumId w:val="9"/>
  </w:num>
  <w:num w:numId="14">
    <w:abstractNumId w:val="0"/>
  </w:num>
  <w:num w:numId="15">
    <w:abstractNumId w:val="6"/>
  </w:num>
  <w:num w:numId="16">
    <w:abstractNumId w:val="45"/>
  </w:num>
  <w:num w:numId="17">
    <w:abstractNumId w:val="44"/>
  </w:num>
  <w:num w:numId="18">
    <w:abstractNumId w:val="7"/>
  </w:num>
  <w:num w:numId="19">
    <w:abstractNumId w:val="33"/>
  </w:num>
  <w:num w:numId="20">
    <w:abstractNumId w:val="13"/>
  </w:num>
  <w:num w:numId="21">
    <w:abstractNumId w:val="31"/>
  </w:num>
  <w:num w:numId="22">
    <w:abstractNumId w:val="32"/>
  </w:num>
  <w:num w:numId="23">
    <w:abstractNumId w:val="46"/>
  </w:num>
  <w:num w:numId="24">
    <w:abstractNumId w:val="11"/>
  </w:num>
  <w:num w:numId="25">
    <w:abstractNumId w:val="25"/>
  </w:num>
  <w:num w:numId="26">
    <w:abstractNumId w:val="16"/>
  </w:num>
  <w:num w:numId="27">
    <w:abstractNumId w:val="2"/>
  </w:num>
  <w:num w:numId="28">
    <w:abstractNumId w:val="47"/>
  </w:num>
  <w:num w:numId="29">
    <w:abstractNumId w:val="15"/>
  </w:num>
  <w:num w:numId="30">
    <w:abstractNumId w:val="35"/>
  </w:num>
  <w:num w:numId="31">
    <w:abstractNumId w:val="43"/>
  </w:num>
  <w:num w:numId="32">
    <w:abstractNumId w:val="23"/>
  </w:num>
  <w:num w:numId="33">
    <w:abstractNumId w:val="42"/>
  </w:num>
  <w:num w:numId="34">
    <w:abstractNumId w:val="39"/>
  </w:num>
  <w:num w:numId="35">
    <w:abstractNumId w:val="38"/>
  </w:num>
  <w:num w:numId="36">
    <w:abstractNumId w:val="37"/>
  </w:num>
  <w:num w:numId="37">
    <w:abstractNumId w:val="40"/>
  </w:num>
  <w:num w:numId="38">
    <w:abstractNumId w:val="10"/>
  </w:num>
  <w:num w:numId="39">
    <w:abstractNumId w:val="41"/>
  </w:num>
  <w:num w:numId="40">
    <w:abstractNumId w:val="29"/>
  </w:num>
  <w:num w:numId="41">
    <w:abstractNumId w:val="21"/>
  </w:num>
  <w:num w:numId="42">
    <w:abstractNumId w:val="17"/>
  </w:num>
  <w:num w:numId="43">
    <w:abstractNumId w:val="19"/>
  </w:num>
  <w:num w:numId="44">
    <w:abstractNumId w:val="22"/>
  </w:num>
  <w:num w:numId="45">
    <w:abstractNumId w:val="28"/>
  </w:num>
  <w:num w:numId="46">
    <w:abstractNumId w:val="8"/>
  </w:num>
  <w:num w:numId="47">
    <w:abstractNumId w:val="18"/>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10B"/>
    <w:rsid w:val="000037A5"/>
    <w:rsid w:val="00007740"/>
    <w:rsid w:val="00016682"/>
    <w:rsid w:val="00017187"/>
    <w:rsid w:val="00021D6D"/>
    <w:rsid w:val="000223C0"/>
    <w:rsid w:val="00024EBA"/>
    <w:rsid w:val="00025A52"/>
    <w:rsid w:val="00032CCE"/>
    <w:rsid w:val="000345B6"/>
    <w:rsid w:val="00042CB3"/>
    <w:rsid w:val="00056406"/>
    <w:rsid w:val="0006081F"/>
    <w:rsid w:val="00062698"/>
    <w:rsid w:val="00063D67"/>
    <w:rsid w:val="00066C13"/>
    <w:rsid w:val="00082050"/>
    <w:rsid w:val="000838AF"/>
    <w:rsid w:val="000839D1"/>
    <w:rsid w:val="000855DC"/>
    <w:rsid w:val="00090EA6"/>
    <w:rsid w:val="000A2C59"/>
    <w:rsid w:val="000B2741"/>
    <w:rsid w:val="000C0174"/>
    <w:rsid w:val="000C3D34"/>
    <w:rsid w:val="000D7C85"/>
    <w:rsid w:val="000F72DD"/>
    <w:rsid w:val="000F771C"/>
    <w:rsid w:val="00111E4E"/>
    <w:rsid w:val="00114E11"/>
    <w:rsid w:val="00117491"/>
    <w:rsid w:val="00130992"/>
    <w:rsid w:val="00133C3C"/>
    <w:rsid w:val="00140060"/>
    <w:rsid w:val="00156FCB"/>
    <w:rsid w:val="001659DA"/>
    <w:rsid w:val="00175A4D"/>
    <w:rsid w:val="0017610B"/>
    <w:rsid w:val="00176A15"/>
    <w:rsid w:val="00181485"/>
    <w:rsid w:val="0018408E"/>
    <w:rsid w:val="00186EF1"/>
    <w:rsid w:val="00194A73"/>
    <w:rsid w:val="001A0320"/>
    <w:rsid w:val="001A064D"/>
    <w:rsid w:val="001B4A0B"/>
    <w:rsid w:val="001D7473"/>
    <w:rsid w:val="001E097E"/>
    <w:rsid w:val="001E453B"/>
    <w:rsid w:val="001E4B13"/>
    <w:rsid w:val="001E7496"/>
    <w:rsid w:val="001E7F58"/>
    <w:rsid w:val="001F0546"/>
    <w:rsid w:val="001F10B5"/>
    <w:rsid w:val="001F29D3"/>
    <w:rsid w:val="001F6011"/>
    <w:rsid w:val="00213848"/>
    <w:rsid w:val="00215754"/>
    <w:rsid w:val="00217EBA"/>
    <w:rsid w:val="00221423"/>
    <w:rsid w:val="00232D51"/>
    <w:rsid w:val="00236F8B"/>
    <w:rsid w:val="00241B6C"/>
    <w:rsid w:val="0024305E"/>
    <w:rsid w:val="002435C4"/>
    <w:rsid w:val="002501DD"/>
    <w:rsid w:val="0026103F"/>
    <w:rsid w:val="00270D90"/>
    <w:rsid w:val="002726DA"/>
    <w:rsid w:val="0027537E"/>
    <w:rsid w:val="00275550"/>
    <w:rsid w:val="00275F01"/>
    <w:rsid w:val="00282349"/>
    <w:rsid w:val="00294A0E"/>
    <w:rsid w:val="002B3F03"/>
    <w:rsid w:val="002B43EB"/>
    <w:rsid w:val="002B7298"/>
    <w:rsid w:val="002C078D"/>
    <w:rsid w:val="002C2F64"/>
    <w:rsid w:val="002D6FC8"/>
    <w:rsid w:val="002E0D53"/>
    <w:rsid w:val="002E15D2"/>
    <w:rsid w:val="002E66CE"/>
    <w:rsid w:val="002E6F24"/>
    <w:rsid w:val="002F0B59"/>
    <w:rsid w:val="002F2F9B"/>
    <w:rsid w:val="002F4588"/>
    <w:rsid w:val="00301165"/>
    <w:rsid w:val="00303C78"/>
    <w:rsid w:val="00306BFA"/>
    <w:rsid w:val="00310FDA"/>
    <w:rsid w:val="00312F8E"/>
    <w:rsid w:val="003161DB"/>
    <w:rsid w:val="003206C7"/>
    <w:rsid w:val="00320820"/>
    <w:rsid w:val="003261CB"/>
    <w:rsid w:val="0033504C"/>
    <w:rsid w:val="00337EE3"/>
    <w:rsid w:val="00366063"/>
    <w:rsid w:val="0037172C"/>
    <w:rsid w:val="00372DF7"/>
    <w:rsid w:val="003745EA"/>
    <w:rsid w:val="00394DAE"/>
    <w:rsid w:val="003A11D4"/>
    <w:rsid w:val="003A5D78"/>
    <w:rsid w:val="003B10A1"/>
    <w:rsid w:val="003B1999"/>
    <w:rsid w:val="003B225D"/>
    <w:rsid w:val="003B23BC"/>
    <w:rsid w:val="003B28BF"/>
    <w:rsid w:val="003B4140"/>
    <w:rsid w:val="003B564D"/>
    <w:rsid w:val="003B6273"/>
    <w:rsid w:val="003B6E54"/>
    <w:rsid w:val="003C3325"/>
    <w:rsid w:val="003E3D8B"/>
    <w:rsid w:val="003E4EBA"/>
    <w:rsid w:val="003F2131"/>
    <w:rsid w:val="003F26ED"/>
    <w:rsid w:val="004060C3"/>
    <w:rsid w:val="004102C8"/>
    <w:rsid w:val="00417138"/>
    <w:rsid w:val="00417310"/>
    <w:rsid w:val="00422398"/>
    <w:rsid w:val="00423147"/>
    <w:rsid w:val="00435153"/>
    <w:rsid w:val="00451CCC"/>
    <w:rsid w:val="004607B6"/>
    <w:rsid w:val="004730A8"/>
    <w:rsid w:val="00477EC1"/>
    <w:rsid w:val="00480D21"/>
    <w:rsid w:val="004878DF"/>
    <w:rsid w:val="004A4CA3"/>
    <w:rsid w:val="004C07D6"/>
    <w:rsid w:val="004C132B"/>
    <w:rsid w:val="004C1846"/>
    <w:rsid w:val="004C1D1F"/>
    <w:rsid w:val="004D20BC"/>
    <w:rsid w:val="004D7A14"/>
    <w:rsid w:val="004E074B"/>
    <w:rsid w:val="004F0665"/>
    <w:rsid w:val="0051009E"/>
    <w:rsid w:val="00511CF7"/>
    <w:rsid w:val="00513981"/>
    <w:rsid w:val="00515DB9"/>
    <w:rsid w:val="005211DB"/>
    <w:rsid w:val="00524A90"/>
    <w:rsid w:val="00531765"/>
    <w:rsid w:val="0053691C"/>
    <w:rsid w:val="005451F6"/>
    <w:rsid w:val="00545F3E"/>
    <w:rsid w:val="005479A9"/>
    <w:rsid w:val="00562D4F"/>
    <w:rsid w:val="005631DF"/>
    <w:rsid w:val="00582D6B"/>
    <w:rsid w:val="00582E68"/>
    <w:rsid w:val="00595DF2"/>
    <w:rsid w:val="005961C6"/>
    <w:rsid w:val="00597600"/>
    <w:rsid w:val="005A7B21"/>
    <w:rsid w:val="005A7B4E"/>
    <w:rsid w:val="005C11B0"/>
    <w:rsid w:val="005C63E7"/>
    <w:rsid w:val="005C661A"/>
    <w:rsid w:val="005C783E"/>
    <w:rsid w:val="005D0DDE"/>
    <w:rsid w:val="005D1FDD"/>
    <w:rsid w:val="005E5C6C"/>
    <w:rsid w:val="005F257E"/>
    <w:rsid w:val="006037C9"/>
    <w:rsid w:val="00604A3F"/>
    <w:rsid w:val="00610244"/>
    <w:rsid w:val="006103BB"/>
    <w:rsid w:val="006221AB"/>
    <w:rsid w:val="00623A37"/>
    <w:rsid w:val="00625517"/>
    <w:rsid w:val="00631E04"/>
    <w:rsid w:val="0063394E"/>
    <w:rsid w:val="0063545F"/>
    <w:rsid w:val="00636414"/>
    <w:rsid w:val="00641470"/>
    <w:rsid w:val="006431C2"/>
    <w:rsid w:val="00643E10"/>
    <w:rsid w:val="006456F5"/>
    <w:rsid w:val="0064763A"/>
    <w:rsid w:val="00652916"/>
    <w:rsid w:val="0065475C"/>
    <w:rsid w:val="00665E10"/>
    <w:rsid w:val="00672B53"/>
    <w:rsid w:val="0069084D"/>
    <w:rsid w:val="006A14F2"/>
    <w:rsid w:val="006B5A85"/>
    <w:rsid w:val="006B76F0"/>
    <w:rsid w:val="006C11CD"/>
    <w:rsid w:val="006C2B5B"/>
    <w:rsid w:val="006C5F4C"/>
    <w:rsid w:val="006D47DD"/>
    <w:rsid w:val="006D4B45"/>
    <w:rsid w:val="006E04CF"/>
    <w:rsid w:val="006E059B"/>
    <w:rsid w:val="006E068D"/>
    <w:rsid w:val="006E204A"/>
    <w:rsid w:val="006E2829"/>
    <w:rsid w:val="006F790C"/>
    <w:rsid w:val="0070025A"/>
    <w:rsid w:val="00703352"/>
    <w:rsid w:val="00706CF4"/>
    <w:rsid w:val="00716FFB"/>
    <w:rsid w:val="00717687"/>
    <w:rsid w:val="00721AB7"/>
    <w:rsid w:val="00742C08"/>
    <w:rsid w:val="007432AF"/>
    <w:rsid w:val="00746F97"/>
    <w:rsid w:val="00750C23"/>
    <w:rsid w:val="007721DC"/>
    <w:rsid w:val="00776D3F"/>
    <w:rsid w:val="00780964"/>
    <w:rsid w:val="00781EBE"/>
    <w:rsid w:val="00782334"/>
    <w:rsid w:val="0079143F"/>
    <w:rsid w:val="007A37DE"/>
    <w:rsid w:val="007A3B44"/>
    <w:rsid w:val="007C3B76"/>
    <w:rsid w:val="007C4E58"/>
    <w:rsid w:val="007C6140"/>
    <w:rsid w:val="007D4FCF"/>
    <w:rsid w:val="007E2F3D"/>
    <w:rsid w:val="007E50C1"/>
    <w:rsid w:val="007F477E"/>
    <w:rsid w:val="007F4839"/>
    <w:rsid w:val="007F6EBA"/>
    <w:rsid w:val="00801EC8"/>
    <w:rsid w:val="00802B6A"/>
    <w:rsid w:val="008068C1"/>
    <w:rsid w:val="00810145"/>
    <w:rsid w:val="00813A2E"/>
    <w:rsid w:val="00814E62"/>
    <w:rsid w:val="008238C1"/>
    <w:rsid w:val="0083340F"/>
    <w:rsid w:val="008341A8"/>
    <w:rsid w:val="008401C6"/>
    <w:rsid w:val="00840D2C"/>
    <w:rsid w:val="008412BA"/>
    <w:rsid w:val="00846319"/>
    <w:rsid w:val="0084707B"/>
    <w:rsid w:val="00850E4F"/>
    <w:rsid w:val="00852EAE"/>
    <w:rsid w:val="0086320D"/>
    <w:rsid w:val="00865BE1"/>
    <w:rsid w:val="008678B0"/>
    <w:rsid w:val="00867AC0"/>
    <w:rsid w:val="0088080C"/>
    <w:rsid w:val="00881210"/>
    <w:rsid w:val="00886836"/>
    <w:rsid w:val="00891F8C"/>
    <w:rsid w:val="008A3C40"/>
    <w:rsid w:val="008A6B0F"/>
    <w:rsid w:val="008A7CBF"/>
    <w:rsid w:val="008B3205"/>
    <w:rsid w:val="008B742E"/>
    <w:rsid w:val="008C0061"/>
    <w:rsid w:val="008C7DD8"/>
    <w:rsid w:val="008D2DC9"/>
    <w:rsid w:val="008E3550"/>
    <w:rsid w:val="008E41AD"/>
    <w:rsid w:val="008E4FC8"/>
    <w:rsid w:val="008E733F"/>
    <w:rsid w:val="008E7B9C"/>
    <w:rsid w:val="008F25DF"/>
    <w:rsid w:val="008F3E85"/>
    <w:rsid w:val="008F798C"/>
    <w:rsid w:val="009123B9"/>
    <w:rsid w:val="009137C8"/>
    <w:rsid w:val="00916721"/>
    <w:rsid w:val="00917ECA"/>
    <w:rsid w:val="00926BE9"/>
    <w:rsid w:val="00931B85"/>
    <w:rsid w:val="00933A52"/>
    <w:rsid w:val="00941AFC"/>
    <w:rsid w:val="00944143"/>
    <w:rsid w:val="009477F1"/>
    <w:rsid w:val="00952A05"/>
    <w:rsid w:val="00952B21"/>
    <w:rsid w:val="0095394F"/>
    <w:rsid w:val="00953DE7"/>
    <w:rsid w:val="0096778C"/>
    <w:rsid w:val="00983D53"/>
    <w:rsid w:val="00984A58"/>
    <w:rsid w:val="009904B0"/>
    <w:rsid w:val="0099528E"/>
    <w:rsid w:val="009A7205"/>
    <w:rsid w:val="009B4B75"/>
    <w:rsid w:val="009B5952"/>
    <w:rsid w:val="009C3592"/>
    <w:rsid w:val="009C7BDD"/>
    <w:rsid w:val="009D1047"/>
    <w:rsid w:val="009D7ACA"/>
    <w:rsid w:val="009E6055"/>
    <w:rsid w:val="009F43E6"/>
    <w:rsid w:val="009F61B5"/>
    <w:rsid w:val="00A01435"/>
    <w:rsid w:val="00A04504"/>
    <w:rsid w:val="00A04F8D"/>
    <w:rsid w:val="00A10E49"/>
    <w:rsid w:val="00A14BDE"/>
    <w:rsid w:val="00A16212"/>
    <w:rsid w:val="00A242AD"/>
    <w:rsid w:val="00A2756B"/>
    <w:rsid w:val="00A307BB"/>
    <w:rsid w:val="00A37163"/>
    <w:rsid w:val="00A569DA"/>
    <w:rsid w:val="00A67887"/>
    <w:rsid w:val="00A725C3"/>
    <w:rsid w:val="00A82401"/>
    <w:rsid w:val="00A92ED7"/>
    <w:rsid w:val="00A93519"/>
    <w:rsid w:val="00AA05B3"/>
    <w:rsid w:val="00AA099C"/>
    <w:rsid w:val="00AA3F1D"/>
    <w:rsid w:val="00AA438F"/>
    <w:rsid w:val="00AA6E83"/>
    <w:rsid w:val="00AB6669"/>
    <w:rsid w:val="00AC582F"/>
    <w:rsid w:val="00AD0916"/>
    <w:rsid w:val="00AD20A5"/>
    <w:rsid w:val="00AF1124"/>
    <w:rsid w:val="00AF41C5"/>
    <w:rsid w:val="00B13FE0"/>
    <w:rsid w:val="00B218F6"/>
    <w:rsid w:val="00B2295D"/>
    <w:rsid w:val="00B24E76"/>
    <w:rsid w:val="00B26D8C"/>
    <w:rsid w:val="00B309AE"/>
    <w:rsid w:val="00B3147E"/>
    <w:rsid w:val="00B4042C"/>
    <w:rsid w:val="00B77B36"/>
    <w:rsid w:val="00B93AEF"/>
    <w:rsid w:val="00B94822"/>
    <w:rsid w:val="00BB280D"/>
    <w:rsid w:val="00BC1B95"/>
    <w:rsid w:val="00BD72B4"/>
    <w:rsid w:val="00BD7AE9"/>
    <w:rsid w:val="00BE0983"/>
    <w:rsid w:val="00BF1E07"/>
    <w:rsid w:val="00BF646B"/>
    <w:rsid w:val="00C02E47"/>
    <w:rsid w:val="00C1220A"/>
    <w:rsid w:val="00C146CD"/>
    <w:rsid w:val="00C16BF0"/>
    <w:rsid w:val="00C24BF1"/>
    <w:rsid w:val="00C27A4E"/>
    <w:rsid w:val="00C30768"/>
    <w:rsid w:val="00C33520"/>
    <w:rsid w:val="00C36D69"/>
    <w:rsid w:val="00C46C68"/>
    <w:rsid w:val="00C51E58"/>
    <w:rsid w:val="00C622B5"/>
    <w:rsid w:val="00C66300"/>
    <w:rsid w:val="00C73A7C"/>
    <w:rsid w:val="00C74EF7"/>
    <w:rsid w:val="00C82DE7"/>
    <w:rsid w:val="00C83A03"/>
    <w:rsid w:val="00C940AA"/>
    <w:rsid w:val="00CA27E4"/>
    <w:rsid w:val="00CA4140"/>
    <w:rsid w:val="00CA557B"/>
    <w:rsid w:val="00CA55B8"/>
    <w:rsid w:val="00CB2030"/>
    <w:rsid w:val="00CB4C7D"/>
    <w:rsid w:val="00CB69AD"/>
    <w:rsid w:val="00CC43A3"/>
    <w:rsid w:val="00CD61EE"/>
    <w:rsid w:val="00CD6361"/>
    <w:rsid w:val="00CE7EA8"/>
    <w:rsid w:val="00CF09D1"/>
    <w:rsid w:val="00CF4620"/>
    <w:rsid w:val="00D034FD"/>
    <w:rsid w:val="00D06152"/>
    <w:rsid w:val="00D0689C"/>
    <w:rsid w:val="00D16FAF"/>
    <w:rsid w:val="00D231D0"/>
    <w:rsid w:val="00D24620"/>
    <w:rsid w:val="00D25488"/>
    <w:rsid w:val="00D27A1C"/>
    <w:rsid w:val="00D404F2"/>
    <w:rsid w:val="00D4674A"/>
    <w:rsid w:val="00D542DC"/>
    <w:rsid w:val="00D71B7B"/>
    <w:rsid w:val="00D73F27"/>
    <w:rsid w:val="00D83AFE"/>
    <w:rsid w:val="00D91147"/>
    <w:rsid w:val="00D949B5"/>
    <w:rsid w:val="00D949BD"/>
    <w:rsid w:val="00DA1149"/>
    <w:rsid w:val="00DA220C"/>
    <w:rsid w:val="00DA61ED"/>
    <w:rsid w:val="00DA6F31"/>
    <w:rsid w:val="00DB39A5"/>
    <w:rsid w:val="00DC0C4B"/>
    <w:rsid w:val="00DD21AE"/>
    <w:rsid w:val="00DD7FED"/>
    <w:rsid w:val="00DE518E"/>
    <w:rsid w:val="00DF0ADB"/>
    <w:rsid w:val="00DF15A0"/>
    <w:rsid w:val="00DF221B"/>
    <w:rsid w:val="00DF5748"/>
    <w:rsid w:val="00E0798A"/>
    <w:rsid w:val="00E25112"/>
    <w:rsid w:val="00E36CF6"/>
    <w:rsid w:val="00E447D7"/>
    <w:rsid w:val="00E44828"/>
    <w:rsid w:val="00E5124F"/>
    <w:rsid w:val="00E5424C"/>
    <w:rsid w:val="00E5569E"/>
    <w:rsid w:val="00E55923"/>
    <w:rsid w:val="00E61812"/>
    <w:rsid w:val="00E704DC"/>
    <w:rsid w:val="00E70FFC"/>
    <w:rsid w:val="00E72544"/>
    <w:rsid w:val="00E76324"/>
    <w:rsid w:val="00E85A99"/>
    <w:rsid w:val="00E8635F"/>
    <w:rsid w:val="00E8691D"/>
    <w:rsid w:val="00E9303C"/>
    <w:rsid w:val="00E93B66"/>
    <w:rsid w:val="00EB1178"/>
    <w:rsid w:val="00EB4519"/>
    <w:rsid w:val="00EB60BE"/>
    <w:rsid w:val="00EB7741"/>
    <w:rsid w:val="00EC2517"/>
    <w:rsid w:val="00EC46F0"/>
    <w:rsid w:val="00ED14CD"/>
    <w:rsid w:val="00ED682C"/>
    <w:rsid w:val="00EF29CC"/>
    <w:rsid w:val="00EF2EA9"/>
    <w:rsid w:val="00EF5DEE"/>
    <w:rsid w:val="00EF73A9"/>
    <w:rsid w:val="00F06D0F"/>
    <w:rsid w:val="00F07DC7"/>
    <w:rsid w:val="00F10948"/>
    <w:rsid w:val="00F16DAD"/>
    <w:rsid w:val="00F26802"/>
    <w:rsid w:val="00F27A47"/>
    <w:rsid w:val="00F40825"/>
    <w:rsid w:val="00F43BA3"/>
    <w:rsid w:val="00F47EE6"/>
    <w:rsid w:val="00F53AE8"/>
    <w:rsid w:val="00F6554C"/>
    <w:rsid w:val="00F664E0"/>
    <w:rsid w:val="00F667BA"/>
    <w:rsid w:val="00F7391F"/>
    <w:rsid w:val="00F76781"/>
    <w:rsid w:val="00F8451E"/>
    <w:rsid w:val="00F91520"/>
    <w:rsid w:val="00F9253E"/>
    <w:rsid w:val="00F94090"/>
    <w:rsid w:val="00FA4425"/>
    <w:rsid w:val="00FA4A7D"/>
    <w:rsid w:val="00FA4C21"/>
    <w:rsid w:val="00FA6313"/>
    <w:rsid w:val="00FA6EF9"/>
    <w:rsid w:val="00FB1888"/>
    <w:rsid w:val="00FB2870"/>
    <w:rsid w:val="00FB7982"/>
    <w:rsid w:val="00FC5D8E"/>
    <w:rsid w:val="00FC7850"/>
    <w:rsid w:val="00FD3282"/>
    <w:rsid w:val="00FD7ADA"/>
    <w:rsid w:val="00FE0D1B"/>
    <w:rsid w:val="00FF0CFB"/>
    <w:rsid w:val="00FF14F8"/>
    <w:rsid w:val="00FF7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151995"/>
  <w15:chartTrackingRefBased/>
  <w15:docId w15:val="{A7B88A67-1AB6-5E46-AF0D-633671FB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6EF1"/>
    <w:rPr>
      <w:color w:val="0563C1" w:themeColor="hyperlink"/>
      <w:u w:val="single"/>
    </w:rPr>
  </w:style>
  <w:style w:type="character" w:styleId="UnresolvedMention">
    <w:name w:val="Unresolved Mention"/>
    <w:basedOn w:val="DefaultParagraphFont"/>
    <w:uiPriority w:val="99"/>
    <w:semiHidden/>
    <w:unhideWhenUsed/>
    <w:rsid w:val="00186EF1"/>
    <w:rPr>
      <w:color w:val="605E5C"/>
      <w:shd w:val="clear" w:color="auto" w:fill="E1DFDD"/>
    </w:rPr>
  </w:style>
  <w:style w:type="numbering" w:customStyle="1" w:styleId="NoList1">
    <w:name w:val="No List1"/>
    <w:next w:val="NoList"/>
    <w:uiPriority w:val="99"/>
    <w:semiHidden/>
    <w:unhideWhenUsed/>
    <w:rsid w:val="002B7298"/>
  </w:style>
  <w:style w:type="paragraph" w:customStyle="1" w:styleId="MDPI11articletype">
    <w:name w:val="MDPI_1.1_article_type"/>
    <w:next w:val="Normal"/>
    <w:qFormat/>
    <w:rsid w:val="002B7298"/>
    <w:pPr>
      <w:adjustRightInd w:val="0"/>
      <w:snapToGrid w:val="0"/>
      <w:spacing w:before="240"/>
    </w:pPr>
    <w:rPr>
      <w:rFonts w:ascii="Palatino Linotype" w:eastAsia="Times New Roman" w:hAnsi="Palatino Linotype" w:cs="Times New Roman"/>
      <w:i/>
      <w:snapToGrid w:val="0"/>
      <w:color w:val="000000"/>
      <w:sz w:val="20"/>
      <w:szCs w:val="22"/>
      <w:lang w:eastAsia="de-DE" w:bidi="en-US"/>
    </w:rPr>
  </w:style>
  <w:style w:type="paragraph" w:customStyle="1" w:styleId="MDPI12title">
    <w:name w:val="MDPI_1.2_title"/>
    <w:next w:val="Normal"/>
    <w:qFormat/>
    <w:rsid w:val="002B7298"/>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next w:val="Normal"/>
    <w:qFormat/>
    <w:rsid w:val="002B7298"/>
    <w:pPr>
      <w:adjustRightInd w:val="0"/>
      <w:snapToGrid w:val="0"/>
      <w:spacing w:after="360" w:line="260" w:lineRule="atLeast"/>
    </w:pPr>
    <w:rPr>
      <w:rFonts w:ascii="Palatino Linotype" w:eastAsia="Times New Roman" w:hAnsi="Palatino Linotype" w:cs="Times New Roman"/>
      <w:b/>
      <w:color w:val="000000"/>
      <w:sz w:val="20"/>
      <w:szCs w:val="22"/>
      <w:lang w:eastAsia="de-DE" w:bidi="en-US"/>
    </w:rPr>
  </w:style>
  <w:style w:type="paragraph" w:customStyle="1" w:styleId="MDPI14history">
    <w:name w:val="MDPI_1.4_history"/>
    <w:basedOn w:val="Normal"/>
    <w:next w:val="Normal"/>
    <w:qFormat/>
    <w:rsid w:val="002B7298"/>
    <w:pPr>
      <w:adjustRightInd w:val="0"/>
      <w:snapToGrid w:val="0"/>
      <w:spacing w:line="240" w:lineRule="atLeast"/>
      <w:ind w:right="113"/>
    </w:pPr>
    <w:rPr>
      <w:rFonts w:ascii="Palatino Linotype" w:eastAsia="Times New Roman" w:hAnsi="Palatino Linotype" w:cs="Times New Roman"/>
      <w:color w:val="000000"/>
      <w:sz w:val="14"/>
      <w:szCs w:val="20"/>
      <w:lang w:eastAsia="de-DE" w:bidi="en-US"/>
    </w:rPr>
  </w:style>
  <w:style w:type="paragraph" w:customStyle="1" w:styleId="MDPI16affiliation">
    <w:name w:val="MDPI_1.6_affiliation"/>
    <w:qFormat/>
    <w:rsid w:val="002B7298"/>
    <w:pPr>
      <w:adjustRightInd w:val="0"/>
      <w:snapToGrid w:val="0"/>
      <w:spacing w:line="200" w:lineRule="atLeast"/>
      <w:ind w:left="2806" w:hanging="198"/>
    </w:pPr>
    <w:rPr>
      <w:rFonts w:ascii="Palatino Linotype" w:eastAsia="Times New Roman" w:hAnsi="Palatino Linotype" w:cs="Times New Roman"/>
      <w:color w:val="000000"/>
      <w:sz w:val="16"/>
      <w:szCs w:val="18"/>
      <w:lang w:eastAsia="de-DE" w:bidi="en-US"/>
    </w:rPr>
  </w:style>
  <w:style w:type="paragraph" w:customStyle="1" w:styleId="MDPI17abstract">
    <w:name w:val="MDPI_1.7_abstract"/>
    <w:next w:val="Normal"/>
    <w:qFormat/>
    <w:rsid w:val="002B7298"/>
    <w:pPr>
      <w:adjustRightInd w:val="0"/>
      <w:snapToGrid w:val="0"/>
      <w:spacing w:before="240" w:line="260" w:lineRule="atLeast"/>
      <w:ind w:left="2608"/>
      <w:jc w:val="both"/>
    </w:pPr>
    <w:rPr>
      <w:rFonts w:ascii="Palatino Linotype" w:eastAsia="Times New Roman" w:hAnsi="Palatino Linotype" w:cs="Times New Roman"/>
      <w:color w:val="000000"/>
      <w:sz w:val="18"/>
      <w:szCs w:val="22"/>
      <w:lang w:eastAsia="de-DE" w:bidi="en-US"/>
    </w:rPr>
  </w:style>
  <w:style w:type="paragraph" w:customStyle="1" w:styleId="MDPI18keywords">
    <w:name w:val="MDPI_1.8_keywords"/>
    <w:next w:val="Normal"/>
    <w:qFormat/>
    <w:rsid w:val="002B7298"/>
    <w:pPr>
      <w:adjustRightInd w:val="0"/>
      <w:snapToGrid w:val="0"/>
      <w:spacing w:before="240" w:line="260" w:lineRule="atLeast"/>
      <w:ind w:left="2608"/>
      <w:jc w:val="both"/>
    </w:pPr>
    <w:rPr>
      <w:rFonts w:ascii="Palatino Linotype" w:eastAsia="Times New Roman" w:hAnsi="Palatino Linotype" w:cs="Times New Roman"/>
      <w:snapToGrid w:val="0"/>
      <w:color w:val="000000"/>
      <w:sz w:val="18"/>
      <w:szCs w:val="22"/>
      <w:lang w:eastAsia="de-DE" w:bidi="en-US"/>
    </w:rPr>
  </w:style>
  <w:style w:type="paragraph" w:customStyle="1" w:styleId="MDPI19line">
    <w:name w:val="MDPI_1.9_line"/>
    <w:qFormat/>
    <w:rsid w:val="002B7298"/>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sz w:val="20"/>
      <w:lang w:eastAsia="de-DE" w:bidi="en-US"/>
    </w:rPr>
  </w:style>
  <w:style w:type="table" w:customStyle="1" w:styleId="Mdeck5tablebodythreelines">
    <w:name w:val="M_deck_5_table_body_three_lines"/>
    <w:basedOn w:val="TableNormal"/>
    <w:uiPriority w:val="99"/>
    <w:rsid w:val="002B7298"/>
    <w:pPr>
      <w:adjustRightInd w:val="0"/>
      <w:snapToGrid w:val="0"/>
      <w:spacing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39"/>
    <w:rsid w:val="002B7298"/>
    <w:pPr>
      <w:spacing w:line="260" w:lineRule="atLeast"/>
      <w:jc w:val="both"/>
    </w:pPr>
    <w:rPr>
      <w:rFonts w:ascii="Palatino Linotype" w:eastAsia="SimSun" w:hAnsi="Palatino Linotype" w:cs="Times New Roman"/>
      <w:color w:val="00000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B7298"/>
    <w:pPr>
      <w:tabs>
        <w:tab w:val="center" w:pos="4153"/>
        <w:tab w:val="right" w:pos="8306"/>
      </w:tabs>
      <w:snapToGrid w:val="0"/>
      <w:spacing w:line="240" w:lineRule="atLeast"/>
      <w:jc w:val="both"/>
    </w:pPr>
    <w:rPr>
      <w:rFonts w:ascii="Palatino Linotype" w:eastAsia="SimSun" w:hAnsi="Palatino Linotype" w:cs="Times New Roman"/>
      <w:noProof/>
      <w:color w:val="000000"/>
      <w:sz w:val="20"/>
      <w:szCs w:val="18"/>
      <w:lang w:eastAsia="zh-CN"/>
    </w:rPr>
  </w:style>
  <w:style w:type="character" w:customStyle="1" w:styleId="FooterChar">
    <w:name w:val="Footer Char"/>
    <w:basedOn w:val="DefaultParagraphFont"/>
    <w:link w:val="Footer"/>
    <w:uiPriority w:val="99"/>
    <w:rsid w:val="002B7298"/>
    <w:rPr>
      <w:rFonts w:ascii="Palatino Linotype" w:eastAsia="SimSun" w:hAnsi="Palatino Linotype" w:cs="Times New Roman"/>
      <w:noProof/>
      <w:color w:val="000000"/>
      <w:sz w:val="20"/>
      <w:szCs w:val="18"/>
      <w:lang w:eastAsia="zh-CN"/>
    </w:rPr>
  </w:style>
  <w:style w:type="paragraph" w:styleId="Header">
    <w:name w:val="header"/>
    <w:basedOn w:val="Normal"/>
    <w:link w:val="HeaderChar"/>
    <w:rsid w:val="002B7298"/>
    <w:pPr>
      <w:pBdr>
        <w:bottom w:val="single" w:sz="6" w:space="1" w:color="auto"/>
      </w:pBdr>
      <w:tabs>
        <w:tab w:val="center" w:pos="4153"/>
        <w:tab w:val="right" w:pos="8306"/>
      </w:tabs>
      <w:snapToGrid w:val="0"/>
      <w:spacing w:line="240" w:lineRule="atLeast"/>
      <w:jc w:val="center"/>
    </w:pPr>
    <w:rPr>
      <w:rFonts w:ascii="Palatino Linotype" w:eastAsia="SimSun" w:hAnsi="Palatino Linotype" w:cs="Times New Roman"/>
      <w:noProof/>
      <w:color w:val="000000"/>
      <w:sz w:val="20"/>
      <w:szCs w:val="18"/>
      <w:lang w:eastAsia="zh-CN"/>
    </w:rPr>
  </w:style>
  <w:style w:type="character" w:customStyle="1" w:styleId="HeaderChar">
    <w:name w:val="Header Char"/>
    <w:basedOn w:val="DefaultParagraphFont"/>
    <w:link w:val="Header"/>
    <w:uiPriority w:val="99"/>
    <w:rsid w:val="002B7298"/>
    <w:rPr>
      <w:rFonts w:ascii="Palatino Linotype" w:eastAsia="SimSun" w:hAnsi="Palatino Linotype" w:cs="Times New Roman"/>
      <w:noProof/>
      <w:color w:val="000000"/>
      <w:sz w:val="20"/>
      <w:szCs w:val="18"/>
      <w:lang w:eastAsia="zh-CN"/>
    </w:rPr>
  </w:style>
  <w:style w:type="paragraph" w:customStyle="1" w:styleId="MDPIheaderjournallogo">
    <w:name w:val="MDPI_header_journal_logo"/>
    <w:qFormat/>
    <w:rsid w:val="002B7298"/>
    <w:pPr>
      <w:adjustRightInd w:val="0"/>
      <w:snapToGrid w:val="0"/>
      <w:spacing w:line="260" w:lineRule="atLeast"/>
      <w:jc w:val="both"/>
    </w:pPr>
    <w:rPr>
      <w:rFonts w:ascii="Palatino Linotype" w:eastAsia="Times New Roman" w:hAnsi="Palatino Linotype" w:cs="Times New Roman"/>
      <w:i/>
      <w:color w:val="000000"/>
      <w:szCs w:val="22"/>
      <w:lang w:eastAsia="de-CH"/>
    </w:rPr>
  </w:style>
  <w:style w:type="paragraph" w:customStyle="1" w:styleId="MDPI32textnoindent">
    <w:name w:val="MDPI_3.2_text_no_indent"/>
    <w:basedOn w:val="MDPI31text"/>
    <w:qFormat/>
    <w:rsid w:val="002B7298"/>
    <w:pPr>
      <w:ind w:firstLine="0"/>
    </w:pPr>
  </w:style>
  <w:style w:type="paragraph" w:customStyle="1" w:styleId="MDPI31text">
    <w:name w:val="MDPI_3.1_text"/>
    <w:qFormat/>
    <w:rsid w:val="002B7298"/>
    <w:pPr>
      <w:adjustRightInd w:val="0"/>
      <w:snapToGrid w:val="0"/>
      <w:spacing w:line="228" w:lineRule="auto"/>
      <w:ind w:left="2608" w:firstLine="425"/>
      <w:jc w:val="both"/>
    </w:pPr>
    <w:rPr>
      <w:rFonts w:ascii="Palatino Linotype" w:eastAsia="Times New Roman" w:hAnsi="Palatino Linotype" w:cs="Times New Roman"/>
      <w:snapToGrid w:val="0"/>
      <w:color w:val="000000"/>
      <w:sz w:val="20"/>
      <w:szCs w:val="22"/>
      <w:lang w:eastAsia="de-DE" w:bidi="en-US"/>
    </w:rPr>
  </w:style>
  <w:style w:type="paragraph" w:customStyle="1" w:styleId="MDPI33textspaceafter">
    <w:name w:val="MDPI_3.3_text_space_after"/>
    <w:qFormat/>
    <w:rsid w:val="002B7298"/>
    <w:pPr>
      <w:adjustRightInd w:val="0"/>
      <w:snapToGrid w:val="0"/>
      <w:spacing w:after="240" w:line="228" w:lineRule="auto"/>
      <w:ind w:left="2608"/>
      <w:jc w:val="both"/>
    </w:pPr>
    <w:rPr>
      <w:rFonts w:ascii="Palatino Linotype" w:eastAsia="Times New Roman" w:hAnsi="Palatino Linotype" w:cs="Times New Roman"/>
      <w:snapToGrid w:val="0"/>
      <w:color w:val="000000"/>
      <w:sz w:val="20"/>
      <w:szCs w:val="22"/>
      <w:lang w:eastAsia="de-DE" w:bidi="en-US"/>
    </w:rPr>
  </w:style>
  <w:style w:type="paragraph" w:customStyle="1" w:styleId="MDPI35textbeforelist">
    <w:name w:val="MDPI_3.5_text_before_list"/>
    <w:qFormat/>
    <w:rsid w:val="002B7298"/>
    <w:pPr>
      <w:adjustRightInd w:val="0"/>
      <w:snapToGrid w:val="0"/>
      <w:spacing w:line="228" w:lineRule="auto"/>
      <w:ind w:left="2608" w:firstLine="425"/>
      <w:jc w:val="both"/>
    </w:pPr>
    <w:rPr>
      <w:rFonts w:ascii="Palatino Linotype" w:eastAsia="Times New Roman" w:hAnsi="Palatino Linotype" w:cs="Times New Roman"/>
      <w:snapToGrid w:val="0"/>
      <w:color w:val="000000"/>
      <w:sz w:val="20"/>
      <w:szCs w:val="22"/>
      <w:lang w:eastAsia="de-DE" w:bidi="en-US"/>
    </w:rPr>
  </w:style>
  <w:style w:type="paragraph" w:customStyle="1" w:styleId="MDPI36textafterlist">
    <w:name w:val="MDPI_3.6_text_after_list"/>
    <w:qFormat/>
    <w:rsid w:val="002B7298"/>
    <w:pPr>
      <w:adjustRightInd w:val="0"/>
      <w:snapToGrid w:val="0"/>
      <w:spacing w:before="120" w:line="228" w:lineRule="auto"/>
      <w:ind w:left="2608"/>
      <w:jc w:val="both"/>
    </w:pPr>
    <w:rPr>
      <w:rFonts w:ascii="Palatino Linotype" w:eastAsia="Times New Roman" w:hAnsi="Palatino Linotype" w:cs="Times New Roman"/>
      <w:snapToGrid w:val="0"/>
      <w:color w:val="000000"/>
      <w:sz w:val="20"/>
      <w:szCs w:val="22"/>
      <w:lang w:eastAsia="de-DE" w:bidi="en-US"/>
    </w:rPr>
  </w:style>
  <w:style w:type="paragraph" w:customStyle="1" w:styleId="MDPI37itemize">
    <w:name w:val="MDPI_3.7_itemize"/>
    <w:qFormat/>
    <w:rsid w:val="002B7298"/>
    <w:pPr>
      <w:numPr>
        <w:numId w:val="6"/>
      </w:numPr>
      <w:adjustRightInd w:val="0"/>
      <w:snapToGrid w:val="0"/>
      <w:spacing w:line="228" w:lineRule="auto"/>
      <w:jc w:val="both"/>
    </w:pPr>
    <w:rPr>
      <w:rFonts w:ascii="Palatino Linotype" w:eastAsia="Times New Roman" w:hAnsi="Palatino Linotype" w:cs="Times New Roman"/>
      <w:color w:val="000000"/>
      <w:sz w:val="20"/>
      <w:szCs w:val="22"/>
      <w:lang w:eastAsia="de-DE" w:bidi="en-US"/>
    </w:rPr>
  </w:style>
  <w:style w:type="paragraph" w:customStyle="1" w:styleId="MDPI38bullet">
    <w:name w:val="MDPI_3.8_bullet"/>
    <w:qFormat/>
    <w:rsid w:val="002B7298"/>
    <w:pPr>
      <w:numPr>
        <w:numId w:val="7"/>
      </w:numPr>
      <w:adjustRightInd w:val="0"/>
      <w:snapToGrid w:val="0"/>
      <w:spacing w:line="228" w:lineRule="auto"/>
      <w:jc w:val="both"/>
    </w:pPr>
    <w:rPr>
      <w:rFonts w:ascii="Palatino Linotype" w:eastAsia="Times New Roman" w:hAnsi="Palatino Linotype" w:cs="Times New Roman"/>
      <w:color w:val="000000"/>
      <w:sz w:val="20"/>
      <w:szCs w:val="22"/>
      <w:lang w:eastAsia="de-DE" w:bidi="en-US"/>
    </w:rPr>
  </w:style>
  <w:style w:type="paragraph" w:customStyle="1" w:styleId="MDPI39equation">
    <w:name w:val="MDPI_3.9_equation"/>
    <w:qFormat/>
    <w:rsid w:val="002B7298"/>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szCs w:val="22"/>
      <w:lang w:eastAsia="de-DE" w:bidi="en-US"/>
    </w:rPr>
  </w:style>
  <w:style w:type="paragraph" w:customStyle="1" w:styleId="MDPI3aequationnumber">
    <w:name w:val="MDPI_3.a_equation_number"/>
    <w:qFormat/>
    <w:rsid w:val="002B7298"/>
    <w:pPr>
      <w:spacing w:before="120" w:after="120"/>
      <w:jc w:val="right"/>
    </w:pPr>
    <w:rPr>
      <w:rFonts w:ascii="Palatino Linotype" w:eastAsia="Times New Roman" w:hAnsi="Palatino Linotype" w:cs="Times New Roman"/>
      <w:snapToGrid w:val="0"/>
      <w:color w:val="000000"/>
      <w:sz w:val="20"/>
      <w:szCs w:val="22"/>
      <w:lang w:eastAsia="de-DE" w:bidi="en-US"/>
    </w:rPr>
  </w:style>
  <w:style w:type="paragraph" w:customStyle="1" w:styleId="MDPI41tablecaption">
    <w:name w:val="MDPI_4.1_table_caption"/>
    <w:qFormat/>
    <w:rsid w:val="002B7298"/>
    <w:pPr>
      <w:adjustRightInd w:val="0"/>
      <w:snapToGrid w:val="0"/>
      <w:spacing w:before="240" w:after="120" w:line="228" w:lineRule="auto"/>
      <w:ind w:left="2608"/>
    </w:pPr>
    <w:rPr>
      <w:rFonts w:ascii="Palatino Linotype" w:eastAsia="Times New Roman" w:hAnsi="Palatino Linotype"/>
      <w:color w:val="000000"/>
      <w:sz w:val="18"/>
      <w:szCs w:val="22"/>
      <w:lang w:eastAsia="de-DE" w:bidi="en-US"/>
    </w:rPr>
  </w:style>
  <w:style w:type="paragraph" w:customStyle="1" w:styleId="MDPI42tablebody">
    <w:name w:val="MDPI_4.2_table_body"/>
    <w:qFormat/>
    <w:rsid w:val="002B7298"/>
    <w:pPr>
      <w:adjustRightInd w:val="0"/>
      <w:snapToGrid w:val="0"/>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next w:val="MDPI31text"/>
    <w:qFormat/>
    <w:rsid w:val="002B7298"/>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2B7298"/>
    <w:pPr>
      <w:adjustRightInd w:val="0"/>
      <w:snapToGrid w:val="0"/>
      <w:spacing w:before="120" w:after="240" w:line="228" w:lineRule="auto"/>
      <w:ind w:left="2608"/>
    </w:pPr>
    <w:rPr>
      <w:rFonts w:ascii="Palatino Linotype" w:eastAsia="Times New Roman" w:hAnsi="Palatino Linotype" w:cs="Times New Roman"/>
      <w:color w:val="000000"/>
      <w:sz w:val="18"/>
      <w:szCs w:val="20"/>
      <w:lang w:eastAsia="de-DE" w:bidi="en-US"/>
    </w:rPr>
  </w:style>
  <w:style w:type="paragraph" w:customStyle="1" w:styleId="MDPI52figure">
    <w:name w:val="MDPI_5.2_figure"/>
    <w:qFormat/>
    <w:rsid w:val="002B7298"/>
    <w:pPr>
      <w:adjustRightInd w:val="0"/>
      <w:snapToGrid w:val="0"/>
      <w:spacing w:before="240" w:after="120"/>
      <w:jc w:val="center"/>
    </w:pPr>
    <w:rPr>
      <w:rFonts w:ascii="Palatino Linotype" w:eastAsia="Times New Roman" w:hAnsi="Palatino Linotype" w:cs="Times New Roman"/>
      <w:snapToGrid w:val="0"/>
      <w:color w:val="000000"/>
      <w:sz w:val="20"/>
      <w:szCs w:val="20"/>
      <w:lang w:eastAsia="de-DE" w:bidi="en-US"/>
    </w:rPr>
  </w:style>
  <w:style w:type="paragraph" w:customStyle="1" w:styleId="MDPI23heading3">
    <w:name w:val="MDPI_2.3_heading3"/>
    <w:qFormat/>
    <w:rsid w:val="002B7298"/>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szCs w:val="22"/>
      <w:lang w:eastAsia="de-DE" w:bidi="en-US"/>
    </w:rPr>
  </w:style>
  <w:style w:type="paragraph" w:customStyle="1" w:styleId="MDPI21heading1">
    <w:name w:val="MDPI_2.1_heading1"/>
    <w:qFormat/>
    <w:rsid w:val="002B7298"/>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szCs w:val="22"/>
      <w:lang w:eastAsia="de-DE" w:bidi="en-US"/>
    </w:rPr>
  </w:style>
  <w:style w:type="paragraph" w:customStyle="1" w:styleId="MDPI22heading2">
    <w:name w:val="MDPI_2.2_heading2"/>
    <w:qFormat/>
    <w:rsid w:val="002B7298"/>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szCs w:val="22"/>
      <w:lang w:eastAsia="de-DE" w:bidi="en-US"/>
    </w:rPr>
  </w:style>
  <w:style w:type="paragraph" w:customStyle="1" w:styleId="MDPI71References">
    <w:name w:val="MDPI_7.1_References"/>
    <w:qFormat/>
    <w:rsid w:val="002B7298"/>
    <w:pPr>
      <w:numPr>
        <w:numId w:val="2"/>
      </w:numPr>
      <w:adjustRightInd w:val="0"/>
      <w:snapToGrid w:val="0"/>
      <w:spacing w:line="228" w:lineRule="auto"/>
      <w:jc w:val="both"/>
    </w:pPr>
    <w:rPr>
      <w:rFonts w:ascii="Palatino Linotype" w:eastAsia="Times New Roman" w:hAnsi="Palatino Linotype" w:cs="Times New Roman"/>
      <w:color w:val="000000"/>
      <w:sz w:val="18"/>
      <w:szCs w:val="20"/>
      <w:lang w:eastAsia="de-DE" w:bidi="en-US"/>
    </w:rPr>
  </w:style>
  <w:style w:type="paragraph" w:styleId="BalloonText">
    <w:name w:val="Balloon Text"/>
    <w:basedOn w:val="Normal"/>
    <w:link w:val="BalloonTextChar"/>
    <w:rsid w:val="002B7298"/>
    <w:pPr>
      <w:spacing w:line="260" w:lineRule="atLeast"/>
      <w:jc w:val="both"/>
    </w:pPr>
    <w:rPr>
      <w:rFonts w:ascii="Palatino Linotype" w:eastAsia="SimSun" w:hAnsi="Palatino Linotype" w:cs="Tahoma"/>
      <w:noProof/>
      <w:color w:val="000000"/>
      <w:sz w:val="20"/>
      <w:szCs w:val="18"/>
      <w:lang w:eastAsia="zh-CN"/>
    </w:rPr>
  </w:style>
  <w:style w:type="character" w:customStyle="1" w:styleId="BalloonTextChar">
    <w:name w:val="Balloon Text Char"/>
    <w:basedOn w:val="DefaultParagraphFont"/>
    <w:link w:val="BalloonText"/>
    <w:rsid w:val="002B7298"/>
    <w:rPr>
      <w:rFonts w:ascii="Palatino Linotype" w:eastAsia="SimSun" w:hAnsi="Palatino Linotype" w:cs="Tahoma"/>
      <w:noProof/>
      <w:color w:val="000000"/>
      <w:sz w:val="20"/>
      <w:szCs w:val="18"/>
      <w:lang w:eastAsia="zh-CN"/>
    </w:rPr>
  </w:style>
  <w:style w:type="character" w:styleId="LineNumber">
    <w:name w:val="line number"/>
    <w:uiPriority w:val="99"/>
    <w:rsid w:val="002B7298"/>
    <w:rPr>
      <w:rFonts w:ascii="Palatino Linotype" w:hAnsi="Palatino Linotype"/>
      <w:sz w:val="16"/>
    </w:rPr>
  </w:style>
  <w:style w:type="table" w:customStyle="1" w:styleId="MDPI41threelinetable">
    <w:name w:val="MDPI_4.1_three_line_table"/>
    <w:basedOn w:val="TableNormal"/>
    <w:uiPriority w:val="99"/>
    <w:rsid w:val="002B7298"/>
    <w:pPr>
      <w:adjustRightInd w:val="0"/>
      <w:snapToGrid w:val="0"/>
      <w:jc w:val="center"/>
    </w:pPr>
    <w:rPr>
      <w:rFonts w:ascii="Palatino Linotype" w:eastAsiaTheme="minorEastAsia" w:hAnsi="Palatino Linotype" w:cs="Times New Roman"/>
      <w:color w:val="000000"/>
      <w:sz w:val="20"/>
      <w:szCs w:val="20"/>
      <w:lang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table" w:styleId="PlainTable4">
    <w:name w:val="Plain Table 4"/>
    <w:basedOn w:val="TableNormal"/>
    <w:uiPriority w:val="44"/>
    <w:rsid w:val="002B7298"/>
    <w:rPr>
      <w:rFonts w:ascii="Calibri" w:eastAsia="SimSun" w:hAnsi="Calibri" w:cs="Times New Roman"/>
      <w:sz w:val="20"/>
      <w:szCs w:val="20"/>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2B7298"/>
    <w:pPr>
      <w:adjustRightInd w:val="0"/>
      <w:snapToGrid w:val="0"/>
      <w:spacing w:before="240" w:line="228" w:lineRule="auto"/>
      <w:ind w:left="2608"/>
      <w:jc w:val="both"/>
    </w:pPr>
    <w:rPr>
      <w:rFonts w:ascii="Palatino Linotype" w:eastAsia="Times New Roman" w:hAnsi="Palatino Linotype" w:cs="Times New Roman"/>
      <w:snapToGrid w:val="0"/>
      <w:color w:val="000000"/>
      <w:sz w:val="20"/>
      <w:szCs w:val="22"/>
      <w:lang w:eastAsia="de-DE" w:bidi="en-US"/>
    </w:rPr>
  </w:style>
  <w:style w:type="paragraph" w:customStyle="1" w:styleId="MDPI81theorem">
    <w:name w:val="MDPI_8.1_theorem"/>
    <w:qFormat/>
    <w:rsid w:val="002B7298"/>
    <w:pPr>
      <w:adjustRightInd w:val="0"/>
      <w:snapToGrid w:val="0"/>
      <w:spacing w:line="228" w:lineRule="auto"/>
      <w:ind w:left="2608"/>
      <w:jc w:val="both"/>
    </w:pPr>
    <w:rPr>
      <w:rFonts w:ascii="Palatino Linotype" w:eastAsia="Times New Roman" w:hAnsi="Palatino Linotype" w:cs="Times New Roman"/>
      <w:i/>
      <w:snapToGrid w:val="0"/>
      <w:color w:val="000000"/>
      <w:sz w:val="20"/>
      <w:szCs w:val="22"/>
      <w:lang w:eastAsia="de-DE" w:bidi="en-US"/>
    </w:rPr>
  </w:style>
  <w:style w:type="paragraph" w:customStyle="1" w:styleId="MDPI82proof">
    <w:name w:val="MDPI_8.2_proof"/>
    <w:qFormat/>
    <w:rsid w:val="002B7298"/>
    <w:pPr>
      <w:adjustRightInd w:val="0"/>
      <w:snapToGrid w:val="0"/>
      <w:spacing w:line="228" w:lineRule="auto"/>
      <w:ind w:left="2608"/>
      <w:jc w:val="both"/>
    </w:pPr>
    <w:rPr>
      <w:rFonts w:ascii="Palatino Linotype" w:eastAsia="Times New Roman" w:hAnsi="Palatino Linotype" w:cs="Times New Roman"/>
      <w:snapToGrid w:val="0"/>
      <w:color w:val="000000"/>
      <w:sz w:val="20"/>
      <w:szCs w:val="22"/>
      <w:lang w:eastAsia="de-DE" w:bidi="en-US"/>
    </w:rPr>
  </w:style>
  <w:style w:type="paragraph" w:customStyle="1" w:styleId="MDPI61Citation">
    <w:name w:val="MDPI_6.1_Citation"/>
    <w:qFormat/>
    <w:rsid w:val="002B7298"/>
    <w:pPr>
      <w:adjustRightInd w:val="0"/>
      <w:snapToGrid w:val="0"/>
      <w:spacing w:line="240" w:lineRule="atLeast"/>
      <w:ind w:right="113"/>
    </w:pPr>
    <w:rPr>
      <w:rFonts w:ascii="Palatino Linotype" w:eastAsia="SimSun" w:hAnsi="Palatino Linotype" w:cs="Cordia New"/>
      <w:sz w:val="14"/>
      <w:szCs w:val="22"/>
      <w:lang w:eastAsia="zh-CN"/>
    </w:rPr>
  </w:style>
  <w:style w:type="paragraph" w:customStyle="1" w:styleId="MDPI62BackMatter">
    <w:name w:val="MDPI_6.2_BackMatter"/>
    <w:qFormat/>
    <w:rsid w:val="002B7298"/>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paragraph" w:customStyle="1" w:styleId="MDPI63Notes">
    <w:name w:val="MDPI_6.3_Notes"/>
    <w:qFormat/>
    <w:rsid w:val="002B7298"/>
    <w:pPr>
      <w:adjustRightInd w:val="0"/>
      <w:snapToGrid w:val="0"/>
      <w:spacing w:after="120" w:line="240" w:lineRule="atLeast"/>
      <w:ind w:right="113"/>
    </w:pPr>
    <w:rPr>
      <w:rFonts w:ascii="Palatino Linotype" w:eastAsia="SimSun" w:hAnsi="Palatino Linotype" w:cs="Times New Roman"/>
      <w:snapToGrid w:val="0"/>
      <w:color w:val="000000"/>
      <w:sz w:val="14"/>
      <w:szCs w:val="20"/>
      <w:lang w:bidi="en-US"/>
    </w:rPr>
  </w:style>
  <w:style w:type="paragraph" w:customStyle="1" w:styleId="MDPI15academiceditor">
    <w:name w:val="MDPI_1.5_academic_editor"/>
    <w:qFormat/>
    <w:rsid w:val="002B7298"/>
    <w:pPr>
      <w:adjustRightInd w:val="0"/>
      <w:snapToGrid w:val="0"/>
      <w:spacing w:before="120" w:line="240" w:lineRule="atLeast"/>
      <w:ind w:right="113"/>
    </w:pPr>
    <w:rPr>
      <w:rFonts w:ascii="Palatino Linotype" w:eastAsia="Times New Roman" w:hAnsi="Palatino Linotype" w:cs="Times New Roman"/>
      <w:color w:val="000000"/>
      <w:sz w:val="14"/>
      <w:szCs w:val="22"/>
      <w:lang w:eastAsia="de-DE" w:bidi="en-US"/>
    </w:rPr>
  </w:style>
  <w:style w:type="paragraph" w:customStyle="1" w:styleId="MDPI19classification">
    <w:name w:val="MDPI_1.9_classification"/>
    <w:qFormat/>
    <w:rsid w:val="002B7298"/>
    <w:pPr>
      <w:spacing w:before="240" w:line="260" w:lineRule="atLeast"/>
      <w:ind w:left="113"/>
      <w:jc w:val="both"/>
    </w:pPr>
    <w:rPr>
      <w:rFonts w:ascii="Palatino Linotype" w:eastAsia="Times New Roman" w:hAnsi="Palatino Linotype" w:cs="Times New Roman"/>
      <w:b/>
      <w:color w:val="000000"/>
      <w:sz w:val="20"/>
      <w:szCs w:val="22"/>
      <w:lang w:eastAsia="de-DE" w:bidi="en-US"/>
    </w:rPr>
  </w:style>
  <w:style w:type="paragraph" w:customStyle="1" w:styleId="MDPI411onetablecaption">
    <w:name w:val="MDPI_4.1.1_one_table_caption"/>
    <w:qFormat/>
    <w:rsid w:val="002B7298"/>
    <w:pPr>
      <w:adjustRightInd w:val="0"/>
      <w:snapToGrid w:val="0"/>
      <w:spacing w:before="240" w:after="120" w:line="260" w:lineRule="atLeast"/>
      <w:jc w:val="center"/>
    </w:pPr>
    <w:rPr>
      <w:rFonts w:ascii="Palatino Linotype" w:eastAsiaTheme="minorEastAsia" w:hAnsi="Palatino Linotype"/>
      <w:noProof/>
      <w:color w:val="000000"/>
      <w:sz w:val="18"/>
      <w:szCs w:val="22"/>
      <w:lang w:eastAsia="zh-CN" w:bidi="en-US"/>
    </w:rPr>
  </w:style>
  <w:style w:type="paragraph" w:customStyle="1" w:styleId="MDPI511onefigurecaption">
    <w:name w:val="MDPI_5.1.1_one_figure_caption"/>
    <w:qFormat/>
    <w:rsid w:val="002B7298"/>
    <w:pPr>
      <w:adjustRightInd w:val="0"/>
      <w:snapToGrid w:val="0"/>
      <w:spacing w:before="240" w:after="120" w:line="260" w:lineRule="atLeast"/>
      <w:jc w:val="center"/>
    </w:pPr>
    <w:rPr>
      <w:rFonts w:ascii="Palatino Linotype" w:eastAsiaTheme="minorEastAsia" w:hAnsi="Palatino Linotype" w:cs="Times New Roman"/>
      <w:noProof/>
      <w:color w:val="000000"/>
      <w:sz w:val="18"/>
      <w:szCs w:val="20"/>
      <w:lang w:eastAsia="zh-CN" w:bidi="en-US"/>
    </w:rPr>
  </w:style>
  <w:style w:type="paragraph" w:customStyle="1" w:styleId="MDPI72Copyright">
    <w:name w:val="MDPI_7.2_Copyright"/>
    <w:qFormat/>
    <w:rsid w:val="002B7298"/>
    <w:pPr>
      <w:adjustRightInd w:val="0"/>
      <w:snapToGrid w:val="0"/>
      <w:spacing w:before="240" w:line="240" w:lineRule="atLeast"/>
      <w:ind w:right="113"/>
    </w:pPr>
    <w:rPr>
      <w:rFonts w:ascii="Palatino Linotype" w:eastAsia="Times New Roman" w:hAnsi="Palatino Linotype" w:cs="Times New Roman"/>
      <w:noProof/>
      <w:snapToGrid w:val="0"/>
      <w:color w:val="000000"/>
      <w:spacing w:val="-2"/>
      <w:sz w:val="14"/>
      <w:szCs w:val="20"/>
      <w:lang w:val="en-GB" w:eastAsia="en-GB"/>
    </w:rPr>
  </w:style>
  <w:style w:type="paragraph" w:customStyle="1" w:styleId="MDPI73CopyrightImage">
    <w:name w:val="MDPI_7.3_CopyrightImage"/>
    <w:rsid w:val="002B7298"/>
    <w:pPr>
      <w:adjustRightInd w:val="0"/>
      <w:snapToGrid w:val="0"/>
      <w:spacing w:after="100" w:line="260" w:lineRule="atLeast"/>
      <w:jc w:val="right"/>
    </w:pPr>
    <w:rPr>
      <w:rFonts w:ascii="Palatino Linotype" w:eastAsia="Times New Roman" w:hAnsi="Palatino Linotype" w:cs="Times New Roman"/>
      <w:color w:val="000000"/>
      <w:sz w:val="20"/>
      <w:szCs w:val="20"/>
      <w:lang w:eastAsia="de-CH"/>
    </w:rPr>
  </w:style>
  <w:style w:type="paragraph" w:customStyle="1" w:styleId="MDPIequationFram">
    <w:name w:val="MDPI_equationFram"/>
    <w:qFormat/>
    <w:rsid w:val="002B7298"/>
    <w:pPr>
      <w:adjustRightInd w:val="0"/>
      <w:snapToGrid w:val="0"/>
      <w:spacing w:before="120" w:after="120"/>
      <w:jc w:val="center"/>
    </w:pPr>
    <w:rPr>
      <w:rFonts w:ascii="Palatino Linotype" w:eastAsia="Times New Roman" w:hAnsi="Palatino Linotype" w:cs="Times New Roman"/>
      <w:snapToGrid w:val="0"/>
      <w:color w:val="000000"/>
      <w:sz w:val="20"/>
      <w:szCs w:val="22"/>
      <w:lang w:eastAsia="de-DE" w:bidi="en-US"/>
    </w:rPr>
  </w:style>
  <w:style w:type="paragraph" w:customStyle="1" w:styleId="MDPIfooter">
    <w:name w:val="MDPI_footer"/>
    <w:qFormat/>
    <w:rsid w:val="002B7298"/>
    <w:pPr>
      <w:adjustRightInd w:val="0"/>
      <w:snapToGrid w:val="0"/>
      <w:spacing w:before="120" w:line="260" w:lineRule="atLeast"/>
      <w:jc w:val="center"/>
    </w:pPr>
    <w:rPr>
      <w:rFonts w:ascii="Palatino Linotype" w:eastAsia="Times New Roman" w:hAnsi="Palatino Linotype" w:cs="Times New Roman"/>
      <w:color w:val="000000"/>
      <w:sz w:val="20"/>
      <w:szCs w:val="20"/>
      <w:lang w:eastAsia="de-DE"/>
    </w:rPr>
  </w:style>
  <w:style w:type="paragraph" w:customStyle="1" w:styleId="MDPIfooterfirstpage">
    <w:name w:val="MDPI_footer_firstpage"/>
    <w:qFormat/>
    <w:rsid w:val="002B7298"/>
    <w:pPr>
      <w:tabs>
        <w:tab w:val="right" w:pos="8845"/>
      </w:tabs>
      <w:spacing w:line="160" w:lineRule="exact"/>
    </w:pPr>
    <w:rPr>
      <w:rFonts w:ascii="Palatino Linotype" w:eastAsia="Times New Roman" w:hAnsi="Palatino Linotype" w:cs="Times New Roman"/>
      <w:color w:val="000000"/>
      <w:sz w:val="16"/>
      <w:szCs w:val="20"/>
      <w:lang w:eastAsia="de-DE"/>
    </w:rPr>
  </w:style>
  <w:style w:type="paragraph" w:customStyle="1" w:styleId="MDPIheader">
    <w:name w:val="MDPI_header"/>
    <w:qFormat/>
    <w:rsid w:val="002B7298"/>
    <w:pPr>
      <w:adjustRightInd w:val="0"/>
      <w:snapToGrid w:val="0"/>
      <w:spacing w:after="240" w:line="260" w:lineRule="atLeast"/>
      <w:jc w:val="both"/>
    </w:pPr>
    <w:rPr>
      <w:rFonts w:ascii="Palatino Linotype" w:eastAsia="Times New Roman" w:hAnsi="Palatino Linotype" w:cs="Times New Roman"/>
      <w:iCs/>
      <w:color w:val="000000"/>
      <w:sz w:val="16"/>
      <w:szCs w:val="20"/>
      <w:lang w:eastAsia="de-DE"/>
    </w:rPr>
  </w:style>
  <w:style w:type="paragraph" w:customStyle="1" w:styleId="MDPIheadercitation">
    <w:name w:val="MDPI_header_citation"/>
    <w:rsid w:val="002B7298"/>
    <w:pPr>
      <w:spacing w:after="240"/>
    </w:pPr>
    <w:rPr>
      <w:rFonts w:ascii="Palatino Linotype" w:eastAsia="Times New Roman" w:hAnsi="Palatino Linotype" w:cs="Times New Roman"/>
      <w:snapToGrid w:val="0"/>
      <w:color w:val="000000"/>
      <w:sz w:val="18"/>
      <w:szCs w:val="20"/>
      <w:lang w:eastAsia="de-DE" w:bidi="en-US"/>
    </w:rPr>
  </w:style>
  <w:style w:type="paragraph" w:customStyle="1" w:styleId="MDPIheadermdpilogo">
    <w:name w:val="MDPI_header_mdpi_logo"/>
    <w:qFormat/>
    <w:rsid w:val="002B7298"/>
    <w:pPr>
      <w:adjustRightInd w:val="0"/>
      <w:snapToGrid w:val="0"/>
      <w:spacing w:line="260" w:lineRule="atLeast"/>
      <w:jc w:val="right"/>
    </w:pPr>
    <w:rPr>
      <w:rFonts w:ascii="Palatino Linotype" w:eastAsia="Times New Roman" w:hAnsi="Palatino Linotype" w:cs="Times New Roman"/>
      <w:color w:val="000000"/>
      <w:szCs w:val="22"/>
      <w:lang w:eastAsia="de-CH"/>
    </w:rPr>
  </w:style>
  <w:style w:type="table" w:customStyle="1" w:styleId="MDPITable">
    <w:name w:val="MDPI_Table"/>
    <w:basedOn w:val="TableNormal"/>
    <w:uiPriority w:val="99"/>
    <w:rsid w:val="002B7298"/>
    <w:rPr>
      <w:rFonts w:ascii="Palatino Linotype" w:eastAsia="SimSun" w:hAnsi="Palatino Linotype" w:cs="Times New Roman"/>
      <w:color w:val="000000" w:themeColor="text1"/>
      <w:sz w:val="20"/>
      <w:szCs w:val="20"/>
      <w:lang w:val="en-CA"/>
    </w:rPr>
    <w:tblPr>
      <w:tblCellMar>
        <w:left w:w="0" w:type="dxa"/>
        <w:right w:w="0" w:type="dxa"/>
      </w:tblCellMar>
    </w:tblPr>
  </w:style>
  <w:style w:type="paragraph" w:customStyle="1" w:styleId="MDPItext">
    <w:name w:val="MDPI_text"/>
    <w:qFormat/>
    <w:rsid w:val="002B7298"/>
    <w:pPr>
      <w:spacing w:line="260" w:lineRule="atLeast"/>
      <w:ind w:left="425" w:right="425" w:firstLine="284"/>
      <w:jc w:val="both"/>
    </w:pPr>
    <w:rPr>
      <w:rFonts w:ascii="Times New Roman" w:eastAsia="Times New Roman" w:hAnsi="Times New Roman" w:cs="Times New Roman"/>
      <w:noProof/>
      <w:snapToGrid w:val="0"/>
      <w:color w:val="000000"/>
      <w:sz w:val="22"/>
      <w:szCs w:val="22"/>
      <w:lang w:eastAsia="de-DE" w:bidi="en-US"/>
    </w:rPr>
  </w:style>
  <w:style w:type="paragraph" w:customStyle="1" w:styleId="MDPItitle">
    <w:name w:val="MDPI_title"/>
    <w:qFormat/>
    <w:rsid w:val="002B7298"/>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eastAsia="de-DE" w:bidi="en-US"/>
    </w:rPr>
  </w:style>
  <w:style w:type="character" w:customStyle="1" w:styleId="apple-converted-space">
    <w:name w:val="apple-converted-space"/>
    <w:rsid w:val="002B7298"/>
  </w:style>
  <w:style w:type="paragraph" w:styleId="Bibliography">
    <w:name w:val="Bibliography"/>
    <w:basedOn w:val="Normal"/>
    <w:next w:val="Normal"/>
    <w:uiPriority w:val="37"/>
    <w:semiHidden/>
    <w:unhideWhenUsed/>
    <w:rsid w:val="002B7298"/>
    <w:pPr>
      <w:spacing w:line="260" w:lineRule="atLeast"/>
      <w:jc w:val="both"/>
    </w:pPr>
    <w:rPr>
      <w:rFonts w:ascii="Palatino Linotype" w:eastAsia="SimSun" w:hAnsi="Palatino Linotype" w:cs="Times New Roman"/>
      <w:noProof/>
      <w:color w:val="000000"/>
      <w:sz w:val="20"/>
      <w:szCs w:val="20"/>
      <w:lang w:eastAsia="zh-CN"/>
    </w:rPr>
  </w:style>
  <w:style w:type="paragraph" w:styleId="BodyText">
    <w:name w:val="Body Text"/>
    <w:link w:val="BodyTextChar"/>
    <w:rsid w:val="002B7298"/>
    <w:pPr>
      <w:spacing w:after="120" w:line="340" w:lineRule="atLeast"/>
      <w:jc w:val="both"/>
    </w:pPr>
    <w:rPr>
      <w:rFonts w:ascii="Palatino Linotype" w:eastAsia="SimSun" w:hAnsi="Palatino Linotype" w:cs="Times New Roman"/>
      <w:color w:val="000000"/>
      <w:szCs w:val="20"/>
      <w:lang w:eastAsia="de-DE"/>
    </w:rPr>
  </w:style>
  <w:style w:type="character" w:customStyle="1" w:styleId="BodyTextChar">
    <w:name w:val="Body Text Char"/>
    <w:basedOn w:val="DefaultParagraphFont"/>
    <w:link w:val="BodyText"/>
    <w:rsid w:val="002B7298"/>
    <w:rPr>
      <w:rFonts w:ascii="Palatino Linotype" w:eastAsia="SimSun" w:hAnsi="Palatino Linotype" w:cs="Times New Roman"/>
      <w:color w:val="000000"/>
      <w:szCs w:val="20"/>
      <w:lang w:eastAsia="de-DE"/>
    </w:rPr>
  </w:style>
  <w:style w:type="character" w:styleId="CommentReference">
    <w:name w:val="annotation reference"/>
    <w:uiPriority w:val="99"/>
    <w:rsid w:val="002B7298"/>
    <w:rPr>
      <w:sz w:val="21"/>
      <w:szCs w:val="21"/>
    </w:rPr>
  </w:style>
  <w:style w:type="paragraph" w:styleId="CommentText">
    <w:name w:val="annotation text"/>
    <w:basedOn w:val="Normal"/>
    <w:link w:val="CommentTextChar"/>
    <w:uiPriority w:val="99"/>
    <w:rsid w:val="002B7298"/>
    <w:pPr>
      <w:spacing w:line="260" w:lineRule="atLeast"/>
      <w:jc w:val="both"/>
    </w:pPr>
    <w:rPr>
      <w:rFonts w:ascii="Palatino Linotype" w:eastAsia="SimSun" w:hAnsi="Palatino Linotype" w:cs="Times New Roman"/>
      <w:noProof/>
      <w:color w:val="000000"/>
      <w:sz w:val="20"/>
      <w:szCs w:val="20"/>
      <w:lang w:eastAsia="zh-CN"/>
    </w:rPr>
  </w:style>
  <w:style w:type="character" w:customStyle="1" w:styleId="CommentTextChar">
    <w:name w:val="Comment Text Char"/>
    <w:basedOn w:val="DefaultParagraphFont"/>
    <w:link w:val="CommentText"/>
    <w:uiPriority w:val="99"/>
    <w:rsid w:val="002B7298"/>
    <w:rPr>
      <w:rFonts w:ascii="Palatino Linotype" w:eastAsia="SimSun" w:hAnsi="Palatino Linotype" w:cs="Times New Roman"/>
      <w:noProof/>
      <w:color w:val="000000"/>
      <w:sz w:val="20"/>
      <w:szCs w:val="20"/>
      <w:lang w:eastAsia="zh-CN"/>
    </w:rPr>
  </w:style>
  <w:style w:type="paragraph" w:styleId="CommentSubject">
    <w:name w:val="annotation subject"/>
    <w:basedOn w:val="CommentText"/>
    <w:next w:val="CommentText"/>
    <w:link w:val="CommentSubjectChar"/>
    <w:rsid w:val="002B7298"/>
    <w:rPr>
      <w:b/>
      <w:bCs/>
    </w:rPr>
  </w:style>
  <w:style w:type="character" w:customStyle="1" w:styleId="CommentSubjectChar">
    <w:name w:val="Comment Subject Char"/>
    <w:basedOn w:val="CommentTextChar"/>
    <w:link w:val="CommentSubject"/>
    <w:rsid w:val="002B7298"/>
    <w:rPr>
      <w:rFonts w:ascii="Palatino Linotype" w:eastAsia="SimSun" w:hAnsi="Palatino Linotype" w:cs="Times New Roman"/>
      <w:b/>
      <w:bCs/>
      <w:noProof/>
      <w:color w:val="000000"/>
      <w:sz w:val="20"/>
      <w:szCs w:val="20"/>
      <w:lang w:eastAsia="zh-CN"/>
    </w:rPr>
  </w:style>
  <w:style w:type="character" w:styleId="EndnoteReference">
    <w:name w:val="endnote reference"/>
    <w:rsid w:val="002B7298"/>
    <w:rPr>
      <w:vertAlign w:val="superscript"/>
    </w:rPr>
  </w:style>
  <w:style w:type="paragraph" w:styleId="EndnoteText">
    <w:name w:val="endnote text"/>
    <w:basedOn w:val="Normal"/>
    <w:link w:val="EndnoteTextChar"/>
    <w:semiHidden/>
    <w:unhideWhenUsed/>
    <w:rsid w:val="002B7298"/>
    <w:pPr>
      <w:jc w:val="both"/>
    </w:pPr>
    <w:rPr>
      <w:rFonts w:ascii="Palatino Linotype" w:eastAsia="SimSun" w:hAnsi="Palatino Linotype" w:cs="Times New Roman"/>
      <w:noProof/>
      <w:color w:val="000000"/>
      <w:sz w:val="20"/>
      <w:szCs w:val="20"/>
      <w:lang w:eastAsia="zh-CN"/>
    </w:rPr>
  </w:style>
  <w:style w:type="character" w:customStyle="1" w:styleId="EndnoteTextChar">
    <w:name w:val="Endnote Text Char"/>
    <w:basedOn w:val="DefaultParagraphFont"/>
    <w:link w:val="EndnoteText"/>
    <w:semiHidden/>
    <w:rsid w:val="002B7298"/>
    <w:rPr>
      <w:rFonts w:ascii="Palatino Linotype" w:eastAsia="SimSun" w:hAnsi="Palatino Linotype" w:cs="Times New Roman"/>
      <w:noProof/>
      <w:color w:val="000000"/>
      <w:sz w:val="20"/>
      <w:szCs w:val="20"/>
      <w:lang w:eastAsia="zh-CN"/>
    </w:rPr>
  </w:style>
  <w:style w:type="character" w:styleId="FollowedHyperlink">
    <w:name w:val="FollowedHyperlink"/>
    <w:uiPriority w:val="99"/>
    <w:rsid w:val="002B7298"/>
    <w:rPr>
      <w:color w:val="954F72"/>
      <w:u w:val="single"/>
    </w:rPr>
  </w:style>
  <w:style w:type="paragraph" w:styleId="FootnoteText">
    <w:name w:val="footnote text"/>
    <w:basedOn w:val="Normal"/>
    <w:link w:val="FootnoteTextChar"/>
    <w:semiHidden/>
    <w:unhideWhenUsed/>
    <w:rsid w:val="002B7298"/>
    <w:pPr>
      <w:jc w:val="both"/>
    </w:pPr>
    <w:rPr>
      <w:rFonts w:ascii="Palatino Linotype" w:eastAsia="SimSun" w:hAnsi="Palatino Linotype" w:cs="Times New Roman"/>
      <w:noProof/>
      <w:color w:val="000000"/>
      <w:sz w:val="20"/>
      <w:szCs w:val="20"/>
      <w:lang w:eastAsia="zh-CN"/>
    </w:rPr>
  </w:style>
  <w:style w:type="character" w:customStyle="1" w:styleId="FootnoteTextChar">
    <w:name w:val="Footnote Text Char"/>
    <w:basedOn w:val="DefaultParagraphFont"/>
    <w:link w:val="FootnoteText"/>
    <w:semiHidden/>
    <w:rsid w:val="002B7298"/>
    <w:rPr>
      <w:rFonts w:ascii="Palatino Linotype" w:eastAsia="SimSun" w:hAnsi="Palatino Linotype" w:cs="Times New Roman"/>
      <w:noProof/>
      <w:color w:val="000000"/>
      <w:sz w:val="20"/>
      <w:szCs w:val="20"/>
      <w:lang w:eastAsia="zh-CN"/>
    </w:rPr>
  </w:style>
  <w:style w:type="paragraph" w:styleId="NormalWeb">
    <w:name w:val="Normal (Web)"/>
    <w:basedOn w:val="Normal"/>
    <w:uiPriority w:val="99"/>
    <w:rsid w:val="002B7298"/>
    <w:pPr>
      <w:spacing w:line="260" w:lineRule="atLeast"/>
      <w:jc w:val="both"/>
    </w:pPr>
    <w:rPr>
      <w:rFonts w:ascii="Palatino Linotype" w:eastAsia="SimSun" w:hAnsi="Palatino Linotype" w:cs="Times New Roman"/>
      <w:noProof/>
      <w:color w:val="000000"/>
      <w:sz w:val="20"/>
      <w:lang w:eastAsia="zh-CN"/>
    </w:rPr>
  </w:style>
  <w:style w:type="paragraph" w:customStyle="1" w:styleId="MsoFootnoteText0">
    <w:name w:val="MsoFootnoteText"/>
    <w:basedOn w:val="NormalWeb"/>
    <w:qFormat/>
    <w:rsid w:val="002B7298"/>
    <w:rPr>
      <w:rFonts w:ascii="Times New Roman" w:hAnsi="Times New Roman"/>
    </w:rPr>
  </w:style>
  <w:style w:type="character" w:styleId="PageNumber">
    <w:name w:val="page number"/>
    <w:rsid w:val="002B7298"/>
  </w:style>
  <w:style w:type="character" w:styleId="PlaceholderText">
    <w:name w:val="Placeholder Text"/>
    <w:uiPriority w:val="99"/>
    <w:semiHidden/>
    <w:rsid w:val="002B7298"/>
    <w:rPr>
      <w:color w:val="808080"/>
    </w:rPr>
  </w:style>
  <w:style w:type="paragraph" w:customStyle="1" w:styleId="MDPI71FootNotes">
    <w:name w:val="MDPI_7.1_FootNotes"/>
    <w:qFormat/>
    <w:rsid w:val="002B7298"/>
    <w:pPr>
      <w:numPr>
        <w:numId w:val="8"/>
      </w:numPr>
      <w:adjustRightInd w:val="0"/>
      <w:snapToGrid w:val="0"/>
      <w:spacing w:line="228" w:lineRule="auto"/>
    </w:pPr>
    <w:rPr>
      <w:rFonts w:ascii="Palatino Linotype" w:eastAsiaTheme="minorEastAsia" w:hAnsi="Palatino Linotype" w:cs="Times New Roman"/>
      <w:noProof/>
      <w:color w:val="000000"/>
      <w:sz w:val="18"/>
      <w:szCs w:val="20"/>
      <w:lang w:eastAsia="zh-CN"/>
    </w:rPr>
  </w:style>
  <w:style w:type="paragraph" w:styleId="ListParagraph">
    <w:name w:val="List Paragraph"/>
    <w:basedOn w:val="Normal"/>
    <w:uiPriority w:val="99"/>
    <w:qFormat/>
    <w:rsid w:val="002B7298"/>
    <w:pPr>
      <w:spacing w:after="200" w:line="276" w:lineRule="auto"/>
      <w:ind w:left="720"/>
      <w:contextualSpacing/>
    </w:pPr>
    <w:rPr>
      <w:rFonts w:ascii="Calibri" w:eastAsia="Times New Roman" w:hAnsi="Calibri" w:cs="Times New Roman"/>
      <w:sz w:val="22"/>
      <w:szCs w:val="22"/>
    </w:rPr>
  </w:style>
  <w:style w:type="numbering" w:customStyle="1" w:styleId="NoList11">
    <w:name w:val="No List11"/>
    <w:next w:val="NoList"/>
    <w:uiPriority w:val="99"/>
    <w:semiHidden/>
    <w:unhideWhenUsed/>
    <w:rsid w:val="002B7298"/>
  </w:style>
  <w:style w:type="table" w:customStyle="1" w:styleId="TableGrid1">
    <w:name w:val="Table Grid1"/>
    <w:basedOn w:val="TableNormal"/>
    <w:next w:val="TableGrid"/>
    <w:uiPriority w:val="39"/>
    <w:rsid w:val="002B72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B7298"/>
    <w:rPr>
      <w:rFonts w:ascii="Palatino Linotype" w:eastAsia="SimSun" w:hAnsi="Palatino Linotype" w:cs="Times New Roman"/>
      <w:noProof/>
      <w:color w:val="000000"/>
      <w:sz w:val="20"/>
      <w:szCs w:val="20"/>
      <w:lang w:eastAsia="zh-CN"/>
    </w:rPr>
  </w:style>
  <w:style w:type="table" w:customStyle="1" w:styleId="1">
    <w:name w:val="1"/>
    <w:basedOn w:val="TableNormal"/>
    <w:rsid w:val="00232D51"/>
    <w:rPr>
      <w:rFonts w:ascii="Calibri" w:eastAsia="Calibri" w:hAnsi="Calibri" w:cs="Calibri"/>
      <w:color w:val="000000"/>
      <w:sz w:val="22"/>
      <w:szCs w:val="22"/>
    </w:rPr>
    <w:tblPr>
      <w:tblStyleRowBandSize w:val="1"/>
      <w:tblStyleColBandSize w:val="1"/>
      <w:tblCellMar>
        <w:left w:w="115" w:type="dxa"/>
        <w:right w:w="115" w:type="dxa"/>
      </w:tblCellMar>
    </w:tblPr>
  </w:style>
  <w:style w:type="character" w:customStyle="1" w:styleId="identifier">
    <w:name w:val="identifier"/>
    <w:basedOn w:val="DefaultParagraphFont"/>
    <w:rsid w:val="00984A58"/>
  </w:style>
  <w:style w:type="character" w:customStyle="1" w:styleId="id-label">
    <w:name w:val="id-label"/>
    <w:basedOn w:val="DefaultParagraphFont"/>
    <w:rsid w:val="00FA6313"/>
  </w:style>
  <w:style w:type="character" w:styleId="Strong">
    <w:name w:val="Strong"/>
    <w:basedOn w:val="DefaultParagraphFont"/>
    <w:uiPriority w:val="22"/>
    <w:qFormat/>
    <w:rsid w:val="00FA6313"/>
    <w:rPr>
      <w:b/>
      <w:bCs/>
    </w:rPr>
  </w:style>
  <w:style w:type="character" w:customStyle="1" w:styleId="doi">
    <w:name w:val="doi"/>
    <w:basedOn w:val="DefaultParagraphFont"/>
    <w:rsid w:val="004C07D6"/>
  </w:style>
  <w:style w:type="character" w:customStyle="1" w:styleId="citation-doi">
    <w:name w:val="citation-doi"/>
    <w:basedOn w:val="DefaultParagraphFont"/>
    <w:rsid w:val="004E074B"/>
  </w:style>
  <w:style w:type="character" w:customStyle="1" w:styleId="c-bibliographic-informationvalue">
    <w:name w:val="c-bibliographic-information__value"/>
    <w:basedOn w:val="DefaultParagraphFont"/>
    <w:rsid w:val="00C622B5"/>
  </w:style>
  <w:style w:type="character" w:customStyle="1" w:styleId="article-headerdoi">
    <w:name w:val="article-header__doi"/>
    <w:basedOn w:val="DefaultParagraphFont"/>
    <w:rsid w:val="00C74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834242">
      <w:bodyDiv w:val="1"/>
      <w:marLeft w:val="0"/>
      <w:marRight w:val="0"/>
      <w:marTop w:val="0"/>
      <w:marBottom w:val="0"/>
      <w:divBdr>
        <w:top w:val="none" w:sz="0" w:space="0" w:color="auto"/>
        <w:left w:val="none" w:sz="0" w:space="0" w:color="auto"/>
        <w:bottom w:val="none" w:sz="0" w:space="0" w:color="auto"/>
        <w:right w:val="none" w:sz="0" w:space="0" w:color="auto"/>
      </w:divBdr>
    </w:div>
    <w:div w:id="150023936">
      <w:bodyDiv w:val="1"/>
      <w:marLeft w:val="0"/>
      <w:marRight w:val="0"/>
      <w:marTop w:val="0"/>
      <w:marBottom w:val="0"/>
      <w:divBdr>
        <w:top w:val="none" w:sz="0" w:space="0" w:color="auto"/>
        <w:left w:val="none" w:sz="0" w:space="0" w:color="auto"/>
        <w:bottom w:val="none" w:sz="0" w:space="0" w:color="auto"/>
        <w:right w:val="none" w:sz="0" w:space="0" w:color="auto"/>
      </w:divBdr>
    </w:div>
    <w:div w:id="296423869">
      <w:bodyDiv w:val="1"/>
      <w:marLeft w:val="0"/>
      <w:marRight w:val="0"/>
      <w:marTop w:val="0"/>
      <w:marBottom w:val="0"/>
      <w:divBdr>
        <w:top w:val="none" w:sz="0" w:space="0" w:color="auto"/>
        <w:left w:val="none" w:sz="0" w:space="0" w:color="auto"/>
        <w:bottom w:val="none" w:sz="0" w:space="0" w:color="auto"/>
        <w:right w:val="none" w:sz="0" w:space="0" w:color="auto"/>
      </w:divBdr>
    </w:div>
    <w:div w:id="368604514">
      <w:bodyDiv w:val="1"/>
      <w:marLeft w:val="0"/>
      <w:marRight w:val="0"/>
      <w:marTop w:val="0"/>
      <w:marBottom w:val="0"/>
      <w:divBdr>
        <w:top w:val="none" w:sz="0" w:space="0" w:color="auto"/>
        <w:left w:val="none" w:sz="0" w:space="0" w:color="auto"/>
        <w:bottom w:val="none" w:sz="0" w:space="0" w:color="auto"/>
        <w:right w:val="none" w:sz="0" w:space="0" w:color="auto"/>
      </w:divBdr>
    </w:div>
    <w:div w:id="371536434">
      <w:bodyDiv w:val="1"/>
      <w:marLeft w:val="0"/>
      <w:marRight w:val="0"/>
      <w:marTop w:val="0"/>
      <w:marBottom w:val="0"/>
      <w:divBdr>
        <w:top w:val="none" w:sz="0" w:space="0" w:color="auto"/>
        <w:left w:val="none" w:sz="0" w:space="0" w:color="auto"/>
        <w:bottom w:val="none" w:sz="0" w:space="0" w:color="auto"/>
        <w:right w:val="none" w:sz="0" w:space="0" w:color="auto"/>
      </w:divBdr>
      <w:divsChild>
        <w:div w:id="1417022272">
          <w:marLeft w:val="0"/>
          <w:marRight w:val="0"/>
          <w:marTop w:val="0"/>
          <w:marBottom w:val="0"/>
          <w:divBdr>
            <w:top w:val="none" w:sz="0" w:space="0" w:color="auto"/>
            <w:left w:val="none" w:sz="0" w:space="0" w:color="auto"/>
            <w:bottom w:val="none" w:sz="0" w:space="0" w:color="auto"/>
            <w:right w:val="none" w:sz="0" w:space="0" w:color="auto"/>
          </w:divBdr>
          <w:divsChild>
            <w:div w:id="756633287">
              <w:marLeft w:val="0"/>
              <w:marRight w:val="0"/>
              <w:marTop w:val="0"/>
              <w:marBottom w:val="0"/>
              <w:divBdr>
                <w:top w:val="none" w:sz="0" w:space="0" w:color="auto"/>
                <w:left w:val="none" w:sz="0" w:space="0" w:color="auto"/>
                <w:bottom w:val="none" w:sz="0" w:space="0" w:color="auto"/>
                <w:right w:val="none" w:sz="0" w:space="0" w:color="auto"/>
              </w:divBdr>
              <w:divsChild>
                <w:div w:id="590090562">
                  <w:marLeft w:val="0"/>
                  <w:marRight w:val="0"/>
                  <w:marTop w:val="0"/>
                  <w:marBottom w:val="0"/>
                  <w:divBdr>
                    <w:top w:val="none" w:sz="0" w:space="0" w:color="auto"/>
                    <w:left w:val="none" w:sz="0" w:space="0" w:color="auto"/>
                    <w:bottom w:val="none" w:sz="0" w:space="0" w:color="auto"/>
                    <w:right w:val="none" w:sz="0" w:space="0" w:color="auto"/>
                  </w:divBdr>
                  <w:divsChild>
                    <w:div w:id="104224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645523">
      <w:bodyDiv w:val="1"/>
      <w:marLeft w:val="0"/>
      <w:marRight w:val="0"/>
      <w:marTop w:val="0"/>
      <w:marBottom w:val="0"/>
      <w:divBdr>
        <w:top w:val="none" w:sz="0" w:space="0" w:color="auto"/>
        <w:left w:val="none" w:sz="0" w:space="0" w:color="auto"/>
        <w:bottom w:val="none" w:sz="0" w:space="0" w:color="auto"/>
        <w:right w:val="none" w:sz="0" w:space="0" w:color="auto"/>
      </w:divBdr>
    </w:div>
    <w:div w:id="420835733">
      <w:bodyDiv w:val="1"/>
      <w:marLeft w:val="0"/>
      <w:marRight w:val="0"/>
      <w:marTop w:val="0"/>
      <w:marBottom w:val="0"/>
      <w:divBdr>
        <w:top w:val="none" w:sz="0" w:space="0" w:color="auto"/>
        <w:left w:val="none" w:sz="0" w:space="0" w:color="auto"/>
        <w:bottom w:val="none" w:sz="0" w:space="0" w:color="auto"/>
        <w:right w:val="none" w:sz="0" w:space="0" w:color="auto"/>
      </w:divBdr>
    </w:div>
    <w:div w:id="491602899">
      <w:bodyDiv w:val="1"/>
      <w:marLeft w:val="0"/>
      <w:marRight w:val="0"/>
      <w:marTop w:val="0"/>
      <w:marBottom w:val="0"/>
      <w:divBdr>
        <w:top w:val="none" w:sz="0" w:space="0" w:color="auto"/>
        <w:left w:val="none" w:sz="0" w:space="0" w:color="auto"/>
        <w:bottom w:val="none" w:sz="0" w:space="0" w:color="auto"/>
        <w:right w:val="none" w:sz="0" w:space="0" w:color="auto"/>
      </w:divBdr>
    </w:div>
    <w:div w:id="555898965">
      <w:bodyDiv w:val="1"/>
      <w:marLeft w:val="0"/>
      <w:marRight w:val="0"/>
      <w:marTop w:val="0"/>
      <w:marBottom w:val="0"/>
      <w:divBdr>
        <w:top w:val="none" w:sz="0" w:space="0" w:color="auto"/>
        <w:left w:val="none" w:sz="0" w:space="0" w:color="auto"/>
        <w:bottom w:val="none" w:sz="0" w:space="0" w:color="auto"/>
        <w:right w:val="none" w:sz="0" w:space="0" w:color="auto"/>
      </w:divBdr>
    </w:div>
    <w:div w:id="631911794">
      <w:bodyDiv w:val="1"/>
      <w:marLeft w:val="0"/>
      <w:marRight w:val="0"/>
      <w:marTop w:val="0"/>
      <w:marBottom w:val="0"/>
      <w:divBdr>
        <w:top w:val="none" w:sz="0" w:space="0" w:color="auto"/>
        <w:left w:val="none" w:sz="0" w:space="0" w:color="auto"/>
        <w:bottom w:val="none" w:sz="0" w:space="0" w:color="auto"/>
        <w:right w:val="none" w:sz="0" w:space="0" w:color="auto"/>
      </w:divBdr>
      <w:divsChild>
        <w:div w:id="844899802">
          <w:marLeft w:val="0"/>
          <w:marRight w:val="0"/>
          <w:marTop w:val="0"/>
          <w:marBottom w:val="0"/>
          <w:divBdr>
            <w:top w:val="none" w:sz="0" w:space="0" w:color="auto"/>
            <w:left w:val="none" w:sz="0" w:space="0" w:color="auto"/>
            <w:bottom w:val="none" w:sz="0" w:space="0" w:color="auto"/>
            <w:right w:val="none" w:sz="0" w:space="0" w:color="auto"/>
          </w:divBdr>
          <w:divsChild>
            <w:div w:id="151912829">
              <w:marLeft w:val="0"/>
              <w:marRight w:val="0"/>
              <w:marTop w:val="0"/>
              <w:marBottom w:val="0"/>
              <w:divBdr>
                <w:top w:val="none" w:sz="0" w:space="0" w:color="auto"/>
                <w:left w:val="none" w:sz="0" w:space="0" w:color="auto"/>
                <w:bottom w:val="none" w:sz="0" w:space="0" w:color="auto"/>
                <w:right w:val="none" w:sz="0" w:space="0" w:color="auto"/>
              </w:divBdr>
              <w:divsChild>
                <w:div w:id="1047604731">
                  <w:marLeft w:val="0"/>
                  <w:marRight w:val="0"/>
                  <w:marTop w:val="0"/>
                  <w:marBottom w:val="0"/>
                  <w:divBdr>
                    <w:top w:val="none" w:sz="0" w:space="0" w:color="auto"/>
                    <w:left w:val="none" w:sz="0" w:space="0" w:color="auto"/>
                    <w:bottom w:val="none" w:sz="0" w:space="0" w:color="auto"/>
                    <w:right w:val="none" w:sz="0" w:space="0" w:color="auto"/>
                  </w:divBdr>
                  <w:divsChild>
                    <w:div w:id="64697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899613">
      <w:bodyDiv w:val="1"/>
      <w:marLeft w:val="0"/>
      <w:marRight w:val="0"/>
      <w:marTop w:val="0"/>
      <w:marBottom w:val="0"/>
      <w:divBdr>
        <w:top w:val="none" w:sz="0" w:space="0" w:color="auto"/>
        <w:left w:val="none" w:sz="0" w:space="0" w:color="auto"/>
        <w:bottom w:val="none" w:sz="0" w:space="0" w:color="auto"/>
        <w:right w:val="none" w:sz="0" w:space="0" w:color="auto"/>
      </w:divBdr>
    </w:div>
    <w:div w:id="826046252">
      <w:bodyDiv w:val="1"/>
      <w:marLeft w:val="0"/>
      <w:marRight w:val="0"/>
      <w:marTop w:val="0"/>
      <w:marBottom w:val="0"/>
      <w:divBdr>
        <w:top w:val="none" w:sz="0" w:space="0" w:color="auto"/>
        <w:left w:val="none" w:sz="0" w:space="0" w:color="auto"/>
        <w:bottom w:val="none" w:sz="0" w:space="0" w:color="auto"/>
        <w:right w:val="none" w:sz="0" w:space="0" w:color="auto"/>
      </w:divBdr>
      <w:divsChild>
        <w:div w:id="542253106">
          <w:marLeft w:val="0"/>
          <w:marRight w:val="0"/>
          <w:marTop w:val="0"/>
          <w:marBottom w:val="0"/>
          <w:divBdr>
            <w:top w:val="none" w:sz="0" w:space="0" w:color="auto"/>
            <w:left w:val="none" w:sz="0" w:space="0" w:color="auto"/>
            <w:bottom w:val="none" w:sz="0" w:space="0" w:color="auto"/>
            <w:right w:val="none" w:sz="0" w:space="0" w:color="auto"/>
          </w:divBdr>
          <w:divsChild>
            <w:div w:id="1887717378">
              <w:marLeft w:val="0"/>
              <w:marRight w:val="0"/>
              <w:marTop w:val="0"/>
              <w:marBottom w:val="0"/>
              <w:divBdr>
                <w:top w:val="none" w:sz="0" w:space="0" w:color="auto"/>
                <w:left w:val="none" w:sz="0" w:space="0" w:color="auto"/>
                <w:bottom w:val="none" w:sz="0" w:space="0" w:color="auto"/>
                <w:right w:val="none" w:sz="0" w:space="0" w:color="auto"/>
              </w:divBdr>
              <w:divsChild>
                <w:div w:id="1832717229">
                  <w:marLeft w:val="0"/>
                  <w:marRight w:val="0"/>
                  <w:marTop w:val="0"/>
                  <w:marBottom w:val="0"/>
                  <w:divBdr>
                    <w:top w:val="none" w:sz="0" w:space="0" w:color="auto"/>
                    <w:left w:val="none" w:sz="0" w:space="0" w:color="auto"/>
                    <w:bottom w:val="none" w:sz="0" w:space="0" w:color="auto"/>
                    <w:right w:val="none" w:sz="0" w:space="0" w:color="auto"/>
                  </w:divBdr>
                  <w:divsChild>
                    <w:div w:id="121361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680524">
      <w:bodyDiv w:val="1"/>
      <w:marLeft w:val="0"/>
      <w:marRight w:val="0"/>
      <w:marTop w:val="0"/>
      <w:marBottom w:val="0"/>
      <w:divBdr>
        <w:top w:val="none" w:sz="0" w:space="0" w:color="auto"/>
        <w:left w:val="none" w:sz="0" w:space="0" w:color="auto"/>
        <w:bottom w:val="none" w:sz="0" w:space="0" w:color="auto"/>
        <w:right w:val="none" w:sz="0" w:space="0" w:color="auto"/>
      </w:divBdr>
      <w:divsChild>
        <w:div w:id="1242107960">
          <w:marLeft w:val="0"/>
          <w:marRight w:val="0"/>
          <w:marTop w:val="0"/>
          <w:marBottom w:val="0"/>
          <w:divBdr>
            <w:top w:val="none" w:sz="0" w:space="0" w:color="auto"/>
            <w:left w:val="none" w:sz="0" w:space="0" w:color="auto"/>
            <w:bottom w:val="none" w:sz="0" w:space="0" w:color="auto"/>
            <w:right w:val="none" w:sz="0" w:space="0" w:color="auto"/>
          </w:divBdr>
          <w:divsChild>
            <w:div w:id="15542460">
              <w:marLeft w:val="0"/>
              <w:marRight w:val="0"/>
              <w:marTop w:val="0"/>
              <w:marBottom w:val="0"/>
              <w:divBdr>
                <w:top w:val="none" w:sz="0" w:space="0" w:color="auto"/>
                <w:left w:val="none" w:sz="0" w:space="0" w:color="auto"/>
                <w:bottom w:val="none" w:sz="0" w:space="0" w:color="auto"/>
                <w:right w:val="none" w:sz="0" w:space="0" w:color="auto"/>
              </w:divBdr>
              <w:divsChild>
                <w:div w:id="449983021">
                  <w:marLeft w:val="0"/>
                  <w:marRight w:val="0"/>
                  <w:marTop w:val="0"/>
                  <w:marBottom w:val="0"/>
                  <w:divBdr>
                    <w:top w:val="none" w:sz="0" w:space="0" w:color="auto"/>
                    <w:left w:val="none" w:sz="0" w:space="0" w:color="auto"/>
                    <w:bottom w:val="none" w:sz="0" w:space="0" w:color="auto"/>
                    <w:right w:val="none" w:sz="0" w:space="0" w:color="auto"/>
                  </w:divBdr>
                  <w:divsChild>
                    <w:div w:id="171148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573691">
      <w:bodyDiv w:val="1"/>
      <w:marLeft w:val="0"/>
      <w:marRight w:val="0"/>
      <w:marTop w:val="0"/>
      <w:marBottom w:val="0"/>
      <w:divBdr>
        <w:top w:val="none" w:sz="0" w:space="0" w:color="auto"/>
        <w:left w:val="none" w:sz="0" w:space="0" w:color="auto"/>
        <w:bottom w:val="none" w:sz="0" w:space="0" w:color="auto"/>
        <w:right w:val="none" w:sz="0" w:space="0" w:color="auto"/>
      </w:divBdr>
    </w:div>
    <w:div w:id="910695092">
      <w:bodyDiv w:val="1"/>
      <w:marLeft w:val="0"/>
      <w:marRight w:val="0"/>
      <w:marTop w:val="0"/>
      <w:marBottom w:val="0"/>
      <w:divBdr>
        <w:top w:val="none" w:sz="0" w:space="0" w:color="auto"/>
        <w:left w:val="none" w:sz="0" w:space="0" w:color="auto"/>
        <w:bottom w:val="none" w:sz="0" w:space="0" w:color="auto"/>
        <w:right w:val="none" w:sz="0" w:space="0" w:color="auto"/>
      </w:divBdr>
    </w:div>
    <w:div w:id="978732900">
      <w:bodyDiv w:val="1"/>
      <w:marLeft w:val="0"/>
      <w:marRight w:val="0"/>
      <w:marTop w:val="0"/>
      <w:marBottom w:val="0"/>
      <w:divBdr>
        <w:top w:val="none" w:sz="0" w:space="0" w:color="auto"/>
        <w:left w:val="none" w:sz="0" w:space="0" w:color="auto"/>
        <w:bottom w:val="none" w:sz="0" w:space="0" w:color="auto"/>
        <w:right w:val="none" w:sz="0" w:space="0" w:color="auto"/>
      </w:divBdr>
      <w:divsChild>
        <w:div w:id="214854602">
          <w:marLeft w:val="0"/>
          <w:marRight w:val="0"/>
          <w:marTop w:val="0"/>
          <w:marBottom w:val="0"/>
          <w:divBdr>
            <w:top w:val="none" w:sz="0" w:space="0" w:color="auto"/>
            <w:left w:val="none" w:sz="0" w:space="0" w:color="auto"/>
            <w:bottom w:val="none" w:sz="0" w:space="0" w:color="auto"/>
            <w:right w:val="none" w:sz="0" w:space="0" w:color="auto"/>
          </w:divBdr>
        </w:div>
      </w:divsChild>
    </w:div>
    <w:div w:id="1053892588">
      <w:bodyDiv w:val="1"/>
      <w:marLeft w:val="0"/>
      <w:marRight w:val="0"/>
      <w:marTop w:val="0"/>
      <w:marBottom w:val="0"/>
      <w:divBdr>
        <w:top w:val="none" w:sz="0" w:space="0" w:color="auto"/>
        <w:left w:val="none" w:sz="0" w:space="0" w:color="auto"/>
        <w:bottom w:val="none" w:sz="0" w:space="0" w:color="auto"/>
        <w:right w:val="none" w:sz="0" w:space="0" w:color="auto"/>
      </w:divBdr>
    </w:div>
    <w:div w:id="1125149972">
      <w:bodyDiv w:val="1"/>
      <w:marLeft w:val="0"/>
      <w:marRight w:val="0"/>
      <w:marTop w:val="0"/>
      <w:marBottom w:val="0"/>
      <w:divBdr>
        <w:top w:val="none" w:sz="0" w:space="0" w:color="auto"/>
        <w:left w:val="none" w:sz="0" w:space="0" w:color="auto"/>
        <w:bottom w:val="none" w:sz="0" w:space="0" w:color="auto"/>
        <w:right w:val="none" w:sz="0" w:space="0" w:color="auto"/>
      </w:divBdr>
    </w:div>
    <w:div w:id="1166557086">
      <w:bodyDiv w:val="1"/>
      <w:marLeft w:val="0"/>
      <w:marRight w:val="0"/>
      <w:marTop w:val="0"/>
      <w:marBottom w:val="0"/>
      <w:divBdr>
        <w:top w:val="none" w:sz="0" w:space="0" w:color="auto"/>
        <w:left w:val="none" w:sz="0" w:space="0" w:color="auto"/>
        <w:bottom w:val="none" w:sz="0" w:space="0" w:color="auto"/>
        <w:right w:val="none" w:sz="0" w:space="0" w:color="auto"/>
      </w:divBdr>
      <w:divsChild>
        <w:div w:id="528419375">
          <w:marLeft w:val="0"/>
          <w:marRight w:val="0"/>
          <w:marTop w:val="0"/>
          <w:marBottom w:val="0"/>
          <w:divBdr>
            <w:top w:val="none" w:sz="0" w:space="0" w:color="auto"/>
            <w:left w:val="none" w:sz="0" w:space="0" w:color="auto"/>
            <w:bottom w:val="none" w:sz="0" w:space="0" w:color="auto"/>
            <w:right w:val="none" w:sz="0" w:space="0" w:color="auto"/>
          </w:divBdr>
          <w:divsChild>
            <w:div w:id="122818021">
              <w:marLeft w:val="0"/>
              <w:marRight w:val="0"/>
              <w:marTop w:val="0"/>
              <w:marBottom w:val="0"/>
              <w:divBdr>
                <w:top w:val="none" w:sz="0" w:space="0" w:color="auto"/>
                <w:left w:val="none" w:sz="0" w:space="0" w:color="auto"/>
                <w:bottom w:val="none" w:sz="0" w:space="0" w:color="auto"/>
                <w:right w:val="none" w:sz="0" w:space="0" w:color="auto"/>
              </w:divBdr>
              <w:divsChild>
                <w:div w:id="100952385">
                  <w:marLeft w:val="0"/>
                  <w:marRight w:val="0"/>
                  <w:marTop w:val="0"/>
                  <w:marBottom w:val="0"/>
                  <w:divBdr>
                    <w:top w:val="none" w:sz="0" w:space="0" w:color="auto"/>
                    <w:left w:val="none" w:sz="0" w:space="0" w:color="auto"/>
                    <w:bottom w:val="none" w:sz="0" w:space="0" w:color="auto"/>
                    <w:right w:val="none" w:sz="0" w:space="0" w:color="auto"/>
                  </w:divBdr>
                  <w:divsChild>
                    <w:div w:id="170493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8886">
      <w:bodyDiv w:val="1"/>
      <w:marLeft w:val="0"/>
      <w:marRight w:val="0"/>
      <w:marTop w:val="0"/>
      <w:marBottom w:val="0"/>
      <w:divBdr>
        <w:top w:val="none" w:sz="0" w:space="0" w:color="auto"/>
        <w:left w:val="none" w:sz="0" w:space="0" w:color="auto"/>
        <w:bottom w:val="none" w:sz="0" w:space="0" w:color="auto"/>
        <w:right w:val="none" w:sz="0" w:space="0" w:color="auto"/>
      </w:divBdr>
    </w:div>
    <w:div w:id="1207832523">
      <w:bodyDiv w:val="1"/>
      <w:marLeft w:val="0"/>
      <w:marRight w:val="0"/>
      <w:marTop w:val="0"/>
      <w:marBottom w:val="0"/>
      <w:divBdr>
        <w:top w:val="none" w:sz="0" w:space="0" w:color="auto"/>
        <w:left w:val="none" w:sz="0" w:space="0" w:color="auto"/>
        <w:bottom w:val="none" w:sz="0" w:space="0" w:color="auto"/>
        <w:right w:val="none" w:sz="0" w:space="0" w:color="auto"/>
      </w:divBdr>
    </w:div>
    <w:div w:id="1314986703">
      <w:bodyDiv w:val="1"/>
      <w:marLeft w:val="0"/>
      <w:marRight w:val="0"/>
      <w:marTop w:val="0"/>
      <w:marBottom w:val="0"/>
      <w:divBdr>
        <w:top w:val="none" w:sz="0" w:space="0" w:color="auto"/>
        <w:left w:val="none" w:sz="0" w:space="0" w:color="auto"/>
        <w:bottom w:val="none" w:sz="0" w:space="0" w:color="auto"/>
        <w:right w:val="none" w:sz="0" w:space="0" w:color="auto"/>
      </w:divBdr>
    </w:div>
    <w:div w:id="1470052511">
      <w:bodyDiv w:val="1"/>
      <w:marLeft w:val="0"/>
      <w:marRight w:val="0"/>
      <w:marTop w:val="0"/>
      <w:marBottom w:val="0"/>
      <w:divBdr>
        <w:top w:val="none" w:sz="0" w:space="0" w:color="auto"/>
        <w:left w:val="none" w:sz="0" w:space="0" w:color="auto"/>
        <w:bottom w:val="none" w:sz="0" w:space="0" w:color="auto"/>
        <w:right w:val="none" w:sz="0" w:space="0" w:color="auto"/>
      </w:divBdr>
    </w:div>
    <w:div w:id="1482884423">
      <w:bodyDiv w:val="1"/>
      <w:marLeft w:val="0"/>
      <w:marRight w:val="0"/>
      <w:marTop w:val="0"/>
      <w:marBottom w:val="0"/>
      <w:divBdr>
        <w:top w:val="none" w:sz="0" w:space="0" w:color="auto"/>
        <w:left w:val="none" w:sz="0" w:space="0" w:color="auto"/>
        <w:bottom w:val="none" w:sz="0" w:space="0" w:color="auto"/>
        <w:right w:val="none" w:sz="0" w:space="0" w:color="auto"/>
      </w:divBdr>
    </w:div>
    <w:div w:id="1496998341">
      <w:bodyDiv w:val="1"/>
      <w:marLeft w:val="0"/>
      <w:marRight w:val="0"/>
      <w:marTop w:val="0"/>
      <w:marBottom w:val="0"/>
      <w:divBdr>
        <w:top w:val="none" w:sz="0" w:space="0" w:color="auto"/>
        <w:left w:val="none" w:sz="0" w:space="0" w:color="auto"/>
        <w:bottom w:val="none" w:sz="0" w:space="0" w:color="auto"/>
        <w:right w:val="none" w:sz="0" w:space="0" w:color="auto"/>
      </w:divBdr>
    </w:div>
    <w:div w:id="1533609619">
      <w:bodyDiv w:val="1"/>
      <w:marLeft w:val="0"/>
      <w:marRight w:val="0"/>
      <w:marTop w:val="0"/>
      <w:marBottom w:val="0"/>
      <w:divBdr>
        <w:top w:val="none" w:sz="0" w:space="0" w:color="auto"/>
        <w:left w:val="none" w:sz="0" w:space="0" w:color="auto"/>
        <w:bottom w:val="none" w:sz="0" w:space="0" w:color="auto"/>
        <w:right w:val="none" w:sz="0" w:space="0" w:color="auto"/>
      </w:divBdr>
    </w:div>
    <w:div w:id="1554148263">
      <w:bodyDiv w:val="1"/>
      <w:marLeft w:val="0"/>
      <w:marRight w:val="0"/>
      <w:marTop w:val="0"/>
      <w:marBottom w:val="0"/>
      <w:divBdr>
        <w:top w:val="none" w:sz="0" w:space="0" w:color="auto"/>
        <w:left w:val="none" w:sz="0" w:space="0" w:color="auto"/>
        <w:bottom w:val="none" w:sz="0" w:space="0" w:color="auto"/>
        <w:right w:val="none" w:sz="0" w:space="0" w:color="auto"/>
      </w:divBdr>
    </w:div>
    <w:div w:id="1597715724">
      <w:bodyDiv w:val="1"/>
      <w:marLeft w:val="0"/>
      <w:marRight w:val="0"/>
      <w:marTop w:val="0"/>
      <w:marBottom w:val="0"/>
      <w:divBdr>
        <w:top w:val="none" w:sz="0" w:space="0" w:color="auto"/>
        <w:left w:val="none" w:sz="0" w:space="0" w:color="auto"/>
        <w:bottom w:val="none" w:sz="0" w:space="0" w:color="auto"/>
        <w:right w:val="none" w:sz="0" w:space="0" w:color="auto"/>
      </w:divBdr>
    </w:div>
    <w:div w:id="1884562538">
      <w:bodyDiv w:val="1"/>
      <w:marLeft w:val="0"/>
      <w:marRight w:val="0"/>
      <w:marTop w:val="0"/>
      <w:marBottom w:val="0"/>
      <w:divBdr>
        <w:top w:val="none" w:sz="0" w:space="0" w:color="auto"/>
        <w:left w:val="none" w:sz="0" w:space="0" w:color="auto"/>
        <w:bottom w:val="none" w:sz="0" w:space="0" w:color="auto"/>
        <w:right w:val="none" w:sz="0" w:space="0" w:color="auto"/>
      </w:divBdr>
    </w:div>
    <w:div w:id="1953701615">
      <w:bodyDiv w:val="1"/>
      <w:marLeft w:val="0"/>
      <w:marRight w:val="0"/>
      <w:marTop w:val="0"/>
      <w:marBottom w:val="0"/>
      <w:divBdr>
        <w:top w:val="none" w:sz="0" w:space="0" w:color="auto"/>
        <w:left w:val="none" w:sz="0" w:space="0" w:color="auto"/>
        <w:bottom w:val="none" w:sz="0" w:space="0" w:color="auto"/>
        <w:right w:val="none" w:sz="0" w:space="0" w:color="auto"/>
      </w:divBdr>
    </w:div>
    <w:div w:id="202972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diagnostics12051216" TargetMode="External"/><Relationship Id="rId13" Type="http://schemas.openxmlformats.org/officeDocument/2006/relationships/hyperlink" Target="https://www.ruralhealthinfo.org/topics/community-paramedicine" TargetMode="External"/><Relationship Id="rId18" Type="http://schemas.openxmlformats.org/officeDocument/2006/relationships/hyperlink" Target="https://www.islandhealth.ca/our-services/hospital-home-services/hospital-home"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preprints.jmir.org/preprint/47416" TargetMode="External"/><Relationship Id="rId12" Type="http://schemas.openxmlformats.org/officeDocument/2006/relationships/hyperlink" Target="https://www.who.int/publications/i/item/9789240031593" TargetMode="External"/><Relationship Id="rId17" Type="http://schemas.openxmlformats.org/officeDocument/2006/relationships/hyperlink" Target="https://www.hospitalathome.org/" TargetMode="External"/><Relationship Id="rId2" Type="http://schemas.openxmlformats.org/officeDocument/2006/relationships/styles" Target="styles.xml"/><Relationship Id="rId16" Type="http://schemas.openxmlformats.org/officeDocument/2006/relationships/hyperlink" Target="https://catalyst.nejm.org/doi/pdf/10.1056/CAT.21.0237"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na.gov.ph/articles/1174445" TargetMode="External"/><Relationship Id="rId5" Type="http://schemas.openxmlformats.org/officeDocument/2006/relationships/footnotes" Target="footnotes.xml"/><Relationship Id="rId15" Type="http://schemas.openxmlformats.org/officeDocument/2006/relationships/hyperlink" Target="http://www.bcehs.ca/our-services/programs-services/community-paramedicine" TargetMode="External"/><Relationship Id="rId23" Type="http://schemas.openxmlformats.org/officeDocument/2006/relationships/theme" Target="theme/theme1.xml"/><Relationship Id="rId10" Type="http://schemas.openxmlformats.org/officeDocument/2006/relationships/hyperlink" Target="https://www.cdc.gov/ncezid/dpei/pdf/elc-enhancing-detection-expansion-faq-508.pdf" TargetMode="External"/><Relationship Id="rId19" Type="http://schemas.openxmlformats.org/officeDocument/2006/relationships/hyperlink" Target="https://www.ualberta.ca/folio/2020/02/virtual-hospital-cuts-ems-calls-er-visits-and-hospital-admissions-for-high-use-patients.html" TargetMode="External"/><Relationship Id="rId4" Type="http://schemas.openxmlformats.org/officeDocument/2006/relationships/webSettings" Target="webSettings.xml"/><Relationship Id="rId9" Type="http://schemas.openxmlformats.org/officeDocument/2006/relationships/hyperlink" Target="https://cityofdavis.org/coronavirus" TargetMode="External"/><Relationship Id="rId14" Type="http://schemas.openxmlformats.org/officeDocument/2006/relationships/hyperlink" Target="https://www.albertahealthservices.ca/ems/Page16487.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10645</Words>
  <Characters>60683</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Kost</dc:creator>
  <cp:keywords/>
  <dc:description/>
  <cp:lastModifiedBy>Gerald Kost</cp:lastModifiedBy>
  <cp:revision>2</cp:revision>
  <cp:lastPrinted>2023-07-18T18:17:00Z</cp:lastPrinted>
  <dcterms:created xsi:type="dcterms:W3CDTF">2023-07-18T22:08:00Z</dcterms:created>
  <dcterms:modified xsi:type="dcterms:W3CDTF">2023-07-18T22:08:00Z</dcterms:modified>
</cp:coreProperties>
</file>