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5CF32DCC" w:rsidP="364CCAFA" w:rsidRDefault="5CF32DCC" w14:paraId="10DF88D8" w14:textId="6F2F31A4">
      <w:pPr>
        <w:pStyle w:val="Normal"/>
        <w:spacing w:after="0" w:afterAutospacing="off"/>
        <w:jc w:val="center"/>
        <w:rPr>
          <w:rFonts w:ascii="Calibri" w:hAnsi="Calibri" w:eastAsia="Calibri" w:cs="Calibri" w:asciiTheme="minorAscii" w:hAnsiTheme="minorAscii" w:eastAsiaTheme="minorAscii" w:cstheme="minorAscii"/>
          <w:b w:val="1"/>
          <w:bCs w:val="1"/>
          <w:i w:val="0"/>
          <w:iCs w:val="0"/>
          <w:caps w:val="0"/>
          <w:smallCaps w:val="0"/>
          <w:noProof w:val="0"/>
          <w:color w:val="auto"/>
          <w:sz w:val="20"/>
          <w:szCs w:val="20"/>
          <w:u w:val="single"/>
          <w:lang w:val="en-US"/>
        </w:rPr>
      </w:pPr>
      <w:r w:rsidRPr="364CCAFA" w:rsidR="364CCAFA">
        <w:rPr>
          <w:rFonts w:ascii="Calibri" w:hAnsi="Calibri" w:eastAsia="Calibri" w:cs="Calibri" w:asciiTheme="minorAscii" w:hAnsiTheme="minorAscii" w:eastAsiaTheme="minorAscii" w:cstheme="minorAscii"/>
          <w:b w:val="1"/>
          <w:bCs w:val="1"/>
          <w:i w:val="0"/>
          <w:iCs w:val="0"/>
          <w:caps w:val="0"/>
          <w:smallCaps w:val="0"/>
          <w:noProof w:val="0"/>
          <w:color w:val="auto"/>
          <w:sz w:val="20"/>
          <w:szCs w:val="20"/>
          <w:u w:val="single"/>
          <w:lang w:val="en-US"/>
        </w:rPr>
        <w:t>Introduction of the International Association of Firefighters (IAFF) Center of Excellence (COE)</w:t>
      </w:r>
    </w:p>
    <w:p w:rsidR="5CF32DCC" w:rsidP="364CCAFA" w:rsidRDefault="5CF32DCC" w14:paraId="11319A78" w14:textId="2DE6CE3D">
      <w:pPr>
        <w:pStyle w:val="Normal"/>
        <w:spacing w:after="0" w:afterAutospacing="off"/>
        <w:jc w:val="center"/>
        <w:rPr>
          <w:rFonts w:ascii="Calibri" w:hAnsi="Calibri" w:eastAsia="Calibri" w:cs="Calibri" w:asciiTheme="minorAscii" w:hAnsiTheme="minorAscii" w:eastAsiaTheme="minorAscii" w:cstheme="minorAscii"/>
          <w:b w:val="1"/>
          <w:bCs w:val="1"/>
          <w:i w:val="0"/>
          <w:iCs w:val="0"/>
          <w:caps w:val="0"/>
          <w:smallCaps w:val="0"/>
          <w:noProof w:val="0"/>
          <w:color w:val="auto"/>
          <w:sz w:val="20"/>
          <w:szCs w:val="20"/>
          <w:u w:val="none"/>
          <w:lang w:val="en-US"/>
        </w:rPr>
      </w:pPr>
      <w:r w:rsidRPr="364CCAFA" w:rsidR="364CCAFA">
        <w:rPr>
          <w:rFonts w:ascii="Calibri" w:hAnsi="Calibri" w:eastAsia="Calibri" w:cs="Calibri" w:asciiTheme="minorAscii" w:hAnsiTheme="minorAscii" w:eastAsiaTheme="minorAscii" w:cstheme="minorAscii"/>
          <w:b w:val="1"/>
          <w:bCs w:val="1"/>
          <w:i w:val="0"/>
          <w:iCs w:val="0"/>
          <w:caps w:val="0"/>
          <w:smallCaps w:val="0"/>
          <w:noProof w:val="0"/>
          <w:color w:val="auto"/>
          <w:sz w:val="20"/>
          <w:szCs w:val="20"/>
          <w:u w:val="none"/>
          <w:lang w:val="en-US"/>
        </w:rPr>
        <w:t>Jessica Corey (LCPC, NCC)</w:t>
      </w:r>
    </w:p>
    <w:p w:rsidR="5CF32DCC" w:rsidP="364CCAFA" w:rsidRDefault="5CF32DCC" w14:paraId="2C39431B" w14:textId="50FC642E">
      <w:pPr>
        <w:pStyle w:val="Normal"/>
        <w:spacing w:after="0" w:afterAutospacing="off"/>
        <w:jc w:val="center"/>
        <w:rPr>
          <w:rFonts w:ascii="Calibri" w:hAnsi="Calibri" w:eastAsia="Calibri" w:cs="Calibri" w:asciiTheme="minorAscii" w:hAnsiTheme="minorAscii" w:eastAsiaTheme="minorAscii" w:cstheme="minorAscii"/>
          <w:b w:val="1"/>
          <w:bCs w:val="1"/>
          <w:i w:val="0"/>
          <w:iCs w:val="0"/>
          <w:caps w:val="0"/>
          <w:smallCaps w:val="0"/>
          <w:noProof w:val="0"/>
          <w:color w:val="auto"/>
          <w:sz w:val="20"/>
          <w:szCs w:val="20"/>
          <w:u w:val="none"/>
          <w:lang w:val="en-US"/>
        </w:rPr>
      </w:pPr>
    </w:p>
    <w:p xmlns:wp14="http://schemas.microsoft.com/office/word/2010/wordml" w:rsidP="4DD341DD" w14:paraId="288DB086" wp14:textId="40EB5D70">
      <w:pPr>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pPr>
      <w:r w:rsidRPr="4DD341DD" w:rsidR="4DD341DD">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The IAFF Center of Excellence for Behavioral Health Treatment and Recovery was </w:t>
      </w:r>
      <w:r w:rsidRPr="4DD341DD" w:rsidR="4DD341DD">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established</w:t>
      </w:r>
      <w:r w:rsidRPr="4DD341DD" w:rsidR="4DD341DD">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in 2008 as a collaboration between the International Association of Fire Fighters and Advanced Recovery Systems to </w:t>
      </w:r>
      <w:r w:rsidRPr="4DD341DD" w:rsidR="4DD341DD">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provide</w:t>
      </w:r>
      <w:r w:rsidRPr="4DD341DD" w:rsidR="4DD341DD">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a specialized treatment facility to treat the </w:t>
      </w:r>
      <w:r w:rsidRPr="4DD341DD" w:rsidR="4DD341DD">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firefighting</w:t>
      </w:r>
      <w:r w:rsidRPr="4DD341DD" w:rsidR="4DD341DD">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community, including fire fighters, paramedics, EMTs, and dispatch. The center offers treatment ranging from detoxification services, residential, partial hospitalization, intensive outpatient, and telehealth outpatient. The participants within this study were part of residential, partial hospitalization, and intensive outpatient programs.</w:t>
      </w:r>
    </w:p>
    <w:p xmlns:wp14="http://schemas.microsoft.com/office/word/2010/wordml" w:rsidP="364CCAFA" w14:paraId="4085B603" wp14:textId="42B5706A">
      <w:pPr>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pP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A firefighter's standard length of stay in treatment </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generally averages</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out to about 35 calendar days. Programming at the residential level of care includes 7 days of programming, for approximately 6 </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hrs</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a day. Sunday is the exception to this with 4.5 </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hrs</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of programming. Partial hospitalization </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patients</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program 6 days a week, 6 </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hrs</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a day; </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whereas</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intensive outpatient participants program at 5 days a week, 3 </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hrs</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a day.</w:t>
      </w:r>
    </w:p>
    <w:p xmlns:wp14="http://schemas.microsoft.com/office/word/2010/wordml" w:rsidP="364CCAFA" w14:paraId="1469D662" wp14:textId="23D28421">
      <w:pPr>
        <w:rPr>
          <w:rFonts w:ascii="Calibri" w:hAnsi="Calibri" w:eastAsia="Calibri" w:cs="Calibri" w:asciiTheme="minorAscii" w:hAnsiTheme="minorAscii" w:eastAsiaTheme="minorAscii" w:cstheme="minorAscii"/>
          <w:color w:val="auto"/>
          <w:sz w:val="20"/>
          <w:szCs w:val="20"/>
        </w:rPr>
      </w:pP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Treatment is structured to include access to medication management, medical and nursing resources, and clinical programming to help treat dual diagnosis populations. Clinical programming is broken down into groups according to level of care; specialized trauma groups for those with a PTSD diagnosis; individual sessions; and family sessions. After programming resources including access to 12-step groups, alumni-inclusive peer support groups, exercise facilities, yoga, and tai chi. </w:t>
      </w:r>
    </w:p>
    <w:p xmlns:wp14="http://schemas.microsoft.com/office/word/2010/wordml" w:rsidP="364CCAFA" w14:paraId="1BF4BCA9" wp14:textId="6B248054">
      <w:pPr>
        <w:rPr>
          <w:rFonts w:ascii="Calibri" w:hAnsi="Calibri" w:eastAsia="Calibri" w:cs="Calibri" w:asciiTheme="minorAscii" w:hAnsiTheme="minorAscii" w:eastAsiaTheme="minorAscii" w:cstheme="minorAscii"/>
          <w:color w:val="auto"/>
          <w:sz w:val="20"/>
          <w:szCs w:val="20"/>
        </w:rPr>
      </w:pP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The vast majority of</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programming time is dedicated to group work, which is structured to include interventions derived from dialectical behavioral therapy, cognitive behavioral therapy, cognitive processing therapy, acceptance and commitment therapy, and recreational therapy. </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Additional</w:t>
      </w: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curriculums on resilience, wellness, relational communication, and diagnostic psychoeducation rounded out the group structure.</w:t>
      </w:r>
    </w:p>
    <w:p xmlns:wp14="http://schemas.microsoft.com/office/word/2010/wordml" w:rsidP="364CCAFA" w14:paraId="2C078E63" wp14:textId="3743E9C9">
      <w:pPr>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pPr>
      <w:r w:rsidRPr="364CCAFA" w:rsidR="364CCAFA">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External programming and resources are also made available to patients as needed, via referrals from medical staff. Such programs include stellate ganglion blocks, pain management, biofeedback.</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37e70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DD8A11"/>
    <w:rsid w:val="364CCAFA"/>
    <w:rsid w:val="37DD8A11"/>
    <w:rsid w:val="4DD341DD"/>
    <w:rsid w:val="5CF32DCC"/>
    <w:rsid w:val="65A870E7"/>
    <w:rsid w:val="6E2F7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D8A11"/>
  <w15:chartTrackingRefBased/>
  <w15:docId w15:val="{6A1F185F-244A-4E75-ADA2-C647324059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3607e16d294641f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2023-03-30T22:34:19.9242506Z</dcterms:created>
  <dcterms:modified xsi:type="dcterms:W3CDTF">2023-07-18T17:15:32.6371469Z</dcterms:modified>
  <dc:creator>Pritha Saha</dc:creator>
  <lastModifiedBy>Pritha Saha</lastModifiedBy>
</coreProperties>
</file>