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FDC4A55" w14:paraId="2AADD60D" wp14:textId="5E81AD2C">
      <w:pPr>
        <w:pStyle w:val="Normal"/>
        <w:spacing w:after="160" w:afterAutospacing="off" w:line="257" w:lineRule="auto"/>
        <w:ind w:firstLine="0"/>
        <w:jc w:val="center"/>
        <w:rPr>
          <w:rFonts w:ascii="Calibri" w:hAnsi="Calibri" w:eastAsia="Calibri" w:cs="Calibri"/>
          <w:b w:val="1"/>
          <w:bCs w:val="1"/>
          <w:noProof w:val="0"/>
          <w:color w:val="000000" w:themeColor="text1" w:themeTint="FF" w:themeShade="FF"/>
          <w:sz w:val="22"/>
          <w:szCs w:val="22"/>
          <w:u w:val="single"/>
          <w:lang w:val="en-US"/>
        </w:rPr>
      </w:pPr>
      <w:r w:rsidRPr="3FDC4A55" w:rsidR="3FDC4A55">
        <w:rPr>
          <w:rFonts w:ascii="Calibri" w:hAnsi="Calibri" w:eastAsia="Calibri" w:cs="Calibri"/>
          <w:b w:val="1"/>
          <w:bCs w:val="1"/>
          <w:noProof w:val="0"/>
          <w:color w:val="000000" w:themeColor="text1" w:themeTint="FF" w:themeShade="FF"/>
          <w:sz w:val="22"/>
          <w:szCs w:val="22"/>
          <w:u w:val="single"/>
          <w:lang w:val="en-US"/>
        </w:rPr>
        <w:t xml:space="preserve">Blink Reflex (BR)/Acoustic Startle Response (ASR) and Post-Traumatic Stress Disorder </w:t>
      </w:r>
    </w:p>
    <w:p xmlns:wp14="http://schemas.microsoft.com/office/word/2010/wordml" w:rsidP="3FDC4A55" w14:paraId="00A77682" wp14:textId="6F08B7B4">
      <w:pPr>
        <w:pStyle w:val="Normal"/>
        <w:spacing w:after="160" w:afterAutospacing="off" w:line="257" w:lineRule="auto"/>
        <w:ind w:firstLine="0"/>
        <w:jc w:val="center"/>
        <w:rPr>
          <w:rFonts w:ascii="Calibri" w:hAnsi="Calibri" w:eastAsia="Calibri" w:cs="Calibri"/>
          <w:b w:val="1"/>
          <w:bCs w:val="1"/>
          <w:noProof w:val="0"/>
          <w:color w:val="000000" w:themeColor="text1" w:themeTint="FF" w:themeShade="FF"/>
          <w:sz w:val="22"/>
          <w:szCs w:val="22"/>
          <w:u w:val="none"/>
          <w:lang w:val="en-US"/>
        </w:rPr>
      </w:pPr>
      <w:r w:rsidRPr="3FDC4A55" w:rsidR="3FDC4A55">
        <w:rPr>
          <w:rFonts w:ascii="Calibri" w:hAnsi="Calibri" w:eastAsia="Calibri" w:cs="Calibri"/>
          <w:b w:val="1"/>
          <w:bCs w:val="1"/>
          <w:noProof w:val="0"/>
          <w:color w:val="000000" w:themeColor="text1" w:themeTint="FF" w:themeShade="FF"/>
          <w:sz w:val="22"/>
          <w:szCs w:val="22"/>
          <w:u w:val="none"/>
          <w:lang w:val="en-US"/>
        </w:rPr>
        <w:t>Pritha Saha</w:t>
      </w:r>
    </w:p>
    <w:p xmlns:wp14="http://schemas.microsoft.com/office/word/2010/wordml" w:rsidP="3FDC4A55" w14:paraId="345D7A01" wp14:textId="5B085E92">
      <w:pPr>
        <w:spacing w:after="160" w:afterAutospacing="off" w:line="257" w:lineRule="auto"/>
        <w:ind w:firstLine="720"/>
      </w:pPr>
      <w:r w:rsidRPr="3FDC4A55" w:rsidR="3FDC4A55">
        <w:rPr>
          <w:rFonts w:ascii="Calibri" w:hAnsi="Calibri" w:eastAsia="Calibri" w:cs="Calibri"/>
          <w:noProof w:val="0"/>
          <w:color w:val="000000" w:themeColor="text1" w:themeTint="FF" w:themeShade="FF"/>
          <w:sz w:val="22"/>
          <w:szCs w:val="22"/>
          <w:lang w:val="en-US"/>
        </w:rPr>
        <w:t>The acoustic startle response (ASR) is a reflex of defensive muscular activity elicited by acoustic stimuli, characterized in humans by a whole-body startle reflex and blink response.</w:t>
      </w:r>
      <w:r w:rsidRPr="3FDC4A55" w:rsidR="3FDC4A55">
        <w:rPr>
          <w:rFonts w:ascii="Calibri" w:hAnsi="Calibri" w:eastAsia="Calibri" w:cs="Calibri"/>
          <w:noProof w:val="0"/>
          <w:color w:val="000000" w:themeColor="text1" w:themeTint="FF" w:themeShade="FF"/>
          <w:sz w:val="22"/>
          <w:szCs w:val="22"/>
          <w:lang w:val="en-US"/>
        </w:rPr>
        <w:t xml:space="preserve"> After the </w:t>
      </w:r>
      <w:r w:rsidRPr="3FDC4A55" w:rsidR="3FDC4A55">
        <w:rPr>
          <w:rFonts w:ascii="Calibri" w:hAnsi="Calibri" w:eastAsia="Calibri" w:cs="Calibri"/>
          <w:noProof w:val="0"/>
          <w:color w:val="000000" w:themeColor="text1" w:themeTint="FF" w:themeShade="FF"/>
          <w:sz w:val="22"/>
          <w:szCs w:val="22"/>
          <w:lang w:val="en-US"/>
        </w:rPr>
        <w:t>initial</w:t>
      </w:r>
      <w:r w:rsidRPr="3FDC4A55" w:rsidR="3FDC4A55">
        <w:rPr>
          <w:rFonts w:ascii="Calibri" w:hAnsi="Calibri" w:eastAsia="Calibri" w:cs="Calibri"/>
          <w:noProof w:val="0"/>
          <w:color w:val="000000" w:themeColor="text1" w:themeTint="FF" w:themeShade="FF"/>
          <w:sz w:val="22"/>
          <w:szCs w:val="22"/>
          <w:lang w:val="en-US"/>
        </w:rPr>
        <w:t xml:space="preserve"> application of an acoustic sound probe, within 30-50 seconds, an involuntary blink response (BR) results from a contraction of the orbicularis oculi muscle (Lang, 1990). In humans, BR can be characterized by its velocity, amplitude, habituation, and pre-pulse inhibition and these traits may differ across populations. Habituation is the reduction of the BR's amplitude after repeated presentation of the same acoustic stimulus over a test session. Although a normal BR habituates quickly, it rapidly dishabituates as well, </w:t>
      </w:r>
      <w:r w:rsidRPr="3FDC4A55" w:rsidR="3FDC4A55">
        <w:rPr>
          <w:rFonts w:ascii="Calibri" w:hAnsi="Calibri" w:eastAsia="Calibri" w:cs="Calibri"/>
          <w:noProof w:val="0"/>
          <w:color w:val="000000" w:themeColor="text1" w:themeTint="FF" w:themeShade="FF"/>
          <w:sz w:val="22"/>
          <w:szCs w:val="22"/>
          <w:lang w:val="en-US"/>
        </w:rPr>
        <w:t>maintaining</w:t>
      </w:r>
      <w:r w:rsidRPr="3FDC4A55" w:rsidR="3FDC4A55">
        <w:rPr>
          <w:rFonts w:ascii="Calibri" w:hAnsi="Calibri" w:eastAsia="Calibri" w:cs="Calibri"/>
          <w:noProof w:val="0"/>
          <w:color w:val="000000" w:themeColor="text1" w:themeTint="FF" w:themeShade="FF"/>
          <w:sz w:val="22"/>
          <w:szCs w:val="22"/>
          <w:lang w:val="en-US"/>
        </w:rPr>
        <w:t xml:space="preserve"> continuity as a potential biomarker (Lang et al., 1990). While the BR has stable characteristics, its properties can change under experimental paradigms such as postural condition (i.e., sitting or standing) (Gowen, 2020) or the nature of paired stimuli (e.g., its emotional context, interest value, or sensory modality), that may be presented pre-pulse or in concert with the initial sound probe (Lang et al., 1990; Braff et al., 2001). As such, the classification of BR in diverse contexts has implications for </w:t>
      </w:r>
      <w:r w:rsidRPr="3FDC4A55" w:rsidR="3FDC4A55">
        <w:rPr>
          <w:rFonts w:ascii="Calibri" w:hAnsi="Calibri" w:eastAsia="Calibri" w:cs="Calibri"/>
          <w:noProof w:val="0"/>
          <w:color w:val="000000" w:themeColor="text1" w:themeTint="FF" w:themeShade="FF"/>
          <w:sz w:val="22"/>
          <w:szCs w:val="22"/>
          <w:lang w:val="en-US"/>
        </w:rPr>
        <w:t>establishing</w:t>
      </w:r>
      <w:r w:rsidRPr="3FDC4A55" w:rsidR="3FDC4A55">
        <w:rPr>
          <w:rFonts w:ascii="Calibri" w:hAnsi="Calibri" w:eastAsia="Calibri" w:cs="Calibri"/>
          <w:noProof w:val="0"/>
          <w:color w:val="000000" w:themeColor="text1" w:themeTint="FF" w:themeShade="FF"/>
          <w:sz w:val="22"/>
          <w:szCs w:val="22"/>
          <w:lang w:val="en-US"/>
        </w:rPr>
        <w:t xml:space="preserve"> baseline measures of this possible surrogate biomarker in a wide range of neurological and mental disorders. </w:t>
      </w:r>
    </w:p>
    <w:p xmlns:wp14="http://schemas.microsoft.com/office/word/2010/wordml" w:rsidP="3FDC4A55" w14:paraId="10319DE9" wp14:textId="0FB9839C">
      <w:pPr>
        <w:spacing w:after="160" w:afterAutospacing="off" w:line="257" w:lineRule="auto"/>
        <w:ind w:firstLine="720"/>
      </w:pPr>
      <w:r w:rsidRPr="3FDC4A55" w:rsidR="3FDC4A55">
        <w:rPr>
          <w:rFonts w:ascii="Calibri" w:hAnsi="Calibri" w:eastAsia="Calibri" w:cs="Calibri"/>
          <w:noProof w:val="0"/>
          <w:color w:val="000000" w:themeColor="text1" w:themeTint="FF" w:themeShade="FF"/>
          <w:sz w:val="22"/>
          <w:szCs w:val="22"/>
          <w:lang w:val="en-US"/>
        </w:rPr>
        <w:t>In studies of post-traumatic stress disorder (PTSD), specifically, there have been conflicting results regarding distinct characteristics of the BR. As presented by Braff and colleagues (2001), some studies no difference between PTSD and control populations, and others claim a stronger startle response with high velocity or amplitude, distinct habituation, or a reduced pre-pulse inhibition (PPI) (Butler et al. 1990; Grillon et al. 1996, 1998; Morgan et al. 1996; Ornitz and Pynoos, 1989). However, across these studies there is questionable methodology. For example, in studies of exaggerated startle response or abnormal habituation, past investigations have studied children with PTSD who may have a distinct BR from adults (Morgan et al., 1996); measured BR frequency rather than amplitude (Morgan et al., 1996); and included participants on psychoactive medications that may depress or sensitize the BR (Morgan et al., 1996). These confounding variables across methodologies muddle information that can be extracted from the blink response and prevent assertion of baseline traits for a characteristic PTSD blink response. Accordingly, this study sought to characterize the blink response in a population of first responders with PTSD through unpaired acoustic stimuli, only varying sitting or standing conditions.</w:t>
      </w:r>
    </w:p>
    <w:p xmlns:wp14="http://schemas.microsoft.com/office/word/2010/wordml" w:rsidP="3FDC4A55" w14:paraId="65CC2587" wp14:textId="07227CA0">
      <w:pPr>
        <w:spacing w:after="160" w:afterAutospacing="off" w:line="257" w:lineRule="auto"/>
        <w:ind w:firstLine="720"/>
      </w:pPr>
      <w:r w:rsidRPr="3FDC4A55" w:rsidR="3FDC4A55">
        <w:rPr>
          <w:rFonts w:ascii="Calibri" w:hAnsi="Calibri" w:eastAsia="Calibri" w:cs="Calibri"/>
          <w:noProof w:val="0"/>
          <w:color w:val="000000" w:themeColor="text1" w:themeTint="FF" w:themeShade="FF"/>
          <w:sz w:val="22"/>
          <w:szCs w:val="22"/>
          <w:lang w:val="en-US"/>
        </w:rPr>
        <w:t xml:space="preserve">We </w:t>
      </w:r>
      <w:r w:rsidRPr="3FDC4A55" w:rsidR="3FDC4A55">
        <w:rPr>
          <w:rFonts w:ascii="Calibri" w:hAnsi="Calibri" w:eastAsia="Calibri" w:cs="Calibri"/>
          <w:noProof w:val="0"/>
          <w:color w:val="000000" w:themeColor="text1" w:themeTint="FF" w:themeShade="FF"/>
          <w:sz w:val="22"/>
          <w:szCs w:val="22"/>
          <w:lang w:val="en-US"/>
        </w:rPr>
        <w:t>sought</w:t>
      </w:r>
      <w:r w:rsidRPr="3FDC4A55" w:rsidR="3FDC4A55">
        <w:rPr>
          <w:rFonts w:ascii="Calibri" w:hAnsi="Calibri" w:eastAsia="Calibri" w:cs="Calibri"/>
          <w:noProof w:val="0"/>
          <w:color w:val="000000" w:themeColor="text1" w:themeTint="FF" w:themeShade="FF"/>
          <w:sz w:val="22"/>
          <w:szCs w:val="22"/>
          <w:lang w:val="en-US"/>
        </w:rPr>
        <w:t xml:space="preserve"> to implement a novel means of characterizing BR through a mobile system—the Mobile Acoustic Startle Reflex-monitoring System (MARS). Currently, clinical settings </w:t>
      </w:r>
      <w:r w:rsidRPr="3FDC4A55" w:rsidR="3FDC4A55">
        <w:rPr>
          <w:rFonts w:ascii="Calibri" w:hAnsi="Calibri" w:eastAsia="Calibri" w:cs="Calibri"/>
          <w:noProof w:val="0"/>
          <w:color w:val="000000" w:themeColor="text1" w:themeTint="FF" w:themeShade="FF"/>
          <w:sz w:val="22"/>
          <w:szCs w:val="22"/>
          <w:lang w:val="en-US"/>
        </w:rPr>
        <w:t>generally characterize</w:t>
      </w:r>
      <w:r w:rsidRPr="3FDC4A55" w:rsidR="3FDC4A55">
        <w:rPr>
          <w:rFonts w:ascii="Calibri" w:hAnsi="Calibri" w:eastAsia="Calibri" w:cs="Calibri"/>
          <w:noProof w:val="0"/>
          <w:color w:val="000000" w:themeColor="text1" w:themeTint="FF" w:themeShade="FF"/>
          <w:sz w:val="22"/>
          <w:szCs w:val="22"/>
          <w:lang w:val="en-US"/>
        </w:rPr>
        <w:t xml:space="preserve"> BR through electromyography (EMG) recording of the orbicularis oculi muscle which requires a controlled clinical setting and wired electrodes (Gowen, 2020; Lang et al., 1990; Morgan et al., 1996; McTeague et al., 2010). In contrast, recording the BR’s velocity and amplitude with a mobile system would enable a more accessible BR evaluation, with applications in telehealth and disability accommodation as BR could be conducted at home and over the phone (Gowen, 2020).</w:t>
      </w:r>
    </w:p>
    <w:p xmlns:wp14="http://schemas.microsoft.com/office/word/2010/wordml" w:rsidP="3FDC4A55" w14:paraId="04591D75" wp14:textId="0E80B119">
      <w:pPr>
        <w:pStyle w:val="Normal"/>
        <w:spacing w:after="160" w:afterAutospacing="off" w:line="257" w:lineRule="auto"/>
        <w:ind w:firstLine="720"/>
        <w:rPr>
          <w:rFonts w:ascii="Calibri" w:hAnsi="Calibri" w:eastAsia="Calibri" w:cs="Calibri"/>
          <w:noProof w:val="0"/>
          <w:color w:val="000000" w:themeColor="text1" w:themeTint="FF" w:themeShade="FF"/>
          <w:sz w:val="22"/>
          <w:szCs w:val="22"/>
          <w:lang w:val="en-US"/>
        </w:rPr>
      </w:pPr>
    </w:p>
    <w:p xmlns:wp14="http://schemas.microsoft.com/office/word/2010/wordml" w14:paraId="0598C55B" wp14:textId="00D242BD">
      <w:r>
        <w:br w:type="page"/>
      </w:r>
    </w:p>
    <w:p xmlns:wp14="http://schemas.microsoft.com/office/word/2010/wordml" w:rsidP="3FDC4A55" w14:paraId="1AA1C6DC" wp14:textId="5DA84A80">
      <w:pPr>
        <w:spacing w:before="0" w:beforeAutospacing="off" w:after="173" w:afterAutospacing="off"/>
        <w:jc w:val="center"/>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References</w:t>
      </w:r>
    </w:p>
    <w:p xmlns:wp14="http://schemas.microsoft.com/office/word/2010/wordml" w:rsidP="3FDC4A55" w14:paraId="02A4A3FD" wp14:textId="55EE2BA7">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Braff, D. L., Geyer, M. A., &amp; Swerdlow, N. R. (2001). Human studies of prepulse inhibition of startle: normal subjects, patient groups, and pharmacological studies.</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Psychopharmacology,</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156</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(2-3), 234-258. 10.1007/s002130100810</w:t>
      </w:r>
    </w:p>
    <w:p xmlns:wp14="http://schemas.microsoft.com/office/word/2010/wordml" w:rsidP="3FDC4A55" w14:paraId="10F267DC" wp14:textId="173E185D">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Gowen, C. L., Khwaounjoo, P., &amp; Cakmak, Y. O. (2020). EMG-Free Monitorization of the Acoustic Startle Reflex with a Mobile Phone: Implications of Sound Parameters with Posture Related Responses.</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Sensors (Basel, Switzerland),</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20</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(21), 5996. doi: 10.3390/s20215996. 10.3390/s20215996</w:t>
      </w:r>
    </w:p>
    <w:p xmlns:wp14="http://schemas.microsoft.com/office/word/2010/wordml" w:rsidP="3FDC4A55" w14:paraId="6BAAC61A" wp14:textId="0814300B">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Grillon, C., Morgan, C. A., Southwick, S. M., Davis, M., &amp; Charney, D. S. (1996). Baseline startle amplitude and prepulse inhibition in Vietnam veterans with posttraumatic stress disorder.</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Psychiatry Research,</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64</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(3), 169-178. 10.1016/s0165-1781(96)02942-3</w:t>
      </w:r>
    </w:p>
    <w:p xmlns:wp14="http://schemas.microsoft.com/office/word/2010/wordml" w:rsidP="3FDC4A55" w14:paraId="79930F55" wp14:textId="46ECD8C2">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Kohl, S., Heekeren, K., Klosterkötter, J., &amp; Kuhn, J. (2013). Prepulse inhibition in psychiatric disorders – Apart from schizophrenia.</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Journal of Psychiatric Research,</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47</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(4), 445-452. 10.1016/j.jpsychires.2012.11.018</w:t>
      </w:r>
    </w:p>
    <w:p xmlns:wp14="http://schemas.microsoft.com/office/word/2010/wordml" w:rsidP="3FDC4A55" w14:paraId="1F9D8099" wp14:textId="15A98624">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Lang, P. J., Bradley, M. M., &amp; Cuthbert, B. N. (1990). Emotion, attention, and the startle reflex.</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Psychological Review,</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97</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(3), 377-395. 10.1037/0033-295X.97.3.377</w:t>
      </w:r>
    </w:p>
    <w:p xmlns:wp14="http://schemas.microsoft.com/office/word/2010/wordml" w:rsidP="3FDC4A55" w14:paraId="1B110062" wp14:textId="6A053E84">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McTeague, L. M., Lang, P. J., Laplante, M., Cuthbert, B. N., Shumen, J. R., &amp; Bradley, M. M. (2010). Aversive Imagery in Posttraumatic Stress Disorder: Trauma Recurrence, Comorbidity, and Physiological Reactivity.</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Biological Psychiatry,</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67</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(4), 346-356. 10.1016/j.biopsych.2009.08.023</w:t>
      </w:r>
    </w:p>
    <w:p xmlns:wp14="http://schemas.microsoft.com/office/word/2010/wordml" w:rsidP="3FDC4A55" w14:paraId="66871347" wp14:textId="56D39248">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Morgan, C. A. 3., Grillon, C., Southwick, S. M., Davis, M., &amp; Charney, D. S. (1996). Exaggerated acoustic startle reflex in Gulf War veterans with posttraumatic stress disorder.</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The American Journal of Psychiatry,</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153</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(1), 64-68. 10.1176/ajp.153.1.64</w:t>
      </w:r>
    </w:p>
    <w:p xmlns:wp14="http://schemas.microsoft.com/office/word/2010/wordml" w:rsidP="3FDC4A55" w14:paraId="189D43AB" wp14:textId="24881092">
      <w:pPr>
        <w:spacing w:before="0" w:beforeAutospacing="off" w:after="173" w:afterAutospacing="off"/>
        <w:ind w:left="450" w:hanging="450"/>
      </w:pP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Ornitz, E. M., &amp; Pynoos, R. S. (1989). Startle modulation in children with posttraumatic stress disorder.</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The American Journal of Psychiatry,</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 xml:space="preserve"> </w:t>
      </w:r>
      <w:r w:rsidRPr="3FDC4A55" w:rsidR="3FDC4A55">
        <w:rPr>
          <w:rFonts w:ascii="Roboto" w:hAnsi="Roboto" w:eastAsia="Roboto" w:cs="Roboto"/>
          <w:b w:val="0"/>
          <w:bCs w:val="0"/>
          <w:i w:val="1"/>
          <w:iCs w:val="1"/>
          <w:caps w:val="0"/>
          <w:smallCaps w:val="0"/>
          <w:noProof w:val="0"/>
          <w:color w:val="000000" w:themeColor="text1" w:themeTint="FF" w:themeShade="FF"/>
          <w:sz w:val="21"/>
          <w:szCs w:val="21"/>
          <w:lang w:val="en-US"/>
        </w:rPr>
        <w:t>146</w:t>
      </w:r>
      <w:r w:rsidRPr="3FDC4A55" w:rsidR="3FDC4A55">
        <w:rPr>
          <w:rFonts w:ascii="Roboto" w:hAnsi="Roboto" w:eastAsia="Roboto" w:cs="Roboto"/>
          <w:b w:val="0"/>
          <w:bCs w:val="0"/>
          <w:i w:val="0"/>
          <w:iCs w:val="0"/>
          <w:caps w:val="0"/>
          <w:smallCaps w:val="0"/>
          <w:noProof w:val="0"/>
          <w:color w:val="000000" w:themeColor="text1" w:themeTint="FF" w:themeShade="FF"/>
          <w:sz w:val="21"/>
          <w:szCs w:val="21"/>
          <w:lang w:val="en-US"/>
        </w:rPr>
        <w:t>(7), 866-870. 10.1176/ajp.146.7.866</w:t>
      </w:r>
    </w:p>
    <w:p xmlns:wp14="http://schemas.microsoft.com/office/word/2010/wordml" w:rsidP="3FDC4A55" w14:paraId="2C078E63" wp14:textId="762A3C83">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9a1dfe1"/>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C42755"/>
    <w:rsid w:val="3FDC4A55"/>
    <w:rsid w:val="76C42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2755"/>
  <w15:chartTrackingRefBased/>
  <w15:docId w15:val="{72F62101-D117-449C-8BF1-AE2EF25775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5f31f3ae6e34c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2023-06-29T21:58:49.4803259Z</dcterms:created>
  <dcterms:modified xsi:type="dcterms:W3CDTF">2023-06-29T22:09:27.3136581Z</dcterms:modified>
  <dc:creator>Pritha Saha</dc:creator>
  <lastModifiedBy>Pritha Saha</lastModifiedBy>
</coreProperties>
</file>