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C715AB" w14:textId="77777777" w:rsidR="00E12831" w:rsidRPr="009D7D25" w:rsidRDefault="00E12831" w:rsidP="00E12831">
      <w:pPr>
        <w:rPr>
          <w:rFonts w:cstheme="minorHAnsi"/>
          <w:b/>
          <w:bCs/>
          <w:sz w:val="36"/>
          <w:szCs w:val="36"/>
          <w:lang w:val="en-GB"/>
        </w:rPr>
      </w:pPr>
      <w:r w:rsidRPr="009D7D25">
        <w:rPr>
          <w:rFonts w:cstheme="minorHAnsi"/>
          <w:b/>
          <w:bCs/>
          <w:sz w:val="36"/>
          <w:szCs w:val="36"/>
          <w:lang w:val="en-GB"/>
        </w:rPr>
        <w:t>Appendix</w:t>
      </w:r>
    </w:p>
    <w:p w14:paraId="4F973FC0" w14:textId="77777777" w:rsidR="00E12831" w:rsidRPr="009D7D25" w:rsidRDefault="00E12831" w:rsidP="00E12831">
      <w:pPr>
        <w:rPr>
          <w:rFonts w:cstheme="minorHAnsi"/>
          <w:lang w:val="en-GB"/>
        </w:rPr>
      </w:pPr>
    </w:p>
    <w:p w14:paraId="787581B0" w14:textId="77777777" w:rsidR="00E12831" w:rsidRPr="009D7D25" w:rsidRDefault="00E12831" w:rsidP="00E12831">
      <w:pPr>
        <w:rPr>
          <w:rFonts w:cstheme="minorHAnsi"/>
          <w:b/>
          <w:bCs/>
          <w:sz w:val="24"/>
          <w:szCs w:val="24"/>
          <w:lang w:val="en-GB"/>
        </w:rPr>
      </w:pPr>
      <w:r w:rsidRPr="009D7D25">
        <w:rPr>
          <w:rFonts w:cstheme="minorHAnsi"/>
          <w:b/>
          <w:bCs/>
          <w:sz w:val="24"/>
          <w:szCs w:val="24"/>
          <w:lang w:val="en-GB"/>
        </w:rPr>
        <w:t>Literature review</w:t>
      </w:r>
    </w:p>
    <w:p w14:paraId="4EFD2E14" w14:textId="77777777" w:rsidR="00E12831" w:rsidRPr="009D7D25" w:rsidRDefault="00E12831" w:rsidP="00E12831">
      <w:pPr>
        <w:rPr>
          <w:rFonts w:cstheme="minorHAnsi"/>
          <w:b/>
          <w:bCs/>
          <w:lang w:val="en-GB"/>
        </w:rPr>
      </w:pPr>
      <w:r w:rsidRPr="009D7D25">
        <w:rPr>
          <w:rFonts w:cstheme="minorHAnsi"/>
          <w:lang w:val="en-GB"/>
        </w:rPr>
        <w:t>This section presents an overview of the characteristics of the hard-to-abate sectors (transport, focusing on aviation and shipping (1), industry and materials (2), buildings (3) and agriculture and non-CO</w:t>
      </w:r>
      <w:r w:rsidRPr="009D7D25">
        <w:rPr>
          <w:rFonts w:cstheme="minorHAnsi"/>
          <w:vertAlign w:val="subscript"/>
          <w:lang w:val="en-GB"/>
        </w:rPr>
        <w:t>2</w:t>
      </w:r>
      <w:r w:rsidRPr="009D7D25">
        <w:rPr>
          <w:rFonts w:cstheme="minorHAnsi"/>
          <w:lang w:val="en-GB"/>
        </w:rPr>
        <w:t xml:space="preserve"> emissions (4)), based on literature review. The purpose is to gain understanding of why it so difficult in these sectors to achieve net-zero emissions and to identify possible policies and measures that can address these obstacles. </w:t>
      </w:r>
    </w:p>
    <w:p w14:paraId="61DD99E5" w14:textId="77777777" w:rsidR="00E12831" w:rsidRPr="00783228" w:rsidRDefault="00E12831" w:rsidP="00E12831">
      <w:pPr>
        <w:pStyle w:val="Alternatievetekst"/>
        <w:numPr>
          <w:ilvl w:val="0"/>
          <w:numId w:val="1"/>
        </w:numPr>
        <w:rPr>
          <w:rFonts w:asciiTheme="minorHAnsi" w:hAnsiTheme="minorHAnsi" w:cstheme="minorHAnsi"/>
          <w:b/>
          <w:bCs/>
          <w:color w:val="auto"/>
          <w:sz w:val="24"/>
          <w:szCs w:val="24"/>
          <w:lang w:val="en-US"/>
        </w:rPr>
      </w:pPr>
      <w:bookmarkStart w:id="0" w:name="_Toc107224134"/>
      <w:bookmarkStart w:id="1" w:name="_Toc104543687"/>
      <w:r w:rsidRPr="00783228">
        <w:rPr>
          <w:rFonts w:asciiTheme="minorHAnsi" w:hAnsiTheme="minorHAnsi" w:cstheme="minorHAnsi"/>
          <w:b/>
          <w:bCs/>
          <w:color w:val="auto"/>
          <w:sz w:val="24"/>
          <w:szCs w:val="24"/>
          <w:lang w:val="en-US"/>
        </w:rPr>
        <w:t>Transport: aviation and shipping</w:t>
      </w:r>
      <w:bookmarkEnd w:id="0"/>
      <w:bookmarkEnd w:id="1"/>
    </w:p>
    <w:p w14:paraId="0D65BDDC" w14:textId="77777777" w:rsidR="00E12831" w:rsidRPr="009D7D25" w:rsidRDefault="00E12831" w:rsidP="00E12831">
      <w:pPr>
        <w:pStyle w:val="Alternatievetekst"/>
        <w:rPr>
          <w:rFonts w:asciiTheme="minorHAnsi" w:hAnsiTheme="minorHAnsi" w:cstheme="minorHAnsi"/>
          <w:i/>
          <w:iCs/>
          <w:color w:val="auto"/>
          <w:lang w:val="en-GB"/>
        </w:rPr>
      </w:pPr>
      <w:r w:rsidRPr="009D7D25">
        <w:rPr>
          <w:rFonts w:asciiTheme="minorHAnsi" w:hAnsiTheme="minorHAnsi" w:cstheme="minorHAnsi"/>
          <w:i/>
          <w:iCs/>
          <w:color w:val="auto"/>
          <w:lang w:val="en-GB"/>
        </w:rPr>
        <w:t>Overview of the sector and its complexities</w:t>
      </w:r>
    </w:p>
    <w:p w14:paraId="13316855" w14:textId="77777777" w:rsidR="00E12831" w:rsidRPr="009D7D25" w:rsidRDefault="00E12831" w:rsidP="00E12831">
      <w:pPr>
        <w:pStyle w:val="KopTopischGroot"/>
        <w:rPr>
          <w:rFonts w:asciiTheme="minorHAnsi" w:hAnsiTheme="minorHAnsi" w:cstheme="minorHAnsi"/>
          <w:color w:val="auto"/>
          <w:lang w:val="en-GB"/>
        </w:rPr>
      </w:pPr>
      <w:r w:rsidRPr="009D7D25">
        <w:rPr>
          <w:rFonts w:asciiTheme="minorHAnsi" w:hAnsiTheme="minorHAnsi" w:cstheme="minorHAnsi"/>
          <w:color w:val="auto"/>
          <w:lang w:val="en-GB"/>
        </w:rPr>
        <w:t>Aviation</w:t>
      </w:r>
    </w:p>
    <w:p w14:paraId="697C3C53" w14:textId="77777777" w:rsidR="00E12831" w:rsidRPr="009D7D25" w:rsidRDefault="00E12831" w:rsidP="00E12831">
      <w:pPr>
        <w:rPr>
          <w:rFonts w:eastAsia="Calibri" w:cstheme="minorHAnsi"/>
          <w:lang w:val="en-GB"/>
        </w:rPr>
      </w:pPr>
      <w:r w:rsidRPr="009D7D25">
        <w:rPr>
          <w:rFonts w:cstheme="minorHAnsi"/>
          <w:lang w:val="en-GB"/>
        </w:rPr>
        <w:t>Air transport is a modern means of travel characterised by strong growth over the last decades. The total number of passengers travelling by air grew from 100 million in 1960 to 4.5 billion in 2019 (IPCC, 2018b). Globally, the aviation sector emitted 1027 MtCO</w:t>
      </w:r>
      <w:r w:rsidRPr="009D7D25">
        <w:rPr>
          <w:rFonts w:cstheme="minorHAnsi"/>
          <w:vertAlign w:val="subscript"/>
          <w:lang w:val="en-GB"/>
        </w:rPr>
        <w:t>2</w:t>
      </w:r>
      <w:r w:rsidRPr="009D7D25">
        <w:rPr>
          <w:rFonts w:cstheme="minorHAnsi"/>
          <w:lang w:val="en-GB"/>
        </w:rPr>
        <w:t xml:space="preserve"> in 2019, which was approximately 2.9 % of total CO</w:t>
      </w:r>
      <w:r w:rsidRPr="009D7D25">
        <w:rPr>
          <w:rFonts w:cstheme="minorHAnsi"/>
          <w:vertAlign w:val="subscript"/>
          <w:lang w:val="en-GB"/>
        </w:rPr>
        <w:t>2</w:t>
      </w:r>
      <w:r w:rsidRPr="009D7D25">
        <w:rPr>
          <w:rFonts w:cstheme="minorHAnsi"/>
          <w:lang w:val="en-GB"/>
        </w:rPr>
        <w:t xml:space="preserve"> emissions (Crippa et al. 2019; IEA, 2021). Despite the impact of COVID-19, the growth in air passenger travel is expected to continue, leading to an estimated doubling of emissions by 2050, if no specific mitigation measures are implemented (IEA, 2021; OECD, 2019a, Esmeijer et al. 2020; ICAO, 2019). In contrast to these projections, t</w:t>
      </w:r>
      <w:r w:rsidRPr="009D7D25">
        <w:rPr>
          <w:rFonts w:eastAsia="Calibri" w:cstheme="minorHAnsi"/>
          <w:lang w:val="en-GB"/>
        </w:rPr>
        <w:t>he International Air Transport Association (IATA), representing more than 80% of all international air traffic, recently agreed to achieve net-zero carbon emissions by 2050 (IATA, 2021a), following earlier commitments to carbon-neutral growth starting in 2020 and halving emissions by 2050, compared to 2005 levels (IATA, 2009).</w:t>
      </w:r>
    </w:p>
    <w:p w14:paraId="5E2325E0" w14:textId="44EB990C" w:rsidR="00E12831" w:rsidRPr="009D7D25" w:rsidRDefault="00E12831" w:rsidP="00E12831">
      <w:pPr>
        <w:rPr>
          <w:rFonts w:cstheme="minorHAnsi"/>
          <w:lang w:val="en-GB"/>
        </w:rPr>
      </w:pPr>
      <w:r w:rsidRPr="009D7D25">
        <w:rPr>
          <w:rFonts w:cstheme="minorHAnsi"/>
          <w:lang w:val="en-GB"/>
        </w:rPr>
        <w:t>While activity levels have drastically dropped as a result of the COVID-19 pandemic, with, in 2020, an overall reduction in the number of passengers of 74% in international flights and 50% in domestic flights (ICAO, 2020), and a 40% decrease in CO</w:t>
      </w:r>
      <w:r w:rsidRPr="009D7D25">
        <w:rPr>
          <w:rFonts w:cstheme="minorHAnsi"/>
          <w:vertAlign w:val="subscript"/>
          <w:lang w:val="en-GB"/>
        </w:rPr>
        <w:t>2</w:t>
      </w:r>
      <w:r w:rsidRPr="009D7D25">
        <w:rPr>
          <w:rFonts w:cstheme="minorHAnsi"/>
          <w:lang w:val="en-GB"/>
        </w:rPr>
        <w:t xml:space="preserve"> emissions (IEA, 2021)</w:t>
      </w:r>
      <w:r w:rsidR="00421B3C">
        <w:rPr>
          <w:rFonts w:cstheme="minorHAnsi"/>
          <w:lang w:val="en-GB"/>
        </w:rPr>
        <w:t>.T</w:t>
      </w:r>
      <w:r w:rsidRPr="009D7D25">
        <w:rPr>
          <w:rFonts w:cstheme="minorHAnsi"/>
          <w:lang w:val="en-GB"/>
        </w:rPr>
        <w:t>he industry</w:t>
      </w:r>
      <w:r w:rsidR="00421B3C">
        <w:rPr>
          <w:rFonts w:cstheme="minorHAnsi"/>
          <w:lang w:val="en-GB"/>
        </w:rPr>
        <w:t xml:space="preserve"> has however already seen </w:t>
      </w:r>
      <w:r w:rsidRPr="009D7D25">
        <w:rPr>
          <w:rFonts w:cstheme="minorHAnsi"/>
          <w:lang w:val="en-GB"/>
        </w:rPr>
        <w:t>a rebound</w:t>
      </w:r>
      <w:r w:rsidR="00421B3C">
        <w:rPr>
          <w:rFonts w:cstheme="minorHAnsi"/>
          <w:lang w:val="en-GB"/>
        </w:rPr>
        <w:fldChar w:fldCharType="begin" w:fldLock="1"/>
      </w:r>
      <w:r w:rsidR="00421B3C">
        <w:rPr>
          <w:rFonts w:cstheme="minorHAnsi"/>
          <w:lang w:val="en-GB"/>
        </w:rPr>
        <w:instrText>ADDIN CSL_CITATION {"citationItems":[{"id":"ITEM-1","itemData":{"author":[{"dropping-particle":"","family":"IEA","given":"","non-dropping-particle":"","parse-names":false,"suffix":""}],"id":"ITEM-1","issued":{"date-parts":[["2023"]]},"publisher-place":"Paris, France","title":"CO2 Emissions in 2022","type":"report"},"uris":["http://www.mendeley.com/documents/?uuid=b643677c-5e0d-4a59-bc24-e85ba3e385ac"]}],"mendeley":{"formattedCitation":"&lt;sup&gt;1&lt;/sup&gt;","plainTextFormattedCitation":"1"},"properties":{"noteIndex":0},"schema":"https://github.com/citation-style-language/schema/raw/master/csl-citation.json"}</w:instrText>
      </w:r>
      <w:r w:rsidR="00421B3C">
        <w:rPr>
          <w:rFonts w:cstheme="minorHAnsi"/>
          <w:lang w:val="en-GB"/>
        </w:rPr>
        <w:fldChar w:fldCharType="separate"/>
      </w:r>
      <w:r w:rsidR="00421B3C" w:rsidRPr="00421B3C">
        <w:rPr>
          <w:rFonts w:cstheme="minorHAnsi"/>
          <w:noProof/>
          <w:vertAlign w:val="superscript"/>
          <w:lang w:val="en-GB"/>
        </w:rPr>
        <w:t>1</w:t>
      </w:r>
      <w:r w:rsidR="00421B3C">
        <w:rPr>
          <w:rFonts w:cstheme="minorHAnsi"/>
          <w:lang w:val="en-GB"/>
        </w:rPr>
        <w:fldChar w:fldCharType="end"/>
      </w:r>
      <w:r w:rsidRPr="009D7D25">
        <w:rPr>
          <w:rFonts w:cstheme="minorHAnsi"/>
          <w:lang w:val="en-GB"/>
        </w:rPr>
        <w:t xml:space="preserve">  as </w:t>
      </w:r>
      <w:r w:rsidR="00421B3C">
        <w:rPr>
          <w:rFonts w:cstheme="minorHAnsi"/>
          <w:lang w:val="en-GB"/>
        </w:rPr>
        <w:t xml:space="preserve">was also </w:t>
      </w:r>
      <w:r w:rsidRPr="009D7D25">
        <w:rPr>
          <w:rFonts w:cstheme="minorHAnsi"/>
          <w:lang w:val="en-GB"/>
        </w:rPr>
        <w:t>observed in previous crises, such as the global financial crisis in 2008 (IATA, 2021b).</w:t>
      </w:r>
      <w:r w:rsidR="00421B3C">
        <w:rPr>
          <w:rFonts w:cstheme="minorHAnsi"/>
          <w:lang w:val="en-GB"/>
        </w:rPr>
        <w:t xml:space="preserve">Emissions from oil grew faster in the last year than from oil, of which half of the increase </w:t>
      </w:r>
      <w:r w:rsidRPr="009D7D25">
        <w:rPr>
          <w:rFonts w:cstheme="minorHAnsi"/>
          <w:lang w:val="en-GB"/>
        </w:rPr>
        <w:t xml:space="preserve"> The size and expected growth in the aviation sector differ across the globe. Over half of the passenger-related carbon emissions from aviation in 2019 (domestic plus international) originated from flights departing from the United States (23%), EU-28 (19%) and China (13%) (Brandon Graver, 2020). However, the European and North American growth rates of annual levels of air travel (5%–5.7% over the past 20 years) are superseded by those of Asia Pacific (8.8%) and the Middle East (13%) (Hasan et al., 2021).</w:t>
      </w:r>
    </w:p>
    <w:p w14:paraId="0570E788" w14:textId="1E1E4C94" w:rsidR="00E12831" w:rsidRPr="009D7D25" w:rsidRDefault="00E12831" w:rsidP="00E12831">
      <w:pPr>
        <w:rPr>
          <w:rFonts w:eastAsia="Calibri" w:cstheme="minorHAnsi"/>
          <w:vertAlign w:val="superscript"/>
          <w:lang w:val="en-GB"/>
        </w:rPr>
      </w:pPr>
      <w:r w:rsidRPr="009D7D25">
        <w:rPr>
          <w:rFonts w:cstheme="minorHAnsi"/>
          <w:lang w:val="en-GB"/>
        </w:rPr>
        <w:t xml:space="preserve">There are also technical and structural challenges that make the aviation sector particularly hard to abate. Most importantly, the sector is dependent on carbon-intensive petroleum fuels, such as kerosene, kerosine-petrol mixture or aviation fuel and this dependence will likely remain in the near future due to the early development stage and limitations of alternatives (Gray et al., 2021). A major barrier to large-scale biofuel use is the required large amounts of land and water (Peeters, 2017) and there are important technical challenges in the development of electric aircraft and the requirement for battery-specific energies (Viswanathan and Knapp, 2019). Second, the sector is characterised by a relatively low fuel price elasticity, as the fuel price only consists of a limited share of its operating expenses (approximately 23.7% in 2019 (IATA, 2019) and there are only few alternatives. A third major hurdle to the introduction of new less carbon-intensive aircraft is the high life expectancy of </w:t>
      </w:r>
      <w:r w:rsidRPr="009D7D25">
        <w:rPr>
          <w:rFonts w:cstheme="minorHAnsi"/>
          <w:lang w:val="en-GB"/>
        </w:rPr>
        <w:lastRenderedPageBreak/>
        <w:t xml:space="preserve">aircrafts, resulting in a longer turnover time (Hasan et al., 2021). Fourth, from a policy perspective, the international character of the aviation sector forms a barrier for policymakers to set certain standards, due to fear of carbon leakage, and to implement an efficient carbon price mechanism. In fact, currently, apart from the European Union, international aviation emissions are not part of the </w:t>
      </w:r>
      <w:r w:rsidR="00314E9B">
        <w:rPr>
          <w:rFonts w:cstheme="minorHAnsi"/>
          <w:lang w:val="en-GB"/>
        </w:rPr>
        <w:t xml:space="preserve">GHG coverage of the </w:t>
      </w:r>
      <w:r w:rsidRPr="009D7D25">
        <w:rPr>
          <w:rFonts w:cstheme="minorHAnsi"/>
          <w:lang w:val="en-GB"/>
        </w:rPr>
        <w:t>Nationally Determined Commitments (NDCs).</w:t>
      </w:r>
    </w:p>
    <w:p w14:paraId="576F081F" w14:textId="77777777" w:rsidR="00E12831" w:rsidRPr="009D7D25" w:rsidRDefault="00E12831" w:rsidP="00E12831">
      <w:pPr>
        <w:pStyle w:val="KopTopischGroot"/>
        <w:rPr>
          <w:rFonts w:asciiTheme="minorHAnsi" w:eastAsiaTheme="minorHAnsi" w:hAnsiTheme="minorHAnsi" w:cstheme="minorHAnsi"/>
          <w:color w:val="auto"/>
          <w:lang w:val="en-GB"/>
        </w:rPr>
      </w:pPr>
      <w:r w:rsidRPr="009D7D25">
        <w:rPr>
          <w:rFonts w:asciiTheme="minorHAnsi" w:hAnsiTheme="minorHAnsi" w:cstheme="minorHAnsi"/>
          <w:color w:val="auto"/>
          <w:lang w:val="en-GB"/>
        </w:rPr>
        <w:t>Shipping</w:t>
      </w:r>
    </w:p>
    <w:p w14:paraId="5997848C" w14:textId="77777777" w:rsidR="00E12831" w:rsidRPr="009D7D25" w:rsidRDefault="00E12831" w:rsidP="00E12831">
      <w:pPr>
        <w:rPr>
          <w:rFonts w:eastAsia="Calibri" w:cstheme="minorHAnsi"/>
          <w:lang w:val="en-GB"/>
        </w:rPr>
      </w:pPr>
      <w:r w:rsidRPr="009D7D25">
        <w:rPr>
          <w:rFonts w:eastAsia="Calibri" w:cstheme="minorHAnsi"/>
          <w:lang w:val="en-GB"/>
        </w:rPr>
        <w:t>Maritime transport plays a major role in goods transportation. International maritime transport has seen a steady growth over the past decades and was responsible for the transport of 11,000 Mt in goods, worldwide, in 2019 (UNCTAD, 2021). Globally, the shipping sector emitted 866 MtCO</w:t>
      </w:r>
      <w:r w:rsidRPr="009D7D25">
        <w:rPr>
          <w:rFonts w:eastAsia="Calibri" w:cstheme="minorHAnsi"/>
          <w:sz w:val="17"/>
          <w:szCs w:val="17"/>
          <w:vertAlign w:val="subscript"/>
          <w:lang w:val="en-GB"/>
        </w:rPr>
        <w:t>2</w:t>
      </w:r>
      <w:r w:rsidRPr="009D7D25">
        <w:rPr>
          <w:rFonts w:eastAsia="Calibri" w:cstheme="minorHAnsi"/>
          <w:lang w:val="en-GB"/>
        </w:rPr>
        <w:t xml:space="preserve"> in 2019, which constituted approximately 2.4% of total CO</w:t>
      </w:r>
      <w:r w:rsidRPr="009D7D25">
        <w:rPr>
          <w:rFonts w:eastAsia="Calibri" w:cstheme="minorHAnsi"/>
          <w:sz w:val="17"/>
          <w:szCs w:val="17"/>
          <w:vertAlign w:val="subscript"/>
          <w:lang w:val="en-GB"/>
        </w:rPr>
        <w:t>2</w:t>
      </w:r>
      <w:r w:rsidRPr="009D7D25">
        <w:rPr>
          <w:rFonts w:eastAsia="Calibri" w:cstheme="minorHAnsi"/>
          <w:lang w:val="en-GB"/>
        </w:rPr>
        <w:t xml:space="preserve"> emissions (IEA, 2021). International shipping is responsible for roughly 80% of total shipping CO</w:t>
      </w:r>
      <w:r w:rsidRPr="009D7D25">
        <w:rPr>
          <w:rFonts w:eastAsia="Calibri" w:cstheme="minorHAnsi"/>
          <w:vertAlign w:val="subscript"/>
          <w:lang w:val="en-GB"/>
        </w:rPr>
        <w:t>2</w:t>
      </w:r>
      <w:r w:rsidRPr="009D7D25">
        <w:rPr>
          <w:rFonts w:eastAsia="Calibri" w:cstheme="minorHAnsi"/>
          <w:lang w:val="en-GB"/>
        </w:rPr>
        <w:t xml:space="preserve"> emissions, while domestic shipping and fishing account for the remaining 20%. Emissions in international shipping have increased from 187 MtCO</w:t>
      </w:r>
      <w:r w:rsidRPr="009D7D25">
        <w:rPr>
          <w:rFonts w:eastAsia="Calibri" w:cstheme="minorHAnsi"/>
          <w:sz w:val="17"/>
          <w:szCs w:val="17"/>
          <w:vertAlign w:val="subscript"/>
          <w:lang w:val="en-GB"/>
        </w:rPr>
        <w:t>2</w:t>
      </w:r>
      <w:r w:rsidRPr="009D7D25">
        <w:rPr>
          <w:rFonts w:eastAsia="Calibri" w:cstheme="minorHAnsi"/>
          <w:lang w:val="en-GB"/>
        </w:rPr>
        <w:t xml:space="preserve"> in 1950 (Eyring et al., 2005) with an average growth of 2.4% per year, while, in recent years, growth has slowed down to 1.6% per year (2012–2018 period). The sector saw a stark increase (87%, 2012–2018 period) in methane (CH</w:t>
      </w:r>
      <w:r w:rsidRPr="009D7D25">
        <w:rPr>
          <w:rFonts w:eastAsia="Calibri" w:cstheme="minorHAnsi"/>
          <w:vertAlign w:val="subscript"/>
          <w:lang w:val="en-GB"/>
        </w:rPr>
        <w:t>4</w:t>
      </w:r>
      <w:r w:rsidRPr="009D7D25">
        <w:rPr>
          <w:rFonts w:eastAsia="Calibri" w:cstheme="minorHAnsi"/>
          <w:lang w:val="en-GB"/>
        </w:rPr>
        <w:t>) emissions driven by an increase in the consumption of Liquified Natural Gas (LNG). Specifically, the change in dual-fuel machinery associated with LNG causes a growth in CH</w:t>
      </w:r>
      <w:r w:rsidRPr="009D7D25">
        <w:rPr>
          <w:rFonts w:eastAsia="Calibri" w:cstheme="minorHAnsi"/>
          <w:vertAlign w:val="subscript"/>
          <w:lang w:val="en-GB"/>
        </w:rPr>
        <w:t>4</w:t>
      </w:r>
      <w:r w:rsidRPr="009D7D25">
        <w:rPr>
          <w:rFonts w:eastAsia="Calibri" w:cstheme="minorHAnsi"/>
          <w:lang w:val="en-GB"/>
        </w:rPr>
        <w:t xml:space="preserve"> emissions. There is a large range in future emission projections from shipping, from remaining relatively constant (IMO, 2019) until 2050 to more than a doubling of emissions (Esmeijer et al., 2020).</w:t>
      </w:r>
    </w:p>
    <w:p w14:paraId="24C4CF4B" w14:textId="77777777" w:rsidR="00E12831" w:rsidRPr="009D7D25" w:rsidRDefault="00E12831" w:rsidP="00E12831">
      <w:pPr>
        <w:rPr>
          <w:rFonts w:cstheme="minorHAnsi"/>
          <w:lang w:val="en-GB"/>
        </w:rPr>
      </w:pPr>
      <w:r w:rsidRPr="009D7D25">
        <w:rPr>
          <w:rFonts w:eastAsia="Calibri" w:cstheme="minorHAnsi"/>
          <w:lang w:val="en-GB"/>
        </w:rPr>
        <w:t>The shipping sector is considered hard to abate, both through the tight coupling between shipping demand increases and the growth in the global economy, as well as due to a number of techno-economic challenges. In addition, due to its international character, the global shipping sector can be a challenge to regulate. The International Maritime Organization (IMO) projects increases in demand by 2050 of 40% to 100%, relative to 2008 (IMO, 2019). Although the COVID-19 pandemic has affected the international transport sector, substantially, in the first half of 2020, transport volumes recovered by the third quarter of 2020 (UNCTAD, 2021; IMO, 2019). The international character of the sector and an associated favourable taxation regime makes it difficult to implement substantial policies in reducing emissions, similar to those of aviation. Structurally, the shipping sector has a symbiotic relationship with the fossil fuel sector. Not only does it depend on the sector for cheap bunker fuel as a by-product from oil refineries, but also as a service provider in trade of fossils. Fuel-switching requires substantial investments in new infrastructure required for low-carbon alternative fuels. The extreme difficulties of electrification and its current high dependence on cheap fuel presents a major obstacle in mitigating carbon emissions. A switch to alternative and more expensive fuels represents a considerable challenge to the shipping system, especially in the case of low-value-added products (dry bulk, liquid bulk). At the same time, the existence of many potential alternative fuels could create a problem, in terms of standards.</w:t>
      </w:r>
    </w:p>
    <w:p w14:paraId="2D514152" w14:textId="77777777" w:rsidR="00E12831" w:rsidRPr="009D7D25" w:rsidRDefault="00E12831" w:rsidP="00E12831">
      <w:pPr>
        <w:pStyle w:val="KopTopischGroot"/>
        <w:rPr>
          <w:rFonts w:asciiTheme="minorHAnsi" w:hAnsiTheme="minorHAnsi" w:cstheme="minorHAnsi"/>
          <w:color w:val="auto"/>
          <w:lang w:val="en-GB"/>
        </w:rPr>
      </w:pPr>
      <w:r w:rsidRPr="009D7D25">
        <w:rPr>
          <w:rFonts w:asciiTheme="minorHAnsi" w:hAnsiTheme="minorHAnsi" w:cstheme="minorHAnsi"/>
          <w:color w:val="auto"/>
          <w:lang w:val="en-GB"/>
        </w:rPr>
        <w:t>Measures and policies</w:t>
      </w:r>
    </w:p>
    <w:p w14:paraId="2143AECC" w14:textId="77777777" w:rsidR="00E12831" w:rsidRPr="009D7D25" w:rsidRDefault="00E12831" w:rsidP="00E12831">
      <w:pPr>
        <w:pStyle w:val="KopTopischGroot"/>
        <w:rPr>
          <w:rFonts w:asciiTheme="minorHAnsi" w:hAnsiTheme="minorHAnsi" w:cstheme="minorHAnsi"/>
          <w:color w:val="auto"/>
          <w:lang w:val="en-GB"/>
        </w:rPr>
      </w:pPr>
    </w:p>
    <w:p w14:paraId="3C9590F1" w14:textId="77777777" w:rsidR="00E12831" w:rsidRPr="009D7D25" w:rsidRDefault="00E12831" w:rsidP="00E12831">
      <w:pPr>
        <w:pStyle w:val="KopTopischGroot"/>
        <w:rPr>
          <w:rFonts w:asciiTheme="minorHAnsi" w:hAnsiTheme="minorHAnsi" w:cstheme="minorHAnsi"/>
          <w:color w:val="auto"/>
          <w:lang w:val="en-GB"/>
        </w:rPr>
      </w:pPr>
      <w:r w:rsidRPr="009D7D25">
        <w:rPr>
          <w:rFonts w:asciiTheme="minorHAnsi" w:hAnsiTheme="minorHAnsi" w:cstheme="minorHAnsi"/>
          <w:color w:val="auto"/>
          <w:lang w:val="en-GB"/>
        </w:rPr>
        <w:t>Aviation</w:t>
      </w:r>
    </w:p>
    <w:p w14:paraId="50E6364E" w14:textId="77777777" w:rsidR="00E12831" w:rsidRPr="009D7D25" w:rsidRDefault="00E12831" w:rsidP="00E12831">
      <w:pPr>
        <w:rPr>
          <w:rFonts w:cstheme="minorHAnsi"/>
          <w:lang w:val="en-GB"/>
        </w:rPr>
      </w:pPr>
      <w:r w:rsidRPr="009D7D25">
        <w:rPr>
          <w:rFonts w:cstheme="minorHAnsi"/>
          <w:lang w:val="en-GB"/>
        </w:rPr>
        <w:t xml:space="preserve">Continued research and development present several new technological opportunities, in the near future, of which some may have significant impact. IATA estimates that most emission reductions can be achieved through technological advancement in fuels (IATA, 2021a), in particular from Sustainable Aviation Fuels (SAF), a certification that ensures no degradation to or competition with existing food and water systems. It is important to distinguish alternative fuels that use existing combustion engine technology and infrastructure, and those that use electric motors, powered by </w:t>
      </w:r>
      <w:r w:rsidRPr="009D7D25">
        <w:rPr>
          <w:rFonts w:cstheme="minorHAnsi"/>
          <w:lang w:val="en-GB"/>
        </w:rPr>
        <w:lastRenderedPageBreak/>
        <w:t>either fuel cells or batteries (Gray et al., 2021). The last may only become viable in the distant future, and likely not in time for the 2050 net-zero goals (Peeters, 2017). Fuels that are compatible with existing aircraft and infrastructure are near-term solutions and partially overcome the problem of long aircraft lifetimes. They concern drop-in biofuels, possibly in blends (this is already operational in a small fraction of the sector), and Power-to-Liquid (</w:t>
      </w:r>
      <w:proofErr w:type="spellStart"/>
      <w:r w:rsidRPr="009D7D25">
        <w:rPr>
          <w:rFonts w:cstheme="minorHAnsi"/>
          <w:lang w:val="en-GB"/>
        </w:rPr>
        <w:t>PtL</w:t>
      </w:r>
      <w:proofErr w:type="spellEnd"/>
      <w:r w:rsidRPr="009D7D25">
        <w:rPr>
          <w:rFonts w:cstheme="minorHAnsi"/>
          <w:lang w:val="en-GB"/>
        </w:rPr>
        <w:t xml:space="preserve">) fuels — also known as e-fuels — such as liquid hydrocarbons generated from green hydrogen. In their roadmap for full decarbonisation of the aviation sector by 2050, the European Federation for Transport and Environment (T&amp;E) expects there will be a relatively minor share of fuel (11.4%) from biofuels, while the role of </w:t>
      </w:r>
      <w:proofErr w:type="spellStart"/>
      <w:r w:rsidRPr="009D7D25">
        <w:rPr>
          <w:rFonts w:cstheme="minorHAnsi"/>
          <w:lang w:val="en-GB"/>
        </w:rPr>
        <w:t>PtL</w:t>
      </w:r>
      <w:proofErr w:type="spellEnd"/>
      <w:r w:rsidRPr="009D7D25">
        <w:rPr>
          <w:rFonts w:cstheme="minorHAnsi"/>
          <w:lang w:val="en-GB"/>
        </w:rPr>
        <w:t xml:space="preserve"> is expected to be much larger (Murphy et al., 2018).</w:t>
      </w:r>
    </w:p>
    <w:p w14:paraId="2ABE367D" w14:textId="77777777" w:rsidR="00E12831" w:rsidRPr="009D7D25" w:rsidRDefault="00E12831" w:rsidP="00E12831">
      <w:pPr>
        <w:rPr>
          <w:rFonts w:cstheme="minorHAnsi"/>
          <w:lang w:val="en-GB"/>
        </w:rPr>
      </w:pPr>
      <w:r w:rsidRPr="009D7D25">
        <w:rPr>
          <w:rFonts w:cstheme="minorHAnsi"/>
          <w:lang w:val="en-GB"/>
        </w:rPr>
        <w:t>Other measures to reduce aviation demand concern incentives for increased use of teleworking to replace physical work meetings and travelling to less far away tourist destinations. High speed rail could provide an alternative for short haul travel, but, in the short run, only for those destinations where rail infrastructure is in place. Potentially less limited by speed requirements is shifting from air freight to maritime freight transport, which can be more energy efficient by a factor 10 or more (</w:t>
      </w:r>
      <w:proofErr w:type="spellStart"/>
      <w:r w:rsidRPr="009D7D25">
        <w:rPr>
          <w:rFonts w:cstheme="minorHAnsi"/>
          <w:lang w:val="en-GB"/>
        </w:rPr>
        <w:t>Dahlmann</w:t>
      </w:r>
      <w:proofErr w:type="spellEnd"/>
      <w:r w:rsidRPr="009D7D25">
        <w:rPr>
          <w:rFonts w:cstheme="minorHAnsi"/>
          <w:lang w:val="en-GB"/>
        </w:rPr>
        <w:t xml:space="preserve"> et al., 2016).</w:t>
      </w:r>
    </w:p>
    <w:p w14:paraId="5E3D1F51" w14:textId="77777777" w:rsidR="00E12831" w:rsidRPr="009D7D25" w:rsidRDefault="00E12831" w:rsidP="00E12831">
      <w:pPr>
        <w:rPr>
          <w:rFonts w:cstheme="minorHAnsi"/>
          <w:lang w:val="en-GB"/>
        </w:rPr>
      </w:pPr>
      <w:r w:rsidRPr="009D7D25">
        <w:rPr>
          <w:rFonts w:cstheme="minorHAnsi"/>
          <w:lang w:val="en-GB"/>
        </w:rPr>
        <w:t xml:space="preserve">Other emission reductions could be achieved by adjusting operational efficiency through changing airline operation or air traffic control. Adjustments in aircraft design, such as weight reduction, improved aerodynamics and improvement in engine fuel efficiency, have been effective in the last years, but further improvements are still possible. For example, </w:t>
      </w:r>
      <w:proofErr w:type="spellStart"/>
      <w:r w:rsidRPr="009D7D25">
        <w:rPr>
          <w:rFonts w:cstheme="minorHAnsi"/>
          <w:lang w:val="en-GB"/>
        </w:rPr>
        <w:t>Dahlmann</w:t>
      </w:r>
      <w:proofErr w:type="spellEnd"/>
      <w:r w:rsidRPr="009D7D25">
        <w:rPr>
          <w:rFonts w:cstheme="minorHAnsi"/>
          <w:lang w:val="en-GB"/>
        </w:rPr>
        <w:t xml:space="preserve"> et al. (2016) argue that replacing the A330–200 fleet with redesigned aircraft could reduce the climate impact of the existing fleet by 32%. However, because of the long lifetime of aircraft, the current rate of fuel efficiency increase is only 1% per year. As part of the roadmap for achieving 2050 emission reduction targets, T&amp;E incorporates an additional, but still limited, 0.5% (Murphy et al., 2018).</w:t>
      </w:r>
    </w:p>
    <w:p w14:paraId="69E75252" w14:textId="77777777" w:rsidR="00E12831" w:rsidRPr="009D7D25" w:rsidRDefault="00E12831" w:rsidP="00E12831">
      <w:pPr>
        <w:rPr>
          <w:rFonts w:cstheme="minorHAnsi"/>
          <w:lang w:val="en-GB"/>
        </w:rPr>
      </w:pPr>
      <w:r w:rsidRPr="009D7D25">
        <w:rPr>
          <w:rFonts w:cstheme="minorHAnsi"/>
          <w:lang w:val="en-GB"/>
        </w:rPr>
        <w:t>It has been argued that the aforementioned technological measures may only limit the growth in emissions, rather than bringing them to zero, if left without proper pricing of carbon and air travel tickets (Peeters, 2017). The required technological transitions to achieve net-zero emissions include new generations of aircraft and fuels, which require substantial financial support to develop, become competitive and allow for widespread adoption. This is especially true when considering the timing of their adoption; under current conditions, hydrogen fuel cell or electric aircrafts may become available for short distance air travel, due to additional weight requirements, by approximately mid-century (Gray et al., 2021). Technological stimuli, as well as acceptance by the industry and the general public, crucially depend on formulating globally harmonised measures. A policy measure to target demand response could be the implementation of distance-based air passenger taxes, which would compensate for the VAT exemption of international airline tickets, but also result in a more equalised approach between different transportation modes (road and rail transport do pay fuel tax while aviation does not). Harmonisation of tax levels between countries would allow them to increase, substantially. A proposal to gain public acceptance is to tax every additional passenger flight taken per year (Larsson et al., 2019), which affects frequent flyers proportionally more: approximately 71% of flights are made by commercial air travellers and 10% of fliers account for 30% to 50% of all flights taken (</w:t>
      </w:r>
      <w:proofErr w:type="spellStart"/>
      <w:r w:rsidRPr="009D7D25">
        <w:rPr>
          <w:rFonts w:cstheme="minorHAnsi"/>
          <w:lang w:val="en-GB"/>
        </w:rPr>
        <w:t>Gösseling</w:t>
      </w:r>
      <w:proofErr w:type="spellEnd"/>
      <w:r w:rsidRPr="009D7D25">
        <w:rPr>
          <w:rFonts w:cstheme="minorHAnsi"/>
          <w:lang w:val="en-GB"/>
        </w:rPr>
        <w:t xml:space="preserve"> and </w:t>
      </w:r>
      <w:proofErr w:type="spellStart"/>
      <w:r w:rsidRPr="009D7D25">
        <w:rPr>
          <w:rFonts w:cstheme="minorHAnsi"/>
          <w:lang w:val="en-GB"/>
        </w:rPr>
        <w:t>Humpe</w:t>
      </w:r>
      <w:proofErr w:type="spellEnd"/>
      <w:r w:rsidRPr="009D7D25">
        <w:rPr>
          <w:rFonts w:cstheme="minorHAnsi"/>
          <w:lang w:val="en-GB"/>
        </w:rPr>
        <w:t>, 2020).</w:t>
      </w:r>
    </w:p>
    <w:p w14:paraId="6A4E0335" w14:textId="77777777" w:rsidR="00E12831" w:rsidRPr="009D7D25" w:rsidRDefault="00E12831" w:rsidP="00E12831">
      <w:pPr>
        <w:rPr>
          <w:rFonts w:cstheme="minorHAnsi"/>
          <w:lang w:val="en-GB"/>
        </w:rPr>
      </w:pPr>
      <w:r w:rsidRPr="009D7D25">
        <w:rPr>
          <w:rFonts w:cstheme="minorHAnsi"/>
          <w:lang w:val="en-GB"/>
        </w:rPr>
        <w:t xml:space="preserve">Aviation emissions have been included in the EU ETS since 2012 and by the ICAO initiated Carbon Offsetting and Reduction Scheme for International Aviation (CORSIA, in 2016). The EU ETS legislation was initially made to affect emissions caused by flights to, from and within the European Economic Area (EEA), but implementation currently only covers flights </w:t>
      </w:r>
      <w:r w:rsidRPr="009D7D25">
        <w:rPr>
          <w:rFonts w:cstheme="minorHAnsi"/>
          <w:i/>
          <w:iCs/>
          <w:lang w:val="en-GB"/>
        </w:rPr>
        <w:t>within</w:t>
      </w:r>
      <w:r w:rsidRPr="009D7D25">
        <w:rPr>
          <w:rFonts w:cstheme="minorHAnsi"/>
          <w:lang w:val="en-GB"/>
        </w:rPr>
        <w:t xml:space="preserve"> the EEA. Under current policies, the EU ETS system is projected to lead to a 4% reduction in global aviation emissions, by 2036, which would be 16% if the policy would apply to the whole world (</w:t>
      </w:r>
      <w:proofErr w:type="spellStart"/>
      <w:r w:rsidRPr="009D7D25">
        <w:rPr>
          <w:rFonts w:cstheme="minorHAnsi"/>
          <w:lang w:val="en-GB"/>
        </w:rPr>
        <w:t>Scheelhaase</w:t>
      </w:r>
      <w:proofErr w:type="spellEnd"/>
      <w:r w:rsidRPr="009D7D25">
        <w:rPr>
          <w:rFonts w:cstheme="minorHAnsi"/>
          <w:lang w:val="en-GB"/>
        </w:rPr>
        <w:t xml:space="preserve"> et al., 2018). The CORSIA </w:t>
      </w:r>
      <w:r w:rsidRPr="009D7D25">
        <w:rPr>
          <w:rFonts w:cstheme="minorHAnsi"/>
          <w:lang w:val="en-GB"/>
        </w:rPr>
        <w:lastRenderedPageBreak/>
        <w:t>system started in 2021 and dictates the purchasing of carbon credits or investing in emission reduction projects based on a company’s emissions. The global coverage is larger (71 states, 88% of global t-kms) and its effect is projected at 18% reductions, by 2039 (</w:t>
      </w:r>
      <w:proofErr w:type="spellStart"/>
      <w:r w:rsidRPr="009D7D25">
        <w:rPr>
          <w:rFonts w:cstheme="minorHAnsi"/>
          <w:lang w:val="en-GB"/>
        </w:rPr>
        <w:t>Scheelhaase</w:t>
      </w:r>
      <w:proofErr w:type="spellEnd"/>
      <w:r w:rsidRPr="009D7D25">
        <w:rPr>
          <w:rFonts w:cstheme="minorHAnsi"/>
          <w:lang w:val="en-GB"/>
        </w:rPr>
        <w:t xml:space="preserve"> et al., 2018). </w:t>
      </w:r>
    </w:p>
    <w:p w14:paraId="4DDDE5EA" w14:textId="77777777" w:rsidR="00E12831" w:rsidRPr="009D7D25" w:rsidRDefault="00E12831" w:rsidP="00E12831">
      <w:pPr>
        <w:pStyle w:val="KopTopischGroot"/>
        <w:rPr>
          <w:rFonts w:asciiTheme="minorHAnsi" w:hAnsiTheme="minorHAnsi" w:cstheme="minorHAnsi"/>
          <w:color w:val="auto"/>
          <w:lang w:val="en-GB"/>
        </w:rPr>
      </w:pPr>
      <w:r w:rsidRPr="009D7D25">
        <w:rPr>
          <w:rFonts w:asciiTheme="minorHAnsi" w:hAnsiTheme="minorHAnsi" w:cstheme="minorHAnsi"/>
          <w:color w:val="auto"/>
          <w:lang w:val="en-GB"/>
        </w:rPr>
        <w:t>Shipping</w:t>
      </w:r>
    </w:p>
    <w:p w14:paraId="54CA1DCB" w14:textId="77777777" w:rsidR="00E12831" w:rsidRPr="009D7D25" w:rsidRDefault="00E12831" w:rsidP="00E12831">
      <w:pPr>
        <w:rPr>
          <w:rFonts w:eastAsia="Calibri" w:cstheme="minorHAnsi"/>
          <w:lang w:val="en-GB"/>
        </w:rPr>
      </w:pPr>
      <w:r w:rsidRPr="009D7D25">
        <w:rPr>
          <w:rFonts w:eastAsia="Calibri" w:cstheme="minorHAnsi"/>
          <w:lang w:val="en-GB"/>
        </w:rPr>
        <w:t>IMO, in its Initial Greenhouse Gas Strategy, aims to abate international shipping emissions by 50%, by 2050 (with respect to 2008) and reduce carbon intensity by 40%, by 2030 (IMO, 2018). Most measures adopted by the IMO to work towards achieving these targets focus on energy-efficiency improvements. Policies proposed to improve efficiency include the Energy Efficiency Design Index (EEDI), the Energy Efficiency Existing Ship Index (EEXI) and the Ship Energy Efficiency Management Plan (SEEMP). The EEDI makes it mandatory to increase the efficiency of new vessels in successive phases. The EEXI is required to be calculated for vessels of 400 Gt or more, indicating their energy efficiency when compared to the Energy Efficiency Design Index baseline (i.e. new vessels). Finally, the SEEMP is a plan designed to optimise the operational and technical management of shipping activities, improving their energy efficiency. The plan applies to both new vessels and those already in operation (IMO, 2018; Müller-Casseres et al., 2021).</w:t>
      </w:r>
    </w:p>
    <w:p w14:paraId="68E5E224" w14:textId="42AE4FC3" w:rsidR="00E12831" w:rsidRPr="009D7D25" w:rsidRDefault="00E12831" w:rsidP="00E12831">
      <w:pPr>
        <w:rPr>
          <w:rFonts w:eastAsia="Calibri" w:cstheme="minorHAnsi"/>
          <w:lang w:val="en-GB"/>
        </w:rPr>
      </w:pPr>
      <w:r w:rsidRPr="009D7D25">
        <w:rPr>
          <w:rFonts w:eastAsia="Calibri" w:cstheme="minorHAnsi"/>
          <w:lang w:val="en-GB"/>
        </w:rPr>
        <w:t xml:space="preserve">There is a number of notable approaches </w:t>
      </w:r>
      <w:r w:rsidR="00CC67EB">
        <w:rPr>
          <w:rFonts w:eastAsia="Calibri" w:cstheme="minorHAnsi"/>
          <w:lang w:val="en-GB"/>
        </w:rPr>
        <w:t>for</w:t>
      </w:r>
      <w:r w:rsidR="00CC67EB" w:rsidRPr="009D7D25">
        <w:rPr>
          <w:rFonts w:eastAsia="Calibri" w:cstheme="minorHAnsi"/>
          <w:lang w:val="en-GB"/>
        </w:rPr>
        <w:t xml:space="preserve"> </w:t>
      </w:r>
      <w:r w:rsidRPr="009D7D25">
        <w:rPr>
          <w:rFonts w:eastAsia="Calibri" w:cstheme="minorHAnsi"/>
          <w:lang w:val="en-GB"/>
        </w:rPr>
        <w:t xml:space="preserve">achieving abatement targets in the shipping sector. Measures to increase efficiency include more efficient ship design, such as the use of lightweight materials, the increase in vessel sizes (economies of scale) and the improvement in propulsion efficiency and waste heat recovery. The use of alternative energy sources, for instance in the form of wind energy through kites and sails, and hybrid power systems can help reduce the demand for energy from fossil fuel sources (UNCTAD, 2021; Müller-Casseres et al., 2021; </w:t>
      </w:r>
      <w:proofErr w:type="spellStart"/>
      <w:r w:rsidRPr="009D7D25">
        <w:rPr>
          <w:rFonts w:eastAsia="Calibri" w:cstheme="minorHAnsi"/>
          <w:lang w:val="en-GB"/>
        </w:rPr>
        <w:t>Bouman</w:t>
      </w:r>
      <w:proofErr w:type="spellEnd"/>
      <w:r w:rsidRPr="009D7D25">
        <w:rPr>
          <w:rFonts w:eastAsia="Calibri" w:cstheme="minorHAnsi"/>
          <w:lang w:val="en-GB"/>
        </w:rPr>
        <w:t xml:space="preserve"> et al., 2017).</w:t>
      </w:r>
    </w:p>
    <w:p w14:paraId="56216069" w14:textId="77777777" w:rsidR="00E12831" w:rsidRPr="009D7D25" w:rsidRDefault="00E12831" w:rsidP="00E12831">
      <w:pPr>
        <w:rPr>
          <w:rFonts w:eastAsia="Calibri" w:cstheme="minorHAnsi"/>
          <w:lang w:val="en-GB"/>
        </w:rPr>
      </w:pPr>
      <w:r w:rsidRPr="009D7D25">
        <w:rPr>
          <w:rFonts w:eastAsia="Calibri" w:cstheme="minorHAnsi"/>
          <w:lang w:val="en-GB"/>
        </w:rPr>
        <w:t>One of the key measures to reduce shipping emissions is the use of alternative fuels. Alternative fuels for shipping are similar to those used in aviation. These fuels can be produced together, depending on the production process (hydrotreated vegetable oils, bio/electric Fischer-</w:t>
      </w:r>
      <w:proofErr w:type="spellStart"/>
      <w:r w:rsidRPr="009D7D25">
        <w:rPr>
          <w:rFonts w:eastAsia="Calibri" w:cstheme="minorHAnsi"/>
          <w:lang w:val="en-GB"/>
        </w:rPr>
        <w:t>Tropsch</w:t>
      </w:r>
      <w:proofErr w:type="spellEnd"/>
      <w:r w:rsidRPr="009D7D25">
        <w:rPr>
          <w:rFonts w:eastAsia="Calibri" w:cstheme="minorHAnsi"/>
          <w:lang w:val="en-GB"/>
        </w:rPr>
        <w:t xml:space="preserve"> liquids). This presents an opportunity to provide drop-in fuels to both sectors. Alternative fuels for shipping include distillates suitable for compressed ignition engines, such as biofuels produced from vegetable oils and from lignocellulosic biomass, alcohols and liquefied gases suitable for spark ignition engines, such as liquefied biomethane and biomass-based methanol and ethanol, as well as ammonia, hydrogen and, similar to aviation, electricity-produced synthetic fuels (</w:t>
      </w:r>
      <w:proofErr w:type="spellStart"/>
      <w:r w:rsidRPr="009D7D25">
        <w:rPr>
          <w:rFonts w:eastAsia="Calibri" w:cstheme="minorHAnsi"/>
          <w:lang w:val="en-GB"/>
        </w:rPr>
        <w:t>PtL</w:t>
      </w:r>
      <w:proofErr w:type="spellEnd"/>
      <w:r w:rsidRPr="009D7D25">
        <w:rPr>
          <w:rFonts w:eastAsia="Calibri" w:cstheme="minorHAnsi"/>
          <w:lang w:val="en-GB"/>
        </w:rPr>
        <w:t xml:space="preserve"> or e-fuels) (Carvalho et al., 2021).  International standards and norms for the use of alternative fuels for shipping are needed to guarantee their suitability and, especially in case of biofuels, sustainability — similarly to what has been done regarding alternative fuels for aviation (Carvalho et al., 2021; IATA, 2022).</w:t>
      </w:r>
    </w:p>
    <w:p w14:paraId="597C741C" w14:textId="77777777" w:rsidR="00E12831" w:rsidRPr="009D7D25" w:rsidRDefault="00E12831" w:rsidP="00E12831">
      <w:pPr>
        <w:rPr>
          <w:rFonts w:eastAsia="Calibri" w:cstheme="minorHAnsi"/>
          <w:lang w:val="en-GB"/>
        </w:rPr>
      </w:pPr>
      <w:r w:rsidRPr="009D7D25">
        <w:rPr>
          <w:rFonts w:eastAsia="Calibri" w:cstheme="minorHAnsi"/>
          <w:lang w:val="en-GB"/>
        </w:rPr>
        <w:t>Measures aimed at shipping operations, such as optimising shipping capacity and voyages, could further reduce carbon intensity. Also, slow steaming policies can play an important role in reducing energy use in the shipping sector, because moderate reductions in speed lead to significant fuel savings. This measure does not depend on new technology, but the economics of slow steaming are complex; there is competition between financial gains from increased delivery speed on the one hand, and higher fuel efficiency at lower movement speeds on the other. Reductions in demand can also contribute to lowering emissions in the shipping sector, for instance by lowering fossil fuel demand (Müller-Casseres et al., 2021) or by allowing more localised production closer to where the demand is (UNCTAD, 2021).</w:t>
      </w:r>
    </w:p>
    <w:p w14:paraId="167F3974" w14:textId="77777777" w:rsidR="00E12831" w:rsidRPr="009D7D25" w:rsidRDefault="00E12831" w:rsidP="00E12831">
      <w:pPr>
        <w:pStyle w:val="Figuur-tabel-nummer"/>
        <w:rPr>
          <w:rFonts w:asciiTheme="minorHAnsi" w:eastAsia="Calibri" w:hAnsiTheme="minorHAnsi" w:cstheme="minorHAnsi"/>
          <w:color w:val="auto"/>
          <w:lang w:val="en-GB"/>
        </w:rPr>
      </w:pPr>
      <w:r w:rsidRPr="009D7D25">
        <w:rPr>
          <w:rFonts w:asciiTheme="minorHAnsi" w:eastAsia="Calibri" w:hAnsiTheme="minorHAnsi" w:cstheme="minorHAnsi"/>
          <w:color w:val="auto"/>
          <w:lang w:val="en-GB"/>
        </w:rPr>
        <w:lastRenderedPageBreak/>
        <w:t xml:space="preserve">Table </w:t>
      </w:r>
      <w:r>
        <w:rPr>
          <w:rFonts w:asciiTheme="minorHAnsi" w:eastAsia="Calibri" w:hAnsiTheme="minorHAnsi" w:cstheme="minorHAnsi"/>
          <w:color w:val="auto"/>
          <w:lang w:val="en-GB"/>
        </w:rPr>
        <w:t>1</w:t>
      </w:r>
    </w:p>
    <w:p w14:paraId="29CBE478" w14:textId="77777777" w:rsidR="00E12831" w:rsidRPr="009D7D25" w:rsidRDefault="00E12831" w:rsidP="00E12831">
      <w:pPr>
        <w:pStyle w:val="Figuur-tabel-titel"/>
        <w:rPr>
          <w:rFonts w:asciiTheme="minorHAnsi" w:eastAsia="Calibri" w:hAnsiTheme="minorHAnsi" w:cstheme="minorHAnsi"/>
          <w:color w:val="auto"/>
          <w:lang w:val="en-GB"/>
        </w:rPr>
      </w:pPr>
      <w:r w:rsidRPr="009D7D25">
        <w:rPr>
          <w:rFonts w:asciiTheme="minorHAnsi" w:eastAsia="Calibri" w:hAnsiTheme="minorHAnsi" w:cstheme="minorHAnsi"/>
          <w:color w:val="auto"/>
          <w:lang w:val="en-GB"/>
        </w:rPr>
        <w:t>Overview of the challenges in the transport sector, and the measures and policies connected to achieving net zero emissions.</w:t>
      </w:r>
    </w:p>
    <w:tbl>
      <w:tblPr>
        <w:tblStyle w:val="TableGrid"/>
        <w:tblpPr w:leftFromText="141" w:rightFromText="141" w:vertAnchor="text" w:horzAnchor="margin" w:tblpY="82"/>
        <w:tblW w:w="9015" w:type="dxa"/>
        <w:tblLook w:val="0420" w:firstRow="1" w:lastRow="0" w:firstColumn="0" w:lastColumn="0" w:noHBand="0" w:noVBand="1"/>
      </w:tblPr>
      <w:tblGrid>
        <w:gridCol w:w="1267"/>
        <w:gridCol w:w="2348"/>
        <w:gridCol w:w="2472"/>
        <w:gridCol w:w="2928"/>
      </w:tblGrid>
      <w:tr w:rsidR="00E12831" w:rsidRPr="009D7D25" w14:paraId="1F099BE0" w14:textId="77777777" w:rsidTr="00D93B08">
        <w:trPr>
          <w:trHeight w:val="195"/>
        </w:trPr>
        <w:tc>
          <w:tcPr>
            <w:tcW w:w="1267" w:type="dxa"/>
          </w:tcPr>
          <w:p w14:paraId="0E089475" w14:textId="77777777" w:rsidR="00E12831" w:rsidRPr="009D7D25" w:rsidRDefault="00E12831" w:rsidP="00D93B08">
            <w:pPr>
              <w:pStyle w:val="Tabeltekst"/>
              <w:rPr>
                <w:rFonts w:asciiTheme="minorHAnsi" w:eastAsiaTheme="minorHAnsi" w:hAnsiTheme="minorHAnsi" w:cstheme="minorHAnsi"/>
                <w:lang w:val="en-GB"/>
              </w:rPr>
            </w:pPr>
            <w:bookmarkStart w:id="2" w:name="_Hlk97120143"/>
          </w:p>
        </w:tc>
        <w:tc>
          <w:tcPr>
            <w:tcW w:w="2348" w:type="dxa"/>
            <w:hideMark/>
          </w:tcPr>
          <w:p w14:paraId="7A33FD34"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Challenges</w:t>
            </w:r>
          </w:p>
        </w:tc>
        <w:tc>
          <w:tcPr>
            <w:tcW w:w="2472" w:type="dxa"/>
            <w:hideMark/>
          </w:tcPr>
          <w:p w14:paraId="3785B6A4"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Measures</w:t>
            </w:r>
          </w:p>
        </w:tc>
        <w:tc>
          <w:tcPr>
            <w:tcW w:w="2928" w:type="dxa"/>
            <w:hideMark/>
          </w:tcPr>
          <w:p w14:paraId="1FBC8A12"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Policies</w:t>
            </w:r>
          </w:p>
        </w:tc>
      </w:tr>
      <w:tr w:rsidR="00E12831" w:rsidRPr="00673218" w14:paraId="7D6843D1" w14:textId="77777777" w:rsidTr="00D93B08">
        <w:trPr>
          <w:trHeight w:val="2997"/>
        </w:trPr>
        <w:tc>
          <w:tcPr>
            <w:tcW w:w="1267" w:type="dxa"/>
            <w:hideMark/>
          </w:tcPr>
          <w:p w14:paraId="4EAD90DA"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Aviation</w:t>
            </w:r>
          </w:p>
        </w:tc>
        <w:tc>
          <w:tcPr>
            <w:tcW w:w="2348" w:type="dxa"/>
            <w:hideMark/>
          </w:tcPr>
          <w:p w14:paraId="739AE90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Rapidly increasing </w:t>
            </w:r>
            <w:r w:rsidRPr="009D7D25">
              <w:rPr>
                <w:rFonts w:asciiTheme="minorHAnsi" w:hAnsiTheme="minorHAnsi" w:cstheme="minorHAnsi"/>
                <w:u w:val="single"/>
                <w:lang w:val="en-GB"/>
              </w:rPr>
              <w:t>demand’;</w:t>
            </w:r>
          </w:p>
          <w:p w14:paraId="18EB096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Carbon-intensive </w:t>
            </w:r>
            <w:r w:rsidRPr="009D7D25">
              <w:rPr>
                <w:rFonts w:asciiTheme="minorHAnsi" w:hAnsiTheme="minorHAnsi" w:cstheme="minorHAnsi"/>
                <w:u w:val="single"/>
                <w:lang w:val="en-GB"/>
              </w:rPr>
              <w:t>fuel</w:t>
            </w:r>
            <w:r w:rsidRPr="009D7D25">
              <w:rPr>
                <w:rFonts w:asciiTheme="minorHAnsi" w:hAnsiTheme="minorHAnsi" w:cstheme="minorHAnsi"/>
                <w:lang w:val="en-GB"/>
              </w:rPr>
              <w:t>, with no ‘off the shelf technology alternatives;</w:t>
            </w:r>
          </w:p>
          <w:p w14:paraId="0BD4E6D3"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Low </w:t>
            </w:r>
            <w:r w:rsidRPr="009D7D25">
              <w:rPr>
                <w:rFonts w:asciiTheme="minorHAnsi" w:hAnsiTheme="minorHAnsi" w:cstheme="minorHAnsi"/>
                <w:u w:val="single"/>
                <w:lang w:val="en-GB"/>
              </w:rPr>
              <w:t>fuel price elasticity</w:t>
            </w:r>
            <w:r w:rsidRPr="009D7D25">
              <w:rPr>
                <w:rFonts w:asciiTheme="minorHAnsi" w:hAnsiTheme="minorHAnsi" w:cstheme="minorHAnsi"/>
                <w:lang w:val="en-GB"/>
              </w:rPr>
              <w:t xml:space="preserve"> due to fuel at a fraction of the cost price and limited alternatives;</w:t>
            </w:r>
          </w:p>
          <w:p w14:paraId="01A7F2C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Long fleet </w:t>
            </w:r>
            <w:r w:rsidRPr="009D7D25">
              <w:rPr>
                <w:rFonts w:asciiTheme="minorHAnsi" w:hAnsiTheme="minorHAnsi" w:cstheme="minorHAnsi"/>
                <w:u w:val="single"/>
                <w:lang w:val="en-GB"/>
              </w:rPr>
              <w:t>lifetimes</w:t>
            </w:r>
            <w:r w:rsidRPr="009D7D25">
              <w:rPr>
                <w:rFonts w:asciiTheme="minorHAnsi" w:hAnsiTheme="minorHAnsi" w:cstheme="minorHAnsi"/>
                <w:lang w:val="en-GB"/>
              </w:rPr>
              <w:t xml:space="preserve"> and slow infrastructure turnover;</w:t>
            </w:r>
          </w:p>
          <w:p w14:paraId="2319E376" w14:textId="44B07A7F"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International</w:t>
            </w:r>
            <w:r w:rsidRPr="009D7D25">
              <w:rPr>
                <w:rFonts w:asciiTheme="minorHAnsi" w:hAnsiTheme="minorHAnsi" w:cstheme="minorHAnsi"/>
                <w:lang w:val="en-GB"/>
              </w:rPr>
              <w:t xml:space="preserve"> sector</w:t>
            </w:r>
            <w:r w:rsidR="00CC67EB">
              <w:rPr>
                <w:rFonts w:asciiTheme="minorHAnsi" w:hAnsiTheme="minorHAnsi" w:cstheme="minorHAnsi"/>
                <w:lang w:val="en-GB"/>
              </w:rPr>
              <w:t xml:space="preserve"> is not included under the Paris Agreement</w:t>
            </w:r>
          </w:p>
        </w:tc>
        <w:tc>
          <w:tcPr>
            <w:tcW w:w="2472" w:type="dxa"/>
          </w:tcPr>
          <w:p w14:paraId="3337E290"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Sustainable Aviation Fuels; In the medium term, power-to-liquid fuel and biofuels;</w:t>
            </w:r>
          </w:p>
          <w:p w14:paraId="01FB723D"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Long-term alternative fuelling (e.g. hydrogen in aviation);</w:t>
            </w:r>
          </w:p>
          <w:p w14:paraId="265A47AB"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Alternative modes of transport, such as high-speed rail;</w:t>
            </w:r>
          </w:p>
          <w:p w14:paraId="707C417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Alternative tourism, increased teleworking;</w:t>
            </w:r>
          </w:p>
          <w:p w14:paraId="69E8D00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Adapted aircraft design;</w:t>
            </w:r>
          </w:p>
          <w:p w14:paraId="23828C85"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More efficient operations; </w:t>
            </w:r>
          </w:p>
          <w:p w14:paraId="62557F37"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Earlier retirement of conventional planes</w:t>
            </w:r>
          </w:p>
        </w:tc>
        <w:tc>
          <w:tcPr>
            <w:tcW w:w="2928" w:type="dxa"/>
            <w:hideMark/>
          </w:tcPr>
          <w:p w14:paraId="04FE43F7"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Carbon pricing;</w:t>
            </w:r>
          </w:p>
          <w:p w14:paraId="29820C2F"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Ticket pricing;</w:t>
            </w:r>
          </w:p>
          <w:p w14:paraId="7D1A3C6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Improved alternative transportation infrastructure;</w:t>
            </w:r>
          </w:p>
          <w:p w14:paraId="728CAA70"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Harmonisation of policy;</w:t>
            </w:r>
          </w:p>
          <w:p w14:paraId="19737550"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Investment in R&amp;D</w:t>
            </w:r>
          </w:p>
        </w:tc>
      </w:tr>
      <w:tr w:rsidR="00E12831" w:rsidRPr="009D7D25" w14:paraId="0342B181" w14:textId="77777777" w:rsidTr="00D93B08">
        <w:trPr>
          <w:trHeight w:val="699"/>
        </w:trPr>
        <w:tc>
          <w:tcPr>
            <w:tcW w:w="1267" w:type="dxa"/>
            <w:hideMark/>
          </w:tcPr>
          <w:p w14:paraId="23FEAD40"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Shipping</w:t>
            </w:r>
          </w:p>
        </w:tc>
        <w:tc>
          <w:tcPr>
            <w:tcW w:w="2348" w:type="dxa"/>
            <w:hideMark/>
          </w:tcPr>
          <w:p w14:paraId="7C4941B2"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International</w:t>
            </w:r>
            <w:r w:rsidRPr="009D7D25">
              <w:rPr>
                <w:rFonts w:asciiTheme="minorHAnsi" w:hAnsiTheme="minorHAnsi" w:cstheme="minorHAnsi"/>
                <w:lang w:val="en-GB"/>
              </w:rPr>
              <w:t xml:space="preserve"> character </w:t>
            </w:r>
          </w:p>
          <w:p w14:paraId="216A3484"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Market </w:t>
            </w:r>
            <w:r w:rsidRPr="009D7D25">
              <w:rPr>
                <w:rFonts w:asciiTheme="minorHAnsi" w:hAnsiTheme="minorHAnsi" w:cstheme="minorHAnsi"/>
                <w:u w:val="single"/>
                <w:lang w:val="en-GB"/>
              </w:rPr>
              <w:t>competitiveness</w:t>
            </w:r>
            <w:r w:rsidRPr="009D7D25">
              <w:rPr>
                <w:rFonts w:asciiTheme="minorHAnsi" w:hAnsiTheme="minorHAnsi" w:cstheme="minorHAnsi"/>
                <w:lang w:val="en-GB"/>
              </w:rPr>
              <w:t xml:space="preserve"> and </w:t>
            </w:r>
            <w:r w:rsidRPr="009D7D25">
              <w:rPr>
                <w:rFonts w:asciiTheme="minorHAnsi" w:hAnsiTheme="minorHAnsi" w:cstheme="minorHAnsi"/>
                <w:u w:val="single"/>
                <w:lang w:val="en-GB"/>
              </w:rPr>
              <w:t>dependence</w:t>
            </w:r>
            <w:r w:rsidRPr="009D7D25">
              <w:rPr>
                <w:rFonts w:asciiTheme="minorHAnsi" w:hAnsiTheme="minorHAnsi" w:cstheme="minorHAnsi"/>
                <w:lang w:val="en-GB"/>
              </w:rPr>
              <w:t xml:space="preserve"> on low </w:t>
            </w:r>
            <w:r w:rsidRPr="009D7D25">
              <w:rPr>
                <w:rFonts w:asciiTheme="minorHAnsi" w:hAnsiTheme="minorHAnsi" w:cstheme="minorHAnsi"/>
                <w:u w:val="single"/>
                <w:lang w:val="en-GB"/>
              </w:rPr>
              <w:t>fuel prices</w:t>
            </w:r>
            <w:r w:rsidRPr="009D7D25">
              <w:rPr>
                <w:rFonts w:asciiTheme="minorHAnsi" w:hAnsiTheme="minorHAnsi" w:cstheme="minorHAnsi"/>
                <w:lang w:val="en-GB"/>
              </w:rPr>
              <w:t>;</w:t>
            </w:r>
          </w:p>
          <w:p w14:paraId="026D6055"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Technological</w:t>
            </w:r>
            <w:r w:rsidRPr="009D7D25">
              <w:rPr>
                <w:rFonts w:asciiTheme="minorHAnsi" w:hAnsiTheme="minorHAnsi" w:cstheme="minorHAnsi"/>
                <w:lang w:val="en-GB"/>
              </w:rPr>
              <w:t xml:space="preserve"> problems (difficulties in electrification, no near-term alternative fuels);</w:t>
            </w:r>
          </w:p>
          <w:p w14:paraId="39154F15"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Demand increases</w:t>
            </w:r>
            <w:r w:rsidRPr="009D7D25">
              <w:rPr>
                <w:rFonts w:asciiTheme="minorHAnsi" w:hAnsiTheme="minorHAnsi" w:cstheme="minorHAnsi"/>
                <w:lang w:val="en-GB"/>
              </w:rPr>
              <w:t>, linked with economic growth;</w:t>
            </w:r>
          </w:p>
          <w:p w14:paraId="0187A6EF"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Already</w:t>
            </w:r>
            <w:r w:rsidRPr="009D7D25">
              <w:rPr>
                <w:rFonts w:asciiTheme="minorHAnsi" w:hAnsiTheme="minorHAnsi" w:cstheme="minorHAnsi"/>
                <w:lang w:val="en-GB"/>
              </w:rPr>
              <w:t xml:space="preserve"> highly </w:t>
            </w:r>
            <w:r w:rsidRPr="009D7D25">
              <w:rPr>
                <w:rFonts w:asciiTheme="minorHAnsi" w:hAnsiTheme="minorHAnsi" w:cstheme="minorHAnsi"/>
                <w:u w:val="single"/>
                <w:lang w:val="en-GB"/>
              </w:rPr>
              <w:t>efficient</w:t>
            </w:r>
            <w:r w:rsidRPr="009D7D25">
              <w:rPr>
                <w:rFonts w:asciiTheme="minorHAnsi" w:hAnsiTheme="minorHAnsi" w:cstheme="minorHAnsi"/>
                <w:lang w:val="en-GB"/>
              </w:rPr>
              <w:t xml:space="preserve"> marine engines</w:t>
            </w:r>
          </w:p>
        </w:tc>
        <w:tc>
          <w:tcPr>
            <w:tcW w:w="2472" w:type="dxa"/>
          </w:tcPr>
          <w:p w14:paraId="4C1BE22F"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Alternative fuels;</w:t>
            </w:r>
          </w:p>
          <w:p w14:paraId="64C10A3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Energy Efficiency</w:t>
            </w:r>
          </w:p>
          <w:p w14:paraId="5CB2409D"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Operational measures (slow steaming);</w:t>
            </w:r>
          </w:p>
          <w:p w14:paraId="3D65B64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Efficient ship design</w:t>
            </w:r>
          </w:p>
          <w:p w14:paraId="020F9E10" w14:textId="77777777" w:rsidR="00E12831" w:rsidRPr="009D7D25" w:rsidRDefault="00E12831" w:rsidP="00D93B08">
            <w:pPr>
              <w:pStyle w:val="Tabeltekst"/>
              <w:rPr>
                <w:rFonts w:asciiTheme="minorHAnsi" w:hAnsiTheme="minorHAnsi" w:cstheme="minorHAnsi"/>
                <w:lang w:val="en-GB"/>
              </w:rPr>
            </w:pPr>
          </w:p>
        </w:tc>
        <w:tc>
          <w:tcPr>
            <w:tcW w:w="2928" w:type="dxa"/>
          </w:tcPr>
          <w:p w14:paraId="2C2F897B" w14:textId="77777777" w:rsidR="00E12831" w:rsidRPr="009D7D25" w:rsidRDefault="00E12831" w:rsidP="00D93B08">
            <w:pPr>
              <w:pStyle w:val="Tabeltekst"/>
              <w:rPr>
                <w:rFonts w:asciiTheme="minorHAnsi" w:eastAsiaTheme="minorHAnsi" w:hAnsiTheme="minorHAnsi" w:cstheme="minorHAnsi"/>
                <w:lang w:val="en-GB"/>
              </w:rPr>
            </w:pPr>
            <w:r w:rsidRPr="009D7D25">
              <w:rPr>
                <w:rFonts w:asciiTheme="minorHAnsi" w:hAnsiTheme="minorHAnsi" w:cstheme="minorHAnsi"/>
                <w:lang w:val="en-GB"/>
              </w:rPr>
              <w:t>Slow steaming policy;</w:t>
            </w:r>
          </w:p>
          <w:p w14:paraId="36B9F9F8"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Ship Energy Efficiency Management Plan (SEEMP);</w:t>
            </w:r>
          </w:p>
          <w:p w14:paraId="17B7781D"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Energy Efficiency Design Index (EEDI);</w:t>
            </w:r>
          </w:p>
          <w:p w14:paraId="74879BE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Energy Efficiency Existing Ship Index (EEXI);</w:t>
            </w:r>
          </w:p>
          <w:p w14:paraId="117566BB"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Investment in R&amp;D</w:t>
            </w:r>
          </w:p>
          <w:p w14:paraId="5FF2DE30" w14:textId="77777777" w:rsidR="00E12831" w:rsidRPr="009D7D25" w:rsidRDefault="00E12831" w:rsidP="00D93B08">
            <w:pPr>
              <w:pStyle w:val="Tabeltekst"/>
              <w:rPr>
                <w:rFonts w:asciiTheme="minorHAnsi" w:hAnsiTheme="minorHAnsi" w:cstheme="minorHAnsi"/>
                <w:lang w:val="en-GB"/>
              </w:rPr>
            </w:pPr>
          </w:p>
        </w:tc>
      </w:tr>
    </w:tbl>
    <w:bookmarkEnd w:id="2"/>
    <w:p w14:paraId="30A06214" w14:textId="77777777" w:rsidR="00E12831" w:rsidRPr="00783228" w:rsidRDefault="00E12831" w:rsidP="00E12831">
      <w:pPr>
        <w:pStyle w:val="Kop2Genummerd"/>
        <w:numPr>
          <w:ilvl w:val="0"/>
          <w:numId w:val="0"/>
        </w:numPr>
        <w:ind w:left="851" w:hanging="851"/>
        <w:rPr>
          <w:rFonts w:asciiTheme="minorHAnsi" w:hAnsiTheme="minorHAnsi" w:cstheme="minorHAnsi"/>
          <w:b/>
          <w:bCs/>
          <w:color w:val="auto"/>
          <w:sz w:val="24"/>
          <w:szCs w:val="24"/>
        </w:rPr>
      </w:pPr>
      <w:r>
        <w:rPr>
          <w:rFonts w:asciiTheme="minorHAnsi" w:hAnsiTheme="minorHAnsi" w:cstheme="minorHAnsi"/>
          <w:b/>
          <w:bCs/>
          <w:color w:val="auto"/>
          <w:sz w:val="24"/>
          <w:szCs w:val="24"/>
        </w:rPr>
        <w:t xml:space="preserve">2. </w:t>
      </w:r>
      <w:bookmarkStart w:id="3" w:name="_Toc107224135"/>
      <w:bookmarkStart w:id="4" w:name="_Toc104543688"/>
      <w:r>
        <w:rPr>
          <w:rFonts w:asciiTheme="minorHAnsi" w:hAnsiTheme="minorHAnsi" w:cstheme="minorHAnsi"/>
          <w:b/>
          <w:bCs/>
          <w:color w:val="auto"/>
          <w:sz w:val="24"/>
          <w:szCs w:val="24"/>
        </w:rPr>
        <w:t xml:space="preserve"> </w:t>
      </w:r>
      <w:r w:rsidRPr="00783228">
        <w:rPr>
          <w:rFonts w:asciiTheme="minorHAnsi" w:hAnsiTheme="minorHAnsi" w:cstheme="minorHAnsi"/>
          <w:b/>
          <w:bCs/>
          <w:color w:val="auto"/>
          <w:sz w:val="24"/>
          <w:szCs w:val="24"/>
        </w:rPr>
        <w:t>Industry and materials</w:t>
      </w:r>
      <w:bookmarkEnd w:id="3"/>
      <w:bookmarkEnd w:id="4"/>
    </w:p>
    <w:p w14:paraId="13DF664C" w14:textId="77777777" w:rsidR="00E12831" w:rsidRPr="00AF639D" w:rsidRDefault="00E12831" w:rsidP="00E12831">
      <w:pPr>
        <w:pStyle w:val="Kop3Genummerd"/>
        <w:numPr>
          <w:ilvl w:val="0"/>
          <w:numId w:val="0"/>
        </w:numPr>
        <w:ind w:left="851" w:hanging="851"/>
        <w:rPr>
          <w:rFonts w:asciiTheme="minorHAnsi" w:hAnsiTheme="minorHAnsi" w:cstheme="minorHAnsi"/>
          <w:bCs w:val="0"/>
          <w:i/>
          <w:iCs/>
          <w:color w:val="auto"/>
          <w:sz w:val="21"/>
          <w:szCs w:val="21"/>
          <w:lang w:val="en-GB"/>
        </w:rPr>
      </w:pPr>
      <w:r w:rsidRPr="00AF639D">
        <w:rPr>
          <w:rFonts w:asciiTheme="minorHAnsi" w:hAnsiTheme="minorHAnsi" w:cstheme="minorHAnsi"/>
          <w:bCs w:val="0"/>
          <w:i/>
          <w:iCs/>
          <w:color w:val="auto"/>
          <w:sz w:val="21"/>
          <w:szCs w:val="21"/>
          <w:lang w:val="en-GB"/>
        </w:rPr>
        <w:t>Overview of sector and its complexities</w:t>
      </w:r>
    </w:p>
    <w:p w14:paraId="7C643198" w14:textId="77777777" w:rsidR="00E12831" w:rsidRPr="009D7D25" w:rsidRDefault="00E12831" w:rsidP="00E12831">
      <w:pPr>
        <w:rPr>
          <w:rFonts w:cstheme="minorHAnsi"/>
          <w:lang w:val="en-GB"/>
        </w:rPr>
      </w:pPr>
      <w:r w:rsidRPr="009D7D25">
        <w:rPr>
          <w:rFonts w:cstheme="minorHAnsi"/>
          <w:lang w:val="en-GB"/>
        </w:rPr>
        <w:t>Globally, the industrial sector contributes to about 24% of all anthropogenic direct CO</w:t>
      </w:r>
      <w:r w:rsidRPr="009D7D25">
        <w:rPr>
          <w:rFonts w:cstheme="minorHAnsi"/>
          <w:vertAlign w:val="subscript"/>
          <w:lang w:val="en-GB"/>
        </w:rPr>
        <w:t>2</w:t>
      </w:r>
      <w:r w:rsidRPr="009D7D25">
        <w:rPr>
          <w:rFonts w:cstheme="minorHAnsi"/>
          <w:lang w:val="en-GB"/>
        </w:rPr>
        <w:t xml:space="preserve"> emissions (IEA, 2022) and is the largest energy-demanding sector, consuming 29% of the total final energy consumption (Birol et al., 2015). The bulk of direct emissions is emitted by only a few key basic industries comprising of clinker and cement (27%), iron and steel (25% in 2018), and chemicals (14%) (IEA, 2022). If historical trends are continued, the OECD (2018) anticipates that the current global primary material demand will double by mid century (OECD, 2019b). Greater growth is expected for metals and non-metallic minerals (construction materials), particularly in emerging and developing economies, while fossil fuels and biomass resources follow an overall slower trend. Environmental effects from new material demand (e.g. for steel and cement products) are projected to exceed the </w:t>
      </w:r>
      <w:r w:rsidRPr="009D7D25">
        <w:rPr>
          <w:rFonts w:cstheme="minorHAnsi"/>
          <w:lang w:val="en-GB"/>
        </w:rPr>
        <w:lastRenderedPageBreak/>
        <w:t xml:space="preserve">gains from circularity (recycling) and energy-efficiency improvements, leading to a net increase in the environmental pressure emerging from the industry sector (OECD, 2019b; van </w:t>
      </w:r>
      <w:proofErr w:type="spellStart"/>
      <w:r w:rsidRPr="009D7D25">
        <w:rPr>
          <w:rFonts w:cstheme="minorHAnsi"/>
          <w:lang w:val="en-GB"/>
        </w:rPr>
        <w:t>Ruijven</w:t>
      </w:r>
      <w:proofErr w:type="spellEnd"/>
      <w:r w:rsidRPr="009D7D25">
        <w:rPr>
          <w:rFonts w:cstheme="minorHAnsi"/>
          <w:lang w:val="en-GB"/>
        </w:rPr>
        <w:t>, 2016).</w:t>
      </w:r>
    </w:p>
    <w:p w14:paraId="2ACF9911" w14:textId="77777777" w:rsidR="00E12831" w:rsidRPr="009D7D25" w:rsidRDefault="00E12831" w:rsidP="00E12831">
      <w:pPr>
        <w:rPr>
          <w:rFonts w:cstheme="minorHAnsi"/>
          <w:lang w:val="en-GB"/>
        </w:rPr>
      </w:pPr>
      <w:r w:rsidRPr="009D7D25">
        <w:rPr>
          <w:rFonts w:cstheme="minorHAnsi"/>
          <w:lang w:val="en-GB"/>
        </w:rPr>
        <w:t>Next to an increase in material demand, industry faces a number of technical challenges at the same time, making the emissions from this sector hard to abate. Unlike other demand sectors, the challenge industry is not only about decarbonising energy emissions, as many emission-intensive industries also emit a high share of process emissions. Process emissions are a result of changes made to the chemical composition of composites during processing; for example, as found in the separation of oxygen from iron ore, or the extraction of calcium from limestone. Subsequently, several heavy industries also operate under very specific conditions (e.g. high temperatures) that are not easily substituted. Given how these process emissions and industrial specificities are intrinsic to certain production processes, it requires tailored knowledge and adoption of low-carbon alternatives. Often, this implies radical changes to current production sites or a need for a new type of industry to arise.</w:t>
      </w:r>
    </w:p>
    <w:p w14:paraId="792FFCF6" w14:textId="77777777" w:rsidR="00E12831" w:rsidRPr="009D7D25" w:rsidRDefault="00E12831" w:rsidP="00E12831">
      <w:pPr>
        <w:rPr>
          <w:rFonts w:cstheme="minorHAnsi"/>
          <w:lang w:val="en-GB"/>
        </w:rPr>
      </w:pPr>
      <w:r w:rsidRPr="009D7D25">
        <w:rPr>
          <w:rFonts w:cstheme="minorHAnsi"/>
          <w:lang w:val="en-GB"/>
        </w:rPr>
        <w:t xml:space="preserve">Stimulating a new industry, or remodelling a current one requires ability and opportunity. Already under normal conditions, the heavy industries can experience difficulties as they operate in highly competitive markets with high variations in profit margins (Crompton and </w:t>
      </w:r>
      <w:proofErr w:type="spellStart"/>
      <w:r w:rsidRPr="009D7D25">
        <w:rPr>
          <w:rFonts w:cstheme="minorHAnsi"/>
          <w:lang w:val="en-GB"/>
        </w:rPr>
        <w:t>Lesourd</w:t>
      </w:r>
      <w:proofErr w:type="spellEnd"/>
      <w:r w:rsidRPr="009D7D25">
        <w:rPr>
          <w:rFonts w:cstheme="minorHAnsi"/>
          <w:lang w:val="en-GB"/>
        </w:rPr>
        <w:t xml:space="preserve">, 2008; Luiten et al., 2006). Common practice, particular in industrialised countries, is for example to make investments to refurbish existing plants (brownfield investments) instead of building new plants. Compared to bulk material, the specialised, high-quality materials find themselves in a somewhat different market, where the importance of quality, reliability and timing results in a lower price elasticity and a less volatile market. </w:t>
      </w:r>
    </w:p>
    <w:p w14:paraId="410856C3" w14:textId="77777777" w:rsidR="00E12831" w:rsidRPr="009D7D25" w:rsidRDefault="00E12831" w:rsidP="00E12831">
      <w:pPr>
        <w:rPr>
          <w:rFonts w:cstheme="minorHAnsi"/>
          <w:lang w:val="en-GB"/>
        </w:rPr>
      </w:pPr>
      <w:r w:rsidRPr="009D7D25">
        <w:rPr>
          <w:rFonts w:cstheme="minorHAnsi"/>
          <w:lang w:val="en-GB"/>
        </w:rPr>
        <w:t>From an operational point of view, additional barriers for investments in low-carbon solutions exist as a consequence of uncertainties, in the long run. Particularly, the absence of regulatory certainty (affecting future operational costs), required infrastructure (e.g. for anticipated use or supply of hydrogen, CO</w:t>
      </w:r>
      <w:r w:rsidRPr="009D7D25">
        <w:rPr>
          <w:rFonts w:cstheme="minorHAnsi"/>
          <w:vertAlign w:val="subscript"/>
          <w:lang w:val="en-GB"/>
        </w:rPr>
        <w:t>2</w:t>
      </w:r>
      <w:r w:rsidRPr="009D7D25">
        <w:rPr>
          <w:rFonts w:cstheme="minorHAnsi"/>
          <w:lang w:val="en-GB"/>
        </w:rPr>
        <w:t xml:space="preserve"> or electricity) or demand for the new but pricier low-carbon end product or its secondary market add uncertainty to long-term planning that needs to be bridged.</w:t>
      </w:r>
    </w:p>
    <w:p w14:paraId="77F5582B" w14:textId="77777777" w:rsidR="00E12831" w:rsidRPr="009D7D25" w:rsidRDefault="00E12831" w:rsidP="00E12831">
      <w:pPr>
        <w:pStyle w:val="Alternatievetekst"/>
        <w:rPr>
          <w:rFonts w:asciiTheme="minorHAnsi" w:hAnsiTheme="minorHAnsi" w:cstheme="minorHAnsi"/>
          <w:b/>
          <w:bCs/>
          <w:color w:val="auto"/>
          <w:lang w:val="en-GB"/>
        </w:rPr>
      </w:pPr>
      <w:r w:rsidRPr="009D7D25">
        <w:rPr>
          <w:rFonts w:asciiTheme="minorHAnsi" w:hAnsiTheme="minorHAnsi" w:cstheme="minorHAnsi"/>
          <w:b/>
          <w:bCs/>
          <w:color w:val="auto"/>
          <w:lang w:val="en-GB"/>
        </w:rPr>
        <w:t>Measures and policies</w:t>
      </w:r>
    </w:p>
    <w:p w14:paraId="1A4467F4" w14:textId="77777777" w:rsidR="00E12831" w:rsidRPr="009D7D25" w:rsidRDefault="00E12831" w:rsidP="00E12831">
      <w:pPr>
        <w:rPr>
          <w:rFonts w:cstheme="minorHAnsi"/>
          <w:lang w:val="en-GB"/>
        </w:rPr>
      </w:pPr>
      <w:r w:rsidRPr="009D7D25">
        <w:rPr>
          <w:rFonts w:cstheme="minorHAnsi"/>
          <w:lang w:val="en-GB"/>
        </w:rPr>
        <w:t xml:space="preserve">Strategies to mitigate the climate impact of industry require a change across all value chains in society; from extraction and mining to processing, manufacturing, the end-user and back. For processing and manufacturing, the proposed solutions cover mostly fuel and feedstock switching and adopting innovative new production technologies that either enable capturing or reducing direct emissions from production. However, which strategy is to be chosen very much depends on the sector and region involved and the policy context that is put in place. For example, </w:t>
      </w:r>
      <w:proofErr w:type="spellStart"/>
      <w:r w:rsidRPr="009D7D25">
        <w:rPr>
          <w:rFonts w:cstheme="minorHAnsi"/>
          <w:lang w:val="en-GB"/>
        </w:rPr>
        <w:t>Gerres</w:t>
      </w:r>
      <w:proofErr w:type="spellEnd"/>
      <w:r w:rsidRPr="009D7D25">
        <w:rPr>
          <w:rFonts w:cstheme="minorHAnsi"/>
          <w:lang w:val="en-GB"/>
        </w:rPr>
        <w:t xml:space="preserve"> et al. (2019), who look into a variety of European industrial roadmaps from 2009 to 2017, show that core discussion topics amongst the industries themselves were on the conversion of energy to heat amongst the iron and steel, pulp and paper, ceramics and food sectors. Specific interests have also been placed on electrolysis (iron and steel), alternative feedstock (clinker and cement sector) and chemical, electro-chemical and mechanical separation processes (chemical and petrochemical sector). Johnson et al. (2021), repeating a similar roadmap analysis for the 2015–2020 period, show that the focus shifted to carbon capture and storage, electrification and the enabling conditions for these transformations to occur. With increasing efforts to comply with ever tightening climate objectives and conditions, more robust pathways of change per industrial sector are expected to form and materialise. A clear example is found with the steel industry, showing a strong worldwide mobilization towards a particular zero-carbon technology (hydrogen-based Direct Reduced Iron, H-DRI) since the 2020s (</w:t>
      </w:r>
      <w:proofErr w:type="spellStart"/>
      <w:r w:rsidRPr="009D7D25">
        <w:rPr>
          <w:rFonts w:cstheme="minorHAnsi"/>
          <w:lang w:val="en-GB"/>
        </w:rPr>
        <w:t>Vogl</w:t>
      </w:r>
      <w:proofErr w:type="spellEnd"/>
      <w:r w:rsidRPr="009D7D25">
        <w:rPr>
          <w:rFonts w:cstheme="minorHAnsi"/>
          <w:lang w:val="en-GB"/>
        </w:rPr>
        <w:t xml:space="preserve"> et al., 2021; Agora </w:t>
      </w:r>
      <w:proofErr w:type="spellStart"/>
      <w:r w:rsidRPr="009D7D25">
        <w:rPr>
          <w:rFonts w:cstheme="minorHAnsi"/>
          <w:lang w:val="en-GB"/>
        </w:rPr>
        <w:t>Energiewende</w:t>
      </w:r>
      <w:proofErr w:type="spellEnd"/>
      <w:r w:rsidRPr="009D7D25">
        <w:rPr>
          <w:rFonts w:cstheme="minorHAnsi"/>
          <w:lang w:val="en-GB"/>
        </w:rPr>
        <w:t xml:space="preserve">, 2022). However, although operation starting dates have been set for some of the announced projects within the next decade, to date, </w:t>
      </w:r>
      <w:r w:rsidRPr="009D7D25">
        <w:rPr>
          <w:rFonts w:cstheme="minorHAnsi"/>
          <w:lang w:val="en-GB"/>
        </w:rPr>
        <w:lastRenderedPageBreak/>
        <w:t xml:space="preserve">only a limited number of actual investment decisions towards green production have been formalised. </w:t>
      </w:r>
    </w:p>
    <w:p w14:paraId="4D54B8B5" w14:textId="77777777" w:rsidR="00E12831" w:rsidRPr="009D7D25" w:rsidRDefault="00E12831" w:rsidP="00E12831">
      <w:pPr>
        <w:rPr>
          <w:rFonts w:cstheme="minorHAnsi"/>
          <w:lang w:val="en-GB"/>
        </w:rPr>
      </w:pPr>
      <w:r w:rsidRPr="009D7D25">
        <w:rPr>
          <w:rFonts w:cstheme="minorHAnsi"/>
          <w:lang w:val="en-GB"/>
        </w:rPr>
        <w:t>A common and long-term industrial policy is frequently mentioned as a means of breaking a stalemate and providing stronger footing for the adoption of radical innovation in industry. Although countries with higher emission levels explicitly included industry in their NDCs, since COP26 in Glasgow (2021), two thirds of them still lack any specification for their industrial sub-sectors (Sanchez and Nilsson, 2021). Most remarkably, the European Union does not explicitly mention the industrial sector as a whole, despite its leading position in formulating climate ambition. From an EU standpoint, policies have remained mostly technology-neutral and focused on setting conditions and boundaries for the internal market. Particularly, the recent European Green Deal (</w:t>
      </w:r>
      <w:proofErr w:type="spellStart"/>
      <w:r w:rsidRPr="009D7D25">
        <w:rPr>
          <w:rFonts w:cstheme="minorHAnsi"/>
          <w:lang w:val="en-GB"/>
        </w:rPr>
        <w:t>Fetting</w:t>
      </w:r>
      <w:proofErr w:type="spellEnd"/>
      <w:r w:rsidRPr="009D7D25">
        <w:rPr>
          <w:rFonts w:cstheme="minorHAnsi"/>
          <w:lang w:val="en-GB"/>
        </w:rPr>
        <w:t>, 2019) and the Fit for 55 package (European Commission, 2021) offer supporting guidelines and nudges into the desired direction. Policy instruments have therefore focused on making carbon-intensive production processes and imports less attractive (respectively, by increasing the carbon price in the emissions trading system (ETS), and the Carbon Border Adjustment Mechanism, CBAM, currently under discussion) on a sectoral level, while direct investment support schemes are implemented on project level to subsidise parts of the total investment costs for low-carbon innovations (e.g. EU funding programmes), or their operational costs (e.g. via Carbon Contracts for Difference). Public support is also provided to innovation projects that are considered too big for one Member State or one company alone.</w:t>
      </w:r>
    </w:p>
    <w:p w14:paraId="463ED304" w14:textId="77777777" w:rsidR="00E12831" w:rsidRPr="009D7D25" w:rsidRDefault="00E12831" w:rsidP="00E12831">
      <w:pPr>
        <w:rPr>
          <w:rFonts w:cstheme="minorHAnsi"/>
          <w:lang w:val="en-GB"/>
        </w:rPr>
      </w:pPr>
      <w:r w:rsidRPr="009D7D25">
        <w:rPr>
          <w:rFonts w:cstheme="minorHAnsi"/>
          <w:lang w:val="en-GB"/>
        </w:rPr>
        <w:t>More downstream, circular economy principles apply when considering strategies for mitigating the impact of the industrial value chain. Strategies include new design standards for durability, enhanced reuse and recycling. Other examples are material substitution (e.g. cross-laminated timber replacing steel) and material and value retention (e.g. through sharing economic initiatives, repair shops). Although the mitigation potential of some circularity measures that slow down, narrow or close the material flux through the economy are still contested, it is assumed that they will cause a shift away from, or restrict the need for, high-carbon production processes (McCarthy et al., 2018). Dedicated, regulatory circular economy policy packages, especially those related to industry, are considered to be effective in implementing the waste hierarchy (reduce, recover, recycle) (Fitch-Roy et al., 2021). Most activities are in an experimental phase, with a focus on a specific product or resource rather than on the entire value chain, without a clear prioritisation and timing of when concepts can be implemented.</w:t>
      </w:r>
    </w:p>
    <w:p w14:paraId="7332236E" w14:textId="77777777" w:rsidR="00E12831" w:rsidRPr="009D7D25" w:rsidRDefault="00E12831" w:rsidP="00E12831">
      <w:pPr>
        <w:pStyle w:val="Figuur-tabel-nummer"/>
        <w:rPr>
          <w:rFonts w:asciiTheme="minorHAnsi" w:eastAsia="Calibri" w:hAnsiTheme="minorHAnsi" w:cstheme="minorHAnsi"/>
          <w:color w:val="auto"/>
          <w:lang w:val="en-GB"/>
        </w:rPr>
      </w:pPr>
      <w:r w:rsidRPr="009D7D25">
        <w:rPr>
          <w:rFonts w:asciiTheme="minorHAnsi" w:eastAsia="Calibri" w:hAnsiTheme="minorHAnsi" w:cstheme="minorHAnsi"/>
          <w:color w:val="auto"/>
          <w:lang w:val="en-GB"/>
        </w:rPr>
        <w:t xml:space="preserve">Table </w:t>
      </w:r>
      <w:r>
        <w:rPr>
          <w:rFonts w:asciiTheme="minorHAnsi" w:eastAsia="Calibri" w:hAnsiTheme="minorHAnsi" w:cstheme="minorHAnsi"/>
          <w:color w:val="auto"/>
          <w:lang w:val="en-GB"/>
        </w:rPr>
        <w:t>2</w:t>
      </w:r>
    </w:p>
    <w:p w14:paraId="65863123" w14:textId="77777777" w:rsidR="00E12831" w:rsidRPr="009D7D25" w:rsidRDefault="00E12831" w:rsidP="00E12831">
      <w:pPr>
        <w:pStyle w:val="Figuur-tabel-titel"/>
        <w:rPr>
          <w:rFonts w:asciiTheme="minorHAnsi" w:hAnsiTheme="minorHAnsi" w:cstheme="minorHAnsi"/>
          <w:color w:val="auto"/>
          <w:lang w:val="en-GB"/>
        </w:rPr>
      </w:pPr>
      <w:r w:rsidRPr="009D7D25">
        <w:rPr>
          <w:rFonts w:asciiTheme="minorHAnsi" w:hAnsiTheme="minorHAnsi" w:cstheme="minorHAnsi"/>
          <w:color w:val="auto"/>
          <w:lang w:val="en-GB"/>
        </w:rPr>
        <w:t>Overview of the challenges in the industrial sector, and the measures and policies connected to achieving net zero emissions.</w:t>
      </w:r>
    </w:p>
    <w:tbl>
      <w:tblPr>
        <w:tblStyle w:val="TableGrid"/>
        <w:tblW w:w="0" w:type="auto"/>
        <w:tblLook w:val="0420" w:firstRow="1" w:lastRow="0" w:firstColumn="0" w:lastColumn="0" w:noHBand="0" w:noVBand="1"/>
      </w:tblPr>
      <w:tblGrid>
        <w:gridCol w:w="2966"/>
        <w:gridCol w:w="2799"/>
        <w:gridCol w:w="2729"/>
      </w:tblGrid>
      <w:tr w:rsidR="00E12831" w:rsidRPr="009D7D25" w14:paraId="38C3431A" w14:textId="77777777" w:rsidTr="00D93B08">
        <w:tc>
          <w:tcPr>
            <w:tcW w:w="2966" w:type="dxa"/>
            <w:hideMark/>
          </w:tcPr>
          <w:p w14:paraId="6818076B" w14:textId="77777777" w:rsidR="00E12831" w:rsidRPr="009D7D25" w:rsidRDefault="00E12831" w:rsidP="00D93B08">
            <w:pPr>
              <w:pStyle w:val="Tabeltekst"/>
              <w:rPr>
                <w:rFonts w:asciiTheme="minorHAnsi" w:eastAsiaTheme="minorHAnsi" w:hAnsiTheme="minorHAnsi" w:cstheme="minorHAnsi"/>
                <w:b/>
                <w:bCs/>
                <w:lang w:val="en-GB"/>
              </w:rPr>
            </w:pPr>
            <w:r w:rsidRPr="009D7D25">
              <w:rPr>
                <w:rFonts w:asciiTheme="minorHAnsi" w:hAnsiTheme="minorHAnsi" w:cstheme="minorHAnsi"/>
                <w:b/>
                <w:bCs/>
                <w:lang w:val="en-GB"/>
              </w:rPr>
              <w:t>Challenges</w:t>
            </w:r>
          </w:p>
        </w:tc>
        <w:tc>
          <w:tcPr>
            <w:tcW w:w="2799" w:type="dxa"/>
            <w:hideMark/>
          </w:tcPr>
          <w:p w14:paraId="7CE18FCD"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Measures</w:t>
            </w:r>
          </w:p>
        </w:tc>
        <w:tc>
          <w:tcPr>
            <w:tcW w:w="2729" w:type="dxa"/>
            <w:hideMark/>
          </w:tcPr>
          <w:p w14:paraId="745695F1"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Policies</w:t>
            </w:r>
          </w:p>
        </w:tc>
      </w:tr>
      <w:tr w:rsidR="00E12831" w:rsidRPr="00314E9B" w14:paraId="73B2FBBB" w14:textId="77777777" w:rsidTr="00D93B08">
        <w:tc>
          <w:tcPr>
            <w:tcW w:w="2966" w:type="dxa"/>
          </w:tcPr>
          <w:p w14:paraId="35F1FC5C"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Complexity</w:t>
            </w:r>
            <w:r w:rsidRPr="009D7D25">
              <w:rPr>
                <w:rFonts w:asciiTheme="minorHAnsi" w:hAnsiTheme="minorHAnsi" w:cstheme="minorHAnsi"/>
                <w:lang w:val="en-GB"/>
              </w:rPr>
              <w:t xml:space="preserve"> of the sector (product-wise and regionally) requires tailored policy;</w:t>
            </w:r>
          </w:p>
          <w:p w14:paraId="1F6B2CF1"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High </w:t>
            </w:r>
            <w:r w:rsidRPr="009D7D25">
              <w:rPr>
                <w:rFonts w:asciiTheme="minorHAnsi" w:hAnsiTheme="minorHAnsi" w:cstheme="minorHAnsi"/>
                <w:u w:val="single"/>
                <w:lang w:val="en-GB"/>
              </w:rPr>
              <w:t>competitiveness</w:t>
            </w:r>
            <w:r w:rsidRPr="009D7D25">
              <w:rPr>
                <w:rFonts w:asciiTheme="minorHAnsi" w:hAnsiTheme="minorHAnsi" w:cstheme="minorHAnsi"/>
                <w:lang w:val="en-GB"/>
              </w:rPr>
              <w:t xml:space="preserve"> due to high energy intensity and capital costs;</w:t>
            </w:r>
          </w:p>
          <w:p w14:paraId="6DA7D305"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Intrinsic emissions</w:t>
            </w:r>
            <w:r w:rsidRPr="009D7D25">
              <w:rPr>
                <w:rFonts w:asciiTheme="minorHAnsi" w:hAnsiTheme="minorHAnsi" w:cstheme="minorHAnsi"/>
                <w:lang w:val="en-GB"/>
              </w:rPr>
              <w:t xml:space="preserve"> in high-temperature and process industry;</w:t>
            </w:r>
          </w:p>
          <w:p w14:paraId="5A574CD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lastRenderedPageBreak/>
              <w:t>Demand inelastic</w:t>
            </w:r>
            <w:r w:rsidRPr="009D7D25">
              <w:rPr>
                <w:rFonts w:asciiTheme="minorHAnsi" w:hAnsiTheme="minorHAnsi" w:cstheme="minorHAnsi"/>
                <w:lang w:val="en-GB"/>
              </w:rPr>
              <w:t xml:space="preserve"> and growing, due to linkages with other sectors, economic growth and infrastructure demand;</w:t>
            </w:r>
          </w:p>
          <w:p w14:paraId="622CC9C5"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Long lifetimes</w:t>
            </w:r>
            <w:r w:rsidRPr="009D7D25">
              <w:rPr>
                <w:rFonts w:asciiTheme="minorHAnsi" w:hAnsiTheme="minorHAnsi" w:cstheme="minorHAnsi"/>
                <w:lang w:val="en-GB"/>
              </w:rPr>
              <w:t xml:space="preserve"> of products and factories in combination with high costs of change</w:t>
            </w:r>
          </w:p>
        </w:tc>
        <w:tc>
          <w:tcPr>
            <w:tcW w:w="2799" w:type="dxa"/>
          </w:tcPr>
          <w:p w14:paraId="6B4584B2"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lastRenderedPageBreak/>
              <w:t>Technological advancement in process industry (electrification, clean fuel, CCS);</w:t>
            </w:r>
          </w:p>
          <w:p w14:paraId="6500A3B6"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Alternative feedstock;</w:t>
            </w:r>
          </w:p>
          <w:p w14:paraId="6495717B"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Circularity of materials and extended product lifetimes;</w:t>
            </w:r>
          </w:p>
          <w:p w14:paraId="542F58E5"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Material retention, substitution and efficiency;</w:t>
            </w:r>
          </w:p>
          <w:p w14:paraId="37722188"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Integration of processes via scale and interlinkage of sub-</w:t>
            </w:r>
            <w:r w:rsidRPr="009D7D25">
              <w:rPr>
                <w:rFonts w:asciiTheme="minorHAnsi" w:hAnsiTheme="minorHAnsi" w:cstheme="minorHAnsi"/>
                <w:lang w:val="en-GB"/>
              </w:rPr>
              <w:lastRenderedPageBreak/>
              <w:t>sectors, also in the form of energy and carbon storage;</w:t>
            </w:r>
          </w:p>
          <w:p w14:paraId="307D3E2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Lifestyle change and changes to current product standards and traditions;</w:t>
            </w:r>
          </w:p>
          <w:p w14:paraId="4FC6B057"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Early retirement of current production infrastructure</w:t>
            </w:r>
          </w:p>
          <w:p w14:paraId="1467E6B4" w14:textId="77777777" w:rsidR="00E12831" w:rsidRPr="009D7D25" w:rsidRDefault="00E12831" w:rsidP="00D93B08">
            <w:pPr>
              <w:pStyle w:val="Tabeltekst"/>
              <w:rPr>
                <w:rFonts w:asciiTheme="minorHAnsi" w:hAnsiTheme="minorHAnsi" w:cstheme="minorHAnsi"/>
                <w:lang w:val="en-GB"/>
              </w:rPr>
            </w:pPr>
          </w:p>
        </w:tc>
        <w:tc>
          <w:tcPr>
            <w:tcW w:w="2729" w:type="dxa"/>
            <w:hideMark/>
          </w:tcPr>
          <w:p w14:paraId="710A4CD9"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lastRenderedPageBreak/>
              <w:t>Improvement in the global governance of industrial / whole value-chain transitions;</w:t>
            </w:r>
          </w:p>
          <w:p w14:paraId="33330948"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Promotion of circular economy principles (product requirements, warranty times, tax on goods);</w:t>
            </w:r>
          </w:p>
          <w:p w14:paraId="47F7F116"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Market-based policy instruments to move away from high carbon production </w:t>
            </w:r>
            <w:r w:rsidRPr="009D7D25">
              <w:rPr>
                <w:rFonts w:asciiTheme="minorHAnsi" w:hAnsiTheme="minorHAnsi" w:cstheme="minorHAnsi"/>
                <w:lang w:val="en-GB"/>
              </w:rPr>
              <w:lastRenderedPageBreak/>
              <w:t>(carbon price) and imports/exports (carbon border adjustment mechanism);</w:t>
            </w:r>
          </w:p>
          <w:p w14:paraId="0DE8C258"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Direct investment support schemes for capital-intensive equipment (e.g. Investment fund);</w:t>
            </w:r>
          </w:p>
          <w:p w14:paraId="35746C48"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Market development policies for low-carbon or secondary materials (e.g. green public procurement, Contracts-for-Difference);</w:t>
            </w:r>
          </w:p>
          <w:p w14:paraId="4E6AD67B"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International harmonisation to avoid carbon leakage</w:t>
            </w:r>
          </w:p>
        </w:tc>
      </w:tr>
    </w:tbl>
    <w:p w14:paraId="347026FA" w14:textId="77777777" w:rsidR="00E12831" w:rsidRPr="009D7D25" w:rsidRDefault="00E12831" w:rsidP="00E12831">
      <w:pPr>
        <w:rPr>
          <w:rFonts w:cstheme="minorHAnsi"/>
          <w:lang w:val="en-GB"/>
        </w:rPr>
      </w:pPr>
    </w:p>
    <w:p w14:paraId="4D9409FB" w14:textId="77777777" w:rsidR="00E12831" w:rsidRPr="009D7D25" w:rsidRDefault="00E12831" w:rsidP="00E12831">
      <w:pPr>
        <w:rPr>
          <w:rFonts w:cstheme="minorHAnsi"/>
          <w:lang w:val="en-GB"/>
        </w:rPr>
      </w:pPr>
      <w:r w:rsidRPr="009D7D25">
        <w:rPr>
          <w:rFonts w:cstheme="minorHAnsi"/>
          <w:lang w:val="en-GB"/>
        </w:rPr>
        <w:t>Proposing solutions that either add a price premium to a primary product that is produced in a highly competitive environment, or that do not award an appropriate value and quality to a product and its lifecycle, hampers the creation of viable business cases or new viable markets. There are various options for creating markets for carbon-free primary or secondary production. One that is frequently mentioned is green public procurement (GPP) (</w:t>
      </w:r>
      <w:proofErr w:type="spellStart"/>
      <w:r w:rsidRPr="009D7D25">
        <w:rPr>
          <w:rFonts w:cstheme="minorHAnsi"/>
          <w:lang w:val="en-GB"/>
        </w:rPr>
        <w:t>Hasanbeig</w:t>
      </w:r>
      <w:proofErr w:type="spellEnd"/>
      <w:r w:rsidRPr="009D7D25">
        <w:rPr>
          <w:rFonts w:cstheme="minorHAnsi"/>
          <w:lang w:val="en-GB"/>
        </w:rPr>
        <w:t xml:space="preserve"> et al.,2021), which creates a substantial volume in demand. A market can also be specifically engineered through private partnerships. Recent collaboration initiatives include those that close part of the value chain (mostly centred around low-carbon steel use in the automotive industry</w:t>
      </w:r>
      <w:r w:rsidRPr="009D7D25">
        <w:rPr>
          <w:rFonts w:cstheme="minorHAnsi"/>
          <w:vertAlign w:val="superscript"/>
          <w:lang w:val="en-GB"/>
        </w:rPr>
        <w:t xml:space="preserve"> </w:t>
      </w:r>
      <w:r w:rsidRPr="009D7D25">
        <w:rPr>
          <w:rFonts w:cstheme="minorHAnsi"/>
          <w:lang w:val="en-GB"/>
        </w:rPr>
        <w:t>or the entire value chain amongst aspiring supply chain partners (</w:t>
      </w:r>
      <w:proofErr w:type="spellStart"/>
      <w:r w:rsidRPr="009D7D25">
        <w:rPr>
          <w:rFonts w:cstheme="minorHAnsi"/>
          <w:lang w:val="en-GB"/>
        </w:rPr>
        <w:t>Ørsted</w:t>
      </w:r>
      <w:proofErr w:type="spellEnd"/>
      <w:r w:rsidRPr="009D7D25">
        <w:rPr>
          <w:rFonts w:cstheme="minorHAnsi"/>
          <w:lang w:val="en-GB"/>
        </w:rPr>
        <w:t>, 2022).</w:t>
      </w:r>
    </w:p>
    <w:p w14:paraId="434FAEC3" w14:textId="77777777" w:rsidR="00E12831" w:rsidRPr="009D7D25" w:rsidRDefault="00E12831" w:rsidP="00E12831">
      <w:pPr>
        <w:rPr>
          <w:rFonts w:eastAsia="Calibri" w:cstheme="minorHAnsi"/>
          <w:lang w:val="en-GB"/>
        </w:rPr>
      </w:pPr>
      <w:r w:rsidRPr="009D7D25">
        <w:rPr>
          <w:rFonts w:cstheme="minorHAnsi"/>
          <w:lang w:val="en-GB"/>
        </w:rPr>
        <w:t>Finally, many industrial value chains operate on international markets. In the current landscape, they are subjected to a wide variety of policy frameworks and national and international legislation, which make the sector potentially prone to carbon leakage. Currently, however, mostly transnational initiatives and institutions (e.g. leadership groups, climate clubs, bilateral cooperation) have taken the lead in generating momentum for a broader global governance of the industrial transition. Further mainstreaming and harmonisation could help advance the green industrial transition in line with the Paris Agreement objectives (</w:t>
      </w:r>
      <w:proofErr w:type="spellStart"/>
      <w:r w:rsidRPr="009D7D25">
        <w:rPr>
          <w:rFonts w:cstheme="minorHAnsi"/>
          <w:lang w:val="en-GB"/>
        </w:rPr>
        <w:t>Oberthür</w:t>
      </w:r>
      <w:proofErr w:type="spellEnd"/>
      <w:r w:rsidRPr="009D7D25">
        <w:rPr>
          <w:rFonts w:cstheme="minorHAnsi"/>
          <w:lang w:val="en-GB"/>
        </w:rPr>
        <w:t xml:space="preserve"> et al., 2021).</w:t>
      </w:r>
    </w:p>
    <w:p w14:paraId="62F03ABE" w14:textId="77777777" w:rsidR="00E12831" w:rsidRPr="009D7D25" w:rsidRDefault="00E12831" w:rsidP="00E12831">
      <w:pPr>
        <w:pStyle w:val="Alternatievetekst"/>
        <w:rPr>
          <w:rFonts w:asciiTheme="minorHAnsi" w:hAnsiTheme="minorHAnsi" w:cstheme="minorHAnsi"/>
          <w:b/>
          <w:bCs/>
          <w:color w:val="auto"/>
          <w:sz w:val="24"/>
          <w:szCs w:val="24"/>
          <w:lang w:val="en-US"/>
        </w:rPr>
      </w:pPr>
      <w:bookmarkStart w:id="5" w:name="_Toc107224136"/>
      <w:bookmarkStart w:id="6" w:name="_Toc104543689"/>
      <w:r w:rsidRPr="009D7D25">
        <w:rPr>
          <w:rFonts w:asciiTheme="minorHAnsi" w:hAnsiTheme="minorHAnsi" w:cstheme="minorHAnsi"/>
          <w:b/>
          <w:bCs/>
          <w:color w:val="auto"/>
          <w:sz w:val="24"/>
          <w:szCs w:val="24"/>
          <w:lang w:val="en-US"/>
        </w:rPr>
        <w:t>Buildings</w:t>
      </w:r>
      <w:bookmarkEnd w:id="5"/>
      <w:bookmarkEnd w:id="6"/>
    </w:p>
    <w:p w14:paraId="350A64F0" w14:textId="77777777" w:rsidR="00E12831" w:rsidRPr="009D7D25" w:rsidRDefault="00E12831" w:rsidP="00E12831">
      <w:pPr>
        <w:pStyle w:val="Alternatievetekst"/>
        <w:rPr>
          <w:rFonts w:asciiTheme="minorHAnsi" w:hAnsiTheme="minorHAnsi" w:cstheme="minorHAnsi"/>
          <w:i/>
          <w:iCs/>
          <w:color w:val="auto"/>
          <w:lang w:val="en-GB"/>
        </w:rPr>
      </w:pPr>
      <w:r w:rsidRPr="009D7D25">
        <w:rPr>
          <w:rFonts w:asciiTheme="minorHAnsi" w:hAnsiTheme="minorHAnsi" w:cstheme="minorHAnsi"/>
          <w:i/>
          <w:iCs/>
          <w:color w:val="auto"/>
          <w:lang w:val="en-GB"/>
        </w:rPr>
        <w:t>Overview of the sector and its complexities</w:t>
      </w:r>
    </w:p>
    <w:p w14:paraId="6ACF23D3" w14:textId="77777777" w:rsidR="00E12831" w:rsidRPr="009D7D25" w:rsidRDefault="00E12831" w:rsidP="00E12831">
      <w:pPr>
        <w:rPr>
          <w:rFonts w:eastAsia="Calibri" w:cstheme="minorHAnsi"/>
          <w:lang w:val="en-GB"/>
        </w:rPr>
      </w:pPr>
      <w:r w:rsidRPr="009D7D25">
        <w:rPr>
          <w:rFonts w:eastAsia="Calibri" w:cstheme="minorHAnsi"/>
          <w:lang w:val="en-GB"/>
        </w:rPr>
        <w:t xml:space="preserve">Energy consumed in residential and non-residential buildings combined accounts for 40% of total EU energy consumption (Li et al., 2019) and approximately a third of global final energy (IEA, 2019).  Increased use of electrical appliances in combination with increasing demand for space cooling equipment resulted in an increased demand for electricity in the buildings sector between 2000 and 2017, growing by an average 2.2% per year — twice the rate of total building-related energy consumption (IEA, 2019). The largest source of end-use energy consumption in relation to buildings is space heating, representing about one third of total building-related energy consumption. Increased building envelope efficiency, as a result of improved insulation, renovations, building code enforcement, and improved efficiency have stabilised heating energy consumption, globally, over the last years, despite increasing population, wealth and changing lifestyles leading to increased </w:t>
      </w:r>
      <w:r w:rsidRPr="009D7D25">
        <w:rPr>
          <w:rFonts w:eastAsia="Calibri" w:cstheme="minorHAnsi"/>
          <w:lang w:val="en-GB"/>
        </w:rPr>
        <w:lastRenderedPageBreak/>
        <w:t>demand (</w:t>
      </w:r>
      <w:proofErr w:type="spellStart"/>
      <w:r w:rsidRPr="009D7D25">
        <w:rPr>
          <w:rFonts w:eastAsia="Calibri" w:cstheme="minorHAnsi"/>
          <w:lang w:val="en-GB"/>
        </w:rPr>
        <w:t>Lucon</w:t>
      </w:r>
      <w:proofErr w:type="spellEnd"/>
      <w:r w:rsidRPr="009D7D25">
        <w:rPr>
          <w:rFonts w:eastAsia="Calibri" w:cstheme="minorHAnsi"/>
          <w:lang w:val="en-GB"/>
        </w:rPr>
        <w:t xml:space="preserve"> et al., 2014). Still, low-efficiency heating technologies, including coal, oil, and natural gas boilers, and electric resistance heating, take up the largest market share (IEA, 2019). </w:t>
      </w:r>
    </w:p>
    <w:p w14:paraId="279E5149" w14:textId="77777777" w:rsidR="00E12831" w:rsidRPr="009D7D25" w:rsidRDefault="00E12831" w:rsidP="00E12831">
      <w:pPr>
        <w:rPr>
          <w:rFonts w:eastAsia="Calibri" w:cstheme="minorHAnsi"/>
          <w:lang w:val="en-GB"/>
        </w:rPr>
      </w:pPr>
      <w:r w:rsidRPr="009D7D25">
        <w:rPr>
          <w:rFonts w:eastAsia="Calibri" w:cstheme="minorHAnsi"/>
          <w:lang w:val="en-GB"/>
        </w:rPr>
        <w:t xml:space="preserve">In 2017, the buildings sector accounted for 28% of global energy and process-related greenhouse gas emissions. Direct emissions from the combustion of coal, oil and natural gas in buildings accounted for 9% of global greenhouse gas emissions, the remainder originating from indirect emissions related to electricity consumption (IEA, 2019). In addition, poor households, particularly those in Sub-Saharan Africa and South and Southeast Asia, use significant volumes of traditional biomass for cooking and heating. Emissions arising from the use of traditional biomass are typically not included in emissions accounting, since the type of biomass used varies (firewood, dung, residues, charcoal), and it is unclear to what extent the provision of traditional biomass leads to deforestation and land-use emissions.  We do, however, take these emissions into account in our scenarios, as described in Chapters 5 and 6. </w:t>
      </w:r>
    </w:p>
    <w:p w14:paraId="7FA12C44" w14:textId="77777777" w:rsidR="00E12831" w:rsidRPr="009D7D25" w:rsidRDefault="00E12831" w:rsidP="00E12831">
      <w:pPr>
        <w:rPr>
          <w:rFonts w:eastAsia="Calibri" w:cstheme="minorHAnsi"/>
          <w:lang w:val="en-GB"/>
        </w:rPr>
      </w:pPr>
      <w:r w:rsidRPr="009D7D25">
        <w:rPr>
          <w:rFonts w:eastAsia="Calibri" w:cstheme="minorHAnsi"/>
          <w:lang w:val="en-GB"/>
        </w:rPr>
        <w:t>In the absence of climate policy, increasing floorspace and demand for energy services (particularly for cooling and appliances) are projected to increase direct and indirect building-related emissions by 5%, by 2050, compared to 2020, and to level off thereafter. This emission increase is primarily driven by indirect emissions, whereas direct emissions are projected to decrease with increased electrification of energy services (IEA, 2019; Daioglou et al., 2022</w:t>
      </w:r>
      <w:r w:rsidRPr="009D7D25">
        <w:rPr>
          <w:rFonts w:cstheme="minorHAnsi"/>
          <w:lang w:val="en-GB"/>
        </w:rPr>
        <w:t>)</w:t>
      </w:r>
      <w:r w:rsidRPr="009D7D25">
        <w:rPr>
          <w:rFonts w:eastAsia="Calibri" w:cstheme="minorHAnsi"/>
          <w:lang w:val="en-GB"/>
        </w:rPr>
        <w:t xml:space="preserve"> The application of climate policy, unless complimented by energy-access policies, may lead to poor households being unable to transition to modern cooking and heating fuels due to the inflationary effect of climate policy on energy prices (Steckel et al, 2021). </w:t>
      </w:r>
    </w:p>
    <w:p w14:paraId="652C293B" w14:textId="77777777" w:rsidR="00E12831" w:rsidRPr="009D7D25" w:rsidRDefault="00E12831" w:rsidP="00E12831">
      <w:pPr>
        <w:rPr>
          <w:rFonts w:eastAsia="Calibri" w:cstheme="minorHAnsi"/>
          <w:lang w:val="en-GB"/>
        </w:rPr>
      </w:pPr>
      <w:r w:rsidRPr="009D7D25">
        <w:rPr>
          <w:rFonts w:eastAsia="Calibri" w:cstheme="minorHAnsi"/>
          <w:lang w:val="en-GB"/>
        </w:rPr>
        <w:t xml:space="preserve">By reducing energy demand through technology improvements, such as insulation, improved energy efficiency of appliances and buildings systems, and using renewable energy in the form of rooftop photovoltaics (moving buildings from energy consumers to so-called prosumers), it is technically possible to achieve zero or very low energy consumption buildings, known as a ZEBs (Yang et al., 2019; Lund, 2007). There are various definitions of ZEBs, including net zero energy and net zero emission buildings, depending on specific national targets and conditions. If the building produces more than it consumes, it can even become a so-called energy-plus building. </w:t>
      </w:r>
    </w:p>
    <w:p w14:paraId="6A36B870" w14:textId="77777777" w:rsidR="00E12831" w:rsidRPr="009D7D25" w:rsidRDefault="00E12831" w:rsidP="00E12831">
      <w:pPr>
        <w:rPr>
          <w:rFonts w:eastAsia="Calibri" w:cstheme="minorHAnsi"/>
          <w:lang w:val="en-GB"/>
        </w:rPr>
      </w:pPr>
      <w:r w:rsidRPr="009D7D25">
        <w:rPr>
          <w:rFonts w:eastAsia="Calibri" w:cstheme="minorHAnsi"/>
          <w:lang w:val="en-GB"/>
        </w:rPr>
        <w:t xml:space="preserve">While reaching zero emissions for the entire building sector is technically possible, there are several challenges along the way. The buildings sector is a heterogeneous sector, involving various types of people and demographics, household structures, building archetypes and conditions that are site-specific or intersect with private, business or cultural value systems. This is why one of the first challenges concerns the fact that profitability of investments depends on local circumstances. For instance, the costs and benefits of investments, such as building insulation, photovoltaics (PV) systems or heat pumps depend on the location, the building itself, energy prices, access to capital/finance, and future cost development of installed technologies. Related to this, even if such investments turn out to be profitable, the affordability will depend on household circumstances. In fact, upgrading existing homes to achieve the zero-energy target can be exceedingly expensive, depending also on the age of the building. This point is particularly pertinent for rented housing where landlords and tenants are not willing to invest in efficiency measures, due to limited personal benefits and lack of long-term returns, respectively (Daioglou et al., 2022). The dependence of these innovations on private value judgement can be regarded as a challenge in its own right, also beyond financial aspects and associated with the perception of comfort, for example. A third challenge concerns the lifetime of buildings; the renovation of the entire building stock will take a significant amount of time, at current renovation rates of approximately 1% to 2% per year), which implies that there is a significant lock-in effect, especially in the absence of building codes tackling existing buildings and promoting renovations. Fourth, the availability of unobstructed surface areas in dense </w:t>
      </w:r>
      <w:r w:rsidRPr="009D7D25">
        <w:rPr>
          <w:rFonts w:eastAsia="Calibri" w:cstheme="minorHAnsi"/>
          <w:lang w:val="en-GB"/>
        </w:rPr>
        <w:lastRenderedPageBreak/>
        <w:t>urban environments on which to install PV systems is limited. The final challenge concerns the increased electrification of energy services in buildings, combined with the high electrical load required for sub-sectorial buildings, such as hospitals. Thus, the potential of reaching net-zero emissions in building energy demand is closely related to developments in the power sector and its challenges for decarbonisation.</w:t>
      </w:r>
    </w:p>
    <w:p w14:paraId="504E9221" w14:textId="77777777" w:rsidR="00E12831" w:rsidRPr="009D7D25" w:rsidRDefault="00E12831" w:rsidP="00E12831">
      <w:pPr>
        <w:rPr>
          <w:rFonts w:eastAsia="Calibri" w:cstheme="minorHAnsi"/>
          <w:lang w:val="en-GB"/>
        </w:rPr>
      </w:pPr>
      <w:r w:rsidRPr="009D7D25">
        <w:rPr>
          <w:rFonts w:eastAsia="Calibri" w:cstheme="minorHAnsi"/>
          <w:lang w:val="en-GB"/>
        </w:rPr>
        <w:t>A review of policy practices across countries shows that a barrier to delivering the expected energy savings is the lack of local capacity to inspect and review buildings during construction for code compliance, which requires also dedicated training programmes and tools for inspecting agents as well as builders and developers. This is becoming also more important because of the trend to move to more complex buildings energy codes. Moreover, rated, tested and labelled building materials are required, in order to make implementation easier, and programme evaluation should help policymakers to identify gaps in compliance (Evans et al., 2017).</w:t>
      </w:r>
    </w:p>
    <w:p w14:paraId="7148D5F9" w14:textId="77777777" w:rsidR="00E12831" w:rsidRPr="009D7D25" w:rsidRDefault="00E12831" w:rsidP="00E12831">
      <w:pPr>
        <w:pStyle w:val="Alternatievetekst"/>
        <w:rPr>
          <w:rFonts w:asciiTheme="minorHAnsi" w:hAnsiTheme="minorHAnsi" w:cstheme="minorHAnsi"/>
          <w:i/>
          <w:iCs/>
          <w:color w:val="auto"/>
          <w:lang w:val="en-GB"/>
        </w:rPr>
      </w:pPr>
      <w:r w:rsidRPr="009D7D25">
        <w:rPr>
          <w:rFonts w:asciiTheme="minorHAnsi" w:hAnsiTheme="minorHAnsi" w:cstheme="minorHAnsi"/>
          <w:i/>
          <w:iCs/>
          <w:color w:val="auto"/>
          <w:lang w:val="en-GB"/>
        </w:rPr>
        <w:t>Measures and policies</w:t>
      </w:r>
    </w:p>
    <w:p w14:paraId="1245B76F" w14:textId="77777777" w:rsidR="00E12831" w:rsidRPr="009D7D25" w:rsidRDefault="00E12831" w:rsidP="00E12831">
      <w:pPr>
        <w:rPr>
          <w:rFonts w:eastAsia="Calibri" w:cstheme="minorHAnsi"/>
          <w:lang w:val="en-GB"/>
        </w:rPr>
      </w:pPr>
      <w:r w:rsidRPr="009D7D25">
        <w:rPr>
          <w:rFonts w:eastAsia="Calibri" w:cstheme="minorHAnsi"/>
          <w:lang w:val="en-GB"/>
        </w:rPr>
        <w:t>A number of measures exist that help reduce the energy demand and associated emissions in the buildings sector. A first set of measures aims to reduce the demand for useful energy (e.g. for heating or cooling). These measures involve increased efficiency, including the thermal efficiency of buildings via insulation and renovation of building stocks, and improved efficiency of heating, cooling, cooking, and other appliances. Another way of reducing the demand for useful energy revolves around reducing wasted energy via the use of occupancy sensors and other types of sensors. Other measures concern the way building users consume energy within these spaces. This intersects with behavioural and value judgments in the residential sector, where personal choices around comfort, communalism, and foregoing of certain amenities can reduce energy demand. Specific measures include lowering thermostat settings, reducing the demand for hot water, sharing spaces and energy-consuming activities (e.g. cooking, laundry, appliance use). Net energy demand of buildings can also be reduced by fostering local energy production; for instance, via rooftop PV systems, geothermal heating, solar water heating, and small-scale district heating. A final measure that incorporates all of these elements concerns improved architectural design. This includes the promotion of spaces and facades in which passive heating, cooling, ventilation, and lighting, local energy production is incorporated, as well as design that encourages occupants to change their behaviour to reduce energy demand.</w:t>
      </w:r>
    </w:p>
    <w:p w14:paraId="179AC81C" w14:textId="77777777" w:rsidR="00E12831" w:rsidRPr="009D7D25" w:rsidRDefault="00E12831" w:rsidP="00E12831">
      <w:pPr>
        <w:rPr>
          <w:rFonts w:eastAsia="Calibri" w:cstheme="minorHAnsi"/>
          <w:lang w:val="en-GB"/>
        </w:rPr>
      </w:pPr>
      <w:r w:rsidRPr="009D7D25">
        <w:rPr>
          <w:rFonts w:eastAsia="Calibri" w:cstheme="minorHAnsi"/>
          <w:lang w:val="en-GB"/>
        </w:rPr>
        <w:t>The implementation of building energy code policies has proven an effective policy measure to reduce carbon emissions, for example, in Europe and the United States. In 2015, more than 40 national governments had building energy codes in place (Cox, 2016), and they are an important instrument that countries pledged to use as part of their NDCs (Evans et al., 2017). The extent of the energy coverage by energy code policies, however, varies significantly per country. In some cases, the policy covers all buildings and various building systems, such as lighting, envelope, heating, ventilation and air conditioning (HVAC), while others specifically apply to, for example, the envelope of newly constructed buildings. It is increasingly understood that effectiveness strongly depends on policy implementation. It has been argued that big data techniques and building smart readiness indicators could provide more reliable information of the achieved energy savings (Li et al., 2019).</w:t>
      </w:r>
    </w:p>
    <w:p w14:paraId="27FBA926" w14:textId="77777777" w:rsidR="00E12831" w:rsidRPr="009D7D25" w:rsidRDefault="00E12831" w:rsidP="00E12831">
      <w:pPr>
        <w:rPr>
          <w:rFonts w:eastAsia="Calibri" w:cstheme="minorHAnsi"/>
          <w:lang w:val="en-GB"/>
        </w:rPr>
      </w:pPr>
      <w:r w:rsidRPr="009D7D25">
        <w:rPr>
          <w:rFonts w:eastAsia="Calibri" w:cstheme="minorHAnsi"/>
          <w:lang w:val="en-GB"/>
        </w:rPr>
        <w:t xml:space="preserve">Regulatory policy instruments that enforce implementation of efficiency gains may generate welfare loss and exacerbate inequalities, especially for those that gain less from improved efficiency. Moreover, they target mainly the investment sector while energy curtailment is not addressed and could result in a rebound effect. In that sense, implementation of information, financial or economic policies leading to behavioural change can be more effective than tackling specific energy demand aspects within the sector. For example, an energy tax could not only lead to an increase in the use of </w:t>
      </w:r>
      <w:r w:rsidRPr="009D7D25">
        <w:rPr>
          <w:rFonts w:eastAsia="Calibri" w:cstheme="minorHAnsi"/>
          <w:lang w:val="en-GB"/>
        </w:rPr>
        <w:lastRenderedPageBreak/>
        <w:t>LED lightbulbs, but may also reduce unnecessary lighting. Informational instruments disclosing information on potential savings through product labelling or energy audits, peer comparison as well as presenting real-time energy consumption can also have a positive effect on energy conservation (</w:t>
      </w:r>
      <w:proofErr w:type="spellStart"/>
      <w:r w:rsidRPr="009D7D25">
        <w:rPr>
          <w:rFonts w:eastAsia="Calibri" w:cstheme="minorHAnsi"/>
          <w:lang w:val="en-GB"/>
        </w:rPr>
        <w:t>Cattaneo</w:t>
      </w:r>
      <w:proofErr w:type="spellEnd"/>
      <w:r w:rsidRPr="009D7D25">
        <w:rPr>
          <w:rFonts w:eastAsia="Calibri" w:cstheme="minorHAnsi"/>
          <w:lang w:val="en-GB"/>
        </w:rPr>
        <w:t>, 2019). Targeted policies and access to financing could also help overcome certain inequalities concerning capacity to mitigate, particularly on the landlord–tenant effect and insurmountable upfront costs faced by some households, as mentioned above. These could include building codes as well as access to cheap loads and mortgages.</w:t>
      </w:r>
    </w:p>
    <w:p w14:paraId="7C94DB83" w14:textId="77777777" w:rsidR="00E12831" w:rsidRPr="009D7D25" w:rsidRDefault="00E12831" w:rsidP="00E12831">
      <w:pPr>
        <w:pStyle w:val="Figuur-tabel-nummer"/>
        <w:rPr>
          <w:rFonts w:asciiTheme="minorHAnsi" w:eastAsia="Calibri" w:hAnsiTheme="minorHAnsi" w:cstheme="minorHAnsi"/>
          <w:color w:val="auto"/>
          <w:lang w:val="en-GB"/>
        </w:rPr>
      </w:pPr>
      <w:r w:rsidRPr="009D7D25">
        <w:rPr>
          <w:rFonts w:asciiTheme="minorHAnsi" w:eastAsia="Calibri" w:hAnsiTheme="minorHAnsi" w:cstheme="minorHAnsi"/>
          <w:color w:val="auto"/>
          <w:lang w:val="en-GB"/>
        </w:rPr>
        <w:t xml:space="preserve">Table </w:t>
      </w:r>
      <w:r>
        <w:rPr>
          <w:rFonts w:asciiTheme="minorHAnsi" w:eastAsia="Calibri" w:hAnsiTheme="minorHAnsi" w:cstheme="minorHAnsi"/>
          <w:color w:val="auto"/>
          <w:lang w:val="en-GB"/>
        </w:rPr>
        <w:t>3</w:t>
      </w:r>
    </w:p>
    <w:p w14:paraId="75B62015" w14:textId="77777777" w:rsidR="00E12831" w:rsidRPr="009D7D25" w:rsidRDefault="00E12831" w:rsidP="00E12831">
      <w:pPr>
        <w:pStyle w:val="Figuur-tabel-titel"/>
        <w:rPr>
          <w:rFonts w:asciiTheme="minorHAnsi" w:eastAsia="Calibri" w:hAnsiTheme="minorHAnsi" w:cstheme="minorHAnsi"/>
          <w:color w:val="auto"/>
          <w:lang w:val="en-GB"/>
        </w:rPr>
      </w:pPr>
      <w:r w:rsidRPr="009D7D25">
        <w:rPr>
          <w:rFonts w:asciiTheme="minorHAnsi" w:eastAsia="Calibri" w:hAnsiTheme="minorHAnsi" w:cstheme="minorHAnsi"/>
          <w:color w:val="auto"/>
          <w:lang w:val="en-GB"/>
        </w:rPr>
        <w:t>Overview of the challenges in the buildings sector, and the measures and policies connected to achieving net zero emissions.</w:t>
      </w:r>
    </w:p>
    <w:tbl>
      <w:tblPr>
        <w:tblStyle w:val="TableGrid"/>
        <w:tblW w:w="9085" w:type="dxa"/>
        <w:tblLook w:val="0420" w:firstRow="1" w:lastRow="0" w:firstColumn="0" w:lastColumn="0" w:noHBand="0" w:noVBand="1"/>
      </w:tblPr>
      <w:tblGrid>
        <w:gridCol w:w="2947"/>
        <w:gridCol w:w="2780"/>
        <w:gridCol w:w="3358"/>
      </w:tblGrid>
      <w:tr w:rsidR="00E12831" w:rsidRPr="009D7D25" w14:paraId="36BEA009" w14:textId="77777777" w:rsidTr="00D93B08">
        <w:tc>
          <w:tcPr>
            <w:tcW w:w="2947" w:type="dxa"/>
            <w:hideMark/>
          </w:tcPr>
          <w:p w14:paraId="66F9AA41" w14:textId="77777777" w:rsidR="00E12831" w:rsidRPr="009D7D25" w:rsidRDefault="00E12831" w:rsidP="00D93B08">
            <w:pPr>
              <w:pStyle w:val="Tabeltekst"/>
              <w:rPr>
                <w:rFonts w:asciiTheme="minorHAnsi" w:eastAsiaTheme="minorHAnsi" w:hAnsiTheme="minorHAnsi" w:cstheme="minorHAnsi"/>
                <w:b/>
                <w:bCs/>
                <w:lang w:val="en-GB"/>
              </w:rPr>
            </w:pPr>
            <w:r w:rsidRPr="009D7D25">
              <w:rPr>
                <w:rFonts w:asciiTheme="minorHAnsi" w:hAnsiTheme="minorHAnsi" w:cstheme="minorHAnsi"/>
                <w:b/>
                <w:bCs/>
                <w:lang w:val="en-GB"/>
              </w:rPr>
              <w:t>Challenges</w:t>
            </w:r>
          </w:p>
        </w:tc>
        <w:tc>
          <w:tcPr>
            <w:tcW w:w="2780" w:type="dxa"/>
            <w:hideMark/>
          </w:tcPr>
          <w:p w14:paraId="13057DB8"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Measures</w:t>
            </w:r>
          </w:p>
        </w:tc>
        <w:tc>
          <w:tcPr>
            <w:tcW w:w="3358" w:type="dxa"/>
            <w:hideMark/>
          </w:tcPr>
          <w:p w14:paraId="54B4CA38"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Policies</w:t>
            </w:r>
          </w:p>
        </w:tc>
      </w:tr>
      <w:tr w:rsidR="00E12831" w:rsidRPr="009D7D25" w14:paraId="0A730E5B" w14:textId="77777777" w:rsidTr="00D93B08">
        <w:trPr>
          <w:trHeight w:val="4713"/>
        </w:trPr>
        <w:tc>
          <w:tcPr>
            <w:tcW w:w="2947" w:type="dxa"/>
            <w:hideMark/>
          </w:tcPr>
          <w:p w14:paraId="4A0E3D01"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Heterogeneity</w:t>
            </w:r>
            <w:r w:rsidRPr="009D7D25">
              <w:rPr>
                <w:rFonts w:asciiTheme="minorHAnsi" w:hAnsiTheme="minorHAnsi" w:cstheme="minorHAnsi"/>
                <w:lang w:val="en-GB"/>
              </w:rPr>
              <w:t xml:space="preserve"> across locations, building archetypes, local conditions;</w:t>
            </w:r>
          </w:p>
          <w:p w14:paraId="1F4730FF"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High costs</w:t>
            </w:r>
            <w:r w:rsidRPr="009D7D25">
              <w:rPr>
                <w:rFonts w:asciiTheme="minorHAnsi" w:hAnsiTheme="minorHAnsi" w:cstheme="minorHAnsi"/>
                <w:lang w:val="en-GB"/>
              </w:rPr>
              <w:t xml:space="preserve"> of investments make profitability and affordability non-trivial;</w:t>
            </w:r>
          </w:p>
          <w:p w14:paraId="092F741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Conflicting motivations</w:t>
            </w:r>
            <w:r w:rsidRPr="009D7D25">
              <w:rPr>
                <w:rFonts w:asciiTheme="minorHAnsi" w:hAnsiTheme="minorHAnsi" w:cstheme="minorHAnsi"/>
                <w:lang w:val="en-GB"/>
              </w:rPr>
              <w:t xml:space="preserve"> to take on investment costs across landlords and tenants;</w:t>
            </w:r>
          </w:p>
          <w:p w14:paraId="7C864F54"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Household decisions dependent on </w:t>
            </w:r>
            <w:r w:rsidRPr="009D7D25">
              <w:rPr>
                <w:rFonts w:asciiTheme="minorHAnsi" w:hAnsiTheme="minorHAnsi" w:cstheme="minorHAnsi"/>
                <w:u w:val="single"/>
                <w:lang w:val="en-GB"/>
              </w:rPr>
              <w:t>private value judgments;</w:t>
            </w:r>
          </w:p>
          <w:p w14:paraId="479E3EB4"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u w:val="single"/>
                <w:lang w:val="en-GB"/>
              </w:rPr>
              <w:t>Long lifetime</w:t>
            </w:r>
            <w:r w:rsidRPr="009D7D25">
              <w:rPr>
                <w:rFonts w:asciiTheme="minorHAnsi" w:hAnsiTheme="minorHAnsi" w:cstheme="minorHAnsi"/>
                <w:lang w:val="en-GB"/>
              </w:rPr>
              <w:t xml:space="preserve"> and slow renovation pace, stock lock-in;</w:t>
            </w:r>
          </w:p>
          <w:p w14:paraId="1CD85C87"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Limited availability of unobstructed </w:t>
            </w:r>
            <w:r w:rsidRPr="009D7D25">
              <w:rPr>
                <w:rFonts w:asciiTheme="minorHAnsi" w:hAnsiTheme="minorHAnsi" w:cstheme="minorHAnsi"/>
                <w:u w:val="single"/>
                <w:lang w:val="en-GB"/>
              </w:rPr>
              <w:t>surface for PV</w:t>
            </w:r>
            <w:r w:rsidRPr="009D7D25">
              <w:rPr>
                <w:rFonts w:asciiTheme="minorHAnsi" w:hAnsiTheme="minorHAnsi" w:cstheme="minorHAnsi"/>
                <w:lang w:val="en-GB"/>
              </w:rPr>
              <w:t xml:space="preserve"> systems in urban areas;</w:t>
            </w:r>
          </w:p>
          <w:p w14:paraId="3362786B"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High required </w:t>
            </w:r>
            <w:r w:rsidRPr="009D7D25">
              <w:rPr>
                <w:rFonts w:asciiTheme="minorHAnsi" w:hAnsiTheme="minorHAnsi" w:cstheme="minorHAnsi"/>
                <w:u w:val="single"/>
                <w:lang w:val="en-GB"/>
              </w:rPr>
              <w:t>electricity load</w:t>
            </w:r>
            <w:r w:rsidRPr="009D7D25">
              <w:rPr>
                <w:rFonts w:asciiTheme="minorHAnsi" w:hAnsiTheme="minorHAnsi" w:cstheme="minorHAnsi"/>
                <w:lang w:val="en-GB"/>
              </w:rPr>
              <w:t xml:space="preserve"> for particular sub-sectorial buildings;</w:t>
            </w:r>
          </w:p>
          <w:p w14:paraId="63B25E63"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Limited </w:t>
            </w:r>
            <w:r w:rsidRPr="009D7D25">
              <w:rPr>
                <w:rFonts w:asciiTheme="minorHAnsi" w:hAnsiTheme="minorHAnsi" w:cstheme="minorHAnsi"/>
                <w:u w:val="single"/>
                <w:lang w:val="en-GB"/>
              </w:rPr>
              <w:t>capacity for evaluation</w:t>
            </w:r>
            <w:r w:rsidRPr="009D7D25">
              <w:rPr>
                <w:rFonts w:asciiTheme="minorHAnsi" w:hAnsiTheme="minorHAnsi" w:cstheme="minorHAnsi"/>
                <w:lang w:val="en-GB"/>
              </w:rPr>
              <w:t xml:space="preserve"> of compliance</w:t>
            </w:r>
          </w:p>
        </w:tc>
        <w:tc>
          <w:tcPr>
            <w:tcW w:w="2780" w:type="dxa"/>
            <w:hideMark/>
          </w:tcPr>
          <w:p w14:paraId="4CDBDAAC"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Insulation and renovation;</w:t>
            </w:r>
          </w:p>
          <w:p w14:paraId="2960E91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Local electricity and energy generation; </w:t>
            </w:r>
          </w:p>
          <w:p w14:paraId="05DB6483"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Higher efficiency technologies;</w:t>
            </w:r>
          </w:p>
          <w:p w14:paraId="4CABB5C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Reduced waste via occupancy sensors, stand-by mode for appliances;</w:t>
            </w:r>
          </w:p>
          <w:p w14:paraId="726A6CDC"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Behavioural change concerning appliance ownership and demand for energy services;</w:t>
            </w:r>
          </w:p>
          <w:p w14:paraId="77DF29A2"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Communal spaces and shared energy services (e.g. cooking, appliances);</w:t>
            </w:r>
          </w:p>
          <w:p w14:paraId="474D137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Lower floorspace per capital (e.g. smaller houses, increased household sizes);</w:t>
            </w:r>
          </w:p>
          <w:p w14:paraId="72F11140"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Energy-efficient architectural design;</w:t>
            </w:r>
          </w:p>
          <w:p w14:paraId="252FAD9A"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Switch from traditional biomass for cooking to cleaner alternatives</w:t>
            </w:r>
          </w:p>
        </w:tc>
        <w:tc>
          <w:tcPr>
            <w:tcW w:w="3358" w:type="dxa"/>
            <w:hideMark/>
          </w:tcPr>
          <w:p w14:paraId="3123AF68"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Energy or emissions tax;</w:t>
            </w:r>
          </w:p>
          <w:p w14:paraId="410D070B"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Information and awareness;</w:t>
            </w:r>
          </w:p>
          <w:p w14:paraId="2BD3F7C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Increased access to funding for poorer households (e.g. subsidies, low interest loans/mortgages);</w:t>
            </w:r>
          </w:p>
          <w:p w14:paraId="7DD66642"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Building energy performance standards and certification;</w:t>
            </w:r>
          </w:p>
          <w:p w14:paraId="251DFCAC"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Subsidies on cleaner cookstoves</w:t>
            </w:r>
          </w:p>
        </w:tc>
      </w:tr>
    </w:tbl>
    <w:p w14:paraId="7AFA718D" w14:textId="77777777" w:rsidR="00E12831" w:rsidRPr="009D7D25" w:rsidRDefault="00E12831" w:rsidP="00E12831">
      <w:pPr>
        <w:pStyle w:val="Alternatievetekst"/>
        <w:rPr>
          <w:rFonts w:asciiTheme="minorHAnsi" w:hAnsiTheme="minorHAnsi" w:cstheme="minorHAnsi"/>
          <w:b/>
          <w:bCs/>
          <w:color w:val="auto"/>
          <w:sz w:val="24"/>
          <w:szCs w:val="24"/>
        </w:rPr>
      </w:pPr>
      <w:bookmarkStart w:id="7" w:name="_Toc107224137"/>
      <w:bookmarkStart w:id="8" w:name="_Toc104543690"/>
      <w:proofErr w:type="spellStart"/>
      <w:r w:rsidRPr="009D7D25">
        <w:rPr>
          <w:rFonts w:asciiTheme="minorHAnsi" w:hAnsiTheme="minorHAnsi" w:cstheme="minorHAnsi"/>
          <w:b/>
          <w:bCs/>
          <w:color w:val="auto"/>
          <w:sz w:val="24"/>
          <w:szCs w:val="24"/>
        </w:rPr>
        <w:t>Agriculture</w:t>
      </w:r>
      <w:proofErr w:type="spellEnd"/>
      <w:r w:rsidRPr="009D7D25">
        <w:rPr>
          <w:rFonts w:asciiTheme="minorHAnsi" w:hAnsiTheme="minorHAnsi" w:cstheme="minorHAnsi"/>
          <w:b/>
          <w:bCs/>
          <w:color w:val="auto"/>
          <w:sz w:val="24"/>
          <w:szCs w:val="24"/>
        </w:rPr>
        <w:t xml:space="preserve"> </w:t>
      </w:r>
      <w:proofErr w:type="spellStart"/>
      <w:r w:rsidRPr="009D7D25">
        <w:rPr>
          <w:rFonts w:asciiTheme="minorHAnsi" w:hAnsiTheme="minorHAnsi" w:cstheme="minorHAnsi"/>
          <w:b/>
          <w:bCs/>
          <w:color w:val="auto"/>
          <w:sz w:val="24"/>
          <w:szCs w:val="24"/>
        </w:rPr>
        <w:t>and</w:t>
      </w:r>
      <w:proofErr w:type="spellEnd"/>
      <w:r w:rsidRPr="009D7D25">
        <w:rPr>
          <w:rFonts w:asciiTheme="minorHAnsi" w:hAnsiTheme="minorHAnsi" w:cstheme="minorHAnsi"/>
          <w:b/>
          <w:bCs/>
          <w:color w:val="auto"/>
          <w:sz w:val="24"/>
          <w:szCs w:val="24"/>
        </w:rPr>
        <w:t xml:space="preserve"> non-CO</w:t>
      </w:r>
      <w:r w:rsidRPr="009D7D25">
        <w:rPr>
          <w:rFonts w:asciiTheme="minorHAnsi" w:hAnsiTheme="minorHAnsi" w:cstheme="minorHAnsi"/>
          <w:b/>
          <w:bCs/>
          <w:color w:val="auto"/>
          <w:sz w:val="24"/>
          <w:szCs w:val="24"/>
          <w:vertAlign w:val="subscript"/>
        </w:rPr>
        <w:t>2</w:t>
      </w:r>
      <w:r w:rsidRPr="009D7D25">
        <w:rPr>
          <w:rFonts w:asciiTheme="minorHAnsi" w:hAnsiTheme="minorHAnsi" w:cstheme="minorHAnsi"/>
          <w:b/>
          <w:bCs/>
          <w:color w:val="auto"/>
          <w:sz w:val="24"/>
          <w:szCs w:val="24"/>
        </w:rPr>
        <w:t xml:space="preserve"> </w:t>
      </w:r>
      <w:proofErr w:type="spellStart"/>
      <w:r w:rsidRPr="009D7D25">
        <w:rPr>
          <w:rFonts w:asciiTheme="minorHAnsi" w:hAnsiTheme="minorHAnsi" w:cstheme="minorHAnsi"/>
          <w:b/>
          <w:bCs/>
          <w:color w:val="auto"/>
          <w:sz w:val="24"/>
          <w:szCs w:val="24"/>
        </w:rPr>
        <w:t>emissions</w:t>
      </w:r>
      <w:bookmarkEnd w:id="7"/>
      <w:bookmarkEnd w:id="8"/>
      <w:proofErr w:type="spellEnd"/>
    </w:p>
    <w:p w14:paraId="74E32CC6" w14:textId="77777777" w:rsidR="00E12831" w:rsidRPr="009D7D25" w:rsidRDefault="00E12831" w:rsidP="00E12831">
      <w:pPr>
        <w:pStyle w:val="Alternatievetekst"/>
        <w:rPr>
          <w:rFonts w:asciiTheme="minorHAnsi" w:hAnsiTheme="minorHAnsi" w:cstheme="minorHAnsi"/>
          <w:i/>
          <w:iCs/>
          <w:color w:val="auto"/>
          <w:lang w:val="en-GB"/>
        </w:rPr>
      </w:pPr>
      <w:r w:rsidRPr="009D7D25">
        <w:rPr>
          <w:rFonts w:asciiTheme="minorHAnsi" w:hAnsiTheme="minorHAnsi" w:cstheme="minorHAnsi"/>
          <w:i/>
          <w:iCs/>
          <w:color w:val="auto"/>
          <w:lang w:val="en-GB"/>
        </w:rPr>
        <w:t>Overview of sector and its complexities</w:t>
      </w:r>
    </w:p>
    <w:p w14:paraId="4A39A030" w14:textId="77777777" w:rsidR="00E12831" w:rsidRPr="009D7D25" w:rsidRDefault="00E12831" w:rsidP="00E12831">
      <w:pPr>
        <w:rPr>
          <w:rFonts w:eastAsia="Calibri" w:cstheme="minorHAnsi"/>
          <w:lang w:val="en-GB"/>
        </w:rPr>
      </w:pPr>
      <w:r w:rsidRPr="009D7D25">
        <w:rPr>
          <w:rFonts w:eastAsia="Calibri" w:cstheme="minorHAnsi"/>
          <w:lang w:val="en-GB"/>
        </w:rPr>
        <w:t>Anthropogenic emissions originating from agriculture, forestry and other land use (AFOLU) are estimated to comprise approximately 23% of global anthropogenic greenhouse gas emissions (Crippa et al., 2019). Between 2007 and 2016, AFOLU net emissions amounted to an estimated average of 12 GtCO</w:t>
      </w:r>
      <w:r w:rsidRPr="009D7D25">
        <w:rPr>
          <w:rFonts w:eastAsia="Calibri" w:cstheme="minorHAnsi"/>
          <w:vertAlign w:val="subscript"/>
          <w:lang w:val="en-GB"/>
        </w:rPr>
        <w:t>2</w:t>
      </w:r>
      <w:r w:rsidRPr="009D7D25">
        <w:rPr>
          <w:rFonts w:eastAsia="Calibri" w:cstheme="minorHAnsi"/>
          <w:lang w:val="en-GB"/>
        </w:rPr>
        <w:t xml:space="preserve"> </w:t>
      </w:r>
      <w:proofErr w:type="spellStart"/>
      <w:r w:rsidRPr="009D7D25">
        <w:rPr>
          <w:rFonts w:eastAsia="Calibri" w:cstheme="minorHAnsi"/>
          <w:lang w:val="en-GB"/>
        </w:rPr>
        <w:t>eq</w:t>
      </w:r>
      <w:proofErr w:type="spellEnd"/>
      <w:r w:rsidRPr="009D7D25">
        <w:rPr>
          <w:rFonts w:eastAsia="Calibri" w:cstheme="minorHAnsi"/>
          <w:lang w:val="en-GB"/>
        </w:rPr>
        <w:t>, 6.2 GtCO</w:t>
      </w:r>
      <w:r w:rsidRPr="009D7D25">
        <w:rPr>
          <w:rFonts w:eastAsia="Calibri" w:cstheme="minorHAnsi"/>
          <w:vertAlign w:val="subscript"/>
          <w:lang w:val="en-GB"/>
        </w:rPr>
        <w:t>2</w:t>
      </w:r>
      <w:r w:rsidRPr="009D7D25">
        <w:rPr>
          <w:rFonts w:eastAsia="Calibri" w:cstheme="minorHAnsi"/>
          <w:lang w:val="en-GB"/>
        </w:rPr>
        <w:t xml:space="preserve"> </w:t>
      </w:r>
      <w:proofErr w:type="spellStart"/>
      <w:r w:rsidRPr="009D7D25">
        <w:rPr>
          <w:rFonts w:eastAsia="Calibri" w:cstheme="minorHAnsi"/>
          <w:lang w:val="en-GB"/>
        </w:rPr>
        <w:t>eq</w:t>
      </w:r>
      <w:proofErr w:type="spellEnd"/>
      <w:r w:rsidRPr="009D7D25">
        <w:rPr>
          <w:rFonts w:eastAsia="Calibri" w:cstheme="minorHAnsi"/>
          <w:lang w:val="en-GB"/>
        </w:rPr>
        <w:t xml:space="preserve"> of which originated from the agricultural sector and 5.8 GtCO</w:t>
      </w:r>
      <w:r w:rsidRPr="009D7D25">
        <w:rPr>
          <w:rFonts w:eastAsia="Calibri" w:cstheme="minorHAnsi"/>
          <w:vertAlign w:val="subscript"/>
          <w:lang w:val="en-GB"/>
        </w:rPr>
        <w:t>2</w:t>
      </w:r>
      <w:r w:rsidRPr="009D7D25">
        <w:rPr>
          <w:rFonts w:eastAsia="Calibri" w:cstheme="minorHAnsi"/>
          <w:lang w:val="en-GB"/>
        </w:rPr>
        <w:t xml:space="preserve"> </w:t>
      </w:r>
      <w:proofErr w:type="spellStart"/>
      <w:r w:rsidRPr="009D7D25">
        <w:rPr>
          <w:rFonts w:eastAsia="Calibri" w:cstheme="minorHAnsi"/>
          <w:lang w:val="en-GB"/>
        </w:rPr>
        <w:t>eq</w:t>
      </w:r>
      <w:proofErr w:type="spellEnd"/>
      <w:r w:rsidRPr="009D7D25">
        <w:rPr>
          <w:rFonts w:eastAsia="Calibri" w:cstheme="minorHAnsi"/>
          <w:lang w:val="en-GB"/>
        </w:rPr>
        <w:t xml:space="preserve"> from land use, land-use change and forestry sector (LULUCF) (IPCC, 2019). The net 6.2 GtCO</w:t>
      </w:r>
      <w:r w:rsidRPr="009D7D25">
        <w:rPr>
          <w:rFonts w:eastAsia="Calibri" w:cstheme="minorHAnsi"/>
          <w:vertAlign w:val="subscript"/>
          <w:lang w:val="en-GB"/>
        </w:rPr>
        <w:t>2</w:t>
      </w:r>
      <w:r w:rsidRPr="009D7D25">
        <w:rPr>
          <w:rFonts w:eastAsia="Calibri" w:cstheme="minorHAnsi"/>
          <w:lang w:val="en-GB"/>
        </w:rPr>
        <w:t xml:space="preserve"> </w:t>
      </w:r>
      <w:proofErr w:type="spellStart"/>
      <w:r w:rsidRPr="009D7D25">
        <w:rPr>
          <w:rFonts w:eastAsia="Calibri" w:cstheme="minorHAnsi"/>
          <w:lang w:val="en-GB"/>
        </w:rPr>
        <w:t>eq</w:t>
      </w:r>
      <w:proofErr w:type="spellEnd"/>
      <w:r w:rsidRPr="009D7D25">
        <w:rPr>
          <w:rFonts w:eastAsia="Calibri" w:cstheme="minorHAnsi"/>
          <w:lang w:val="en-GB"/>
        </w:rPr>
        <w:t xml:space="preserve"> emissions from agriculture can be split into 4.0 GtCO</w:t>
      </w:r>
      <w:r w:rsidRPr="009D7D25">
        <w:rPr>
          <w:rFonts w:eastAsia="Calibri" w:cstheme="minorHAnsi"/>
          <w:vertAlign w:val="subscript"/>
          <w:lang w:val="en-GB"/>
        </w:rPr>
        <w:t>2</w:t>
      </w:r>
      <w:r w:rsidRPr="009D7D25">
        <w:rPr>
          <w:rFonts w:eastAsia="Calibri" w:cstheme="minorHAnsi"/>
          <w:lang w:val="en-GB"/>
        </w:rPr>
        <w:t xml:space="preserve"> </w:t>
      </w:r>
      <w:proofErr w:type="spellStart"/>
      <w:r w:rsidRPr="009D7D25">
        <w:rPr>
          <w:rFonts w:eastAsia="Calibri" w:cstheme="minorHAnsi"/>
          <w:lang w:val="en-GB"/>
        </w:rPr>
        <w:t>eq</w:t>
      </w:r>
      <w:proofErr w:type="spellEnd"/>
      <w:r w:rsidRPr="009D7D25">
        <w:rPr>
          <w:rFonts w:eastAsia="Calibri" w:cstheme="minorHAnsi"/>
          <w:lang w:val="en-GB"/>
        </w:rPr>
        <w:t xml:space="preserve"> methane (CH</w:t>
      </w:r>
      <w:r w:rsidRPr="009D7D25">
        <w:rPr>
          <w:rFonts w:eastAsia="Calibri" w:cstheme="minorHAnsi"/>
          <w:vertAlign w:val="subscript"/>
          <w:lang w:val="en-GB"/>
        </w:rPr>
        <w:t>4</w:t>
      </w:r>
      <w:r w:rsidRPr="009D7D25">
        <w:rPr>
          <w:rFonts w:eastAsia="Calibri" w:cstheme="minorHAnsi"/>
          <w:lang w:val="en-GB"/>
        </w:rPr>
        <w:t>) and 2.2 GtCO</w:t>
      </w:r>
      <w:r w:rsidRPr="009D7D25">
        <w:rPr>
          <w:rFonts w:eastAsia="Calibri" w:cstheme="minorHAnsi"/>
          <w:vertAlign w:val="subscript"/>
          <w:lang w:val="en-GB"/>
        </w:rPr>
        <w:t>2</w:t>
      </w:r>
      <w:r w:rsidRPr="009D7D25">
        <w:rPr>
          <w:rFonts w:eastAsia="Calibri" w:cstheme="minorHAnsi"/>
          <w:lang w:val="en-GB"/>
        </w:rPr>
        <w:t xml:space="preserve"> </w:t>
      </w:r>
      <w:proofErr w:type="spellStart"/>
      <w:r w:rsidRPr="009D7D25">
        <w:rPr>
          <w:rFonts w:eastAsia="Calibri" w:cstheme="minorHAnsi"/>
          <w:lang w:val="en-GB"/>
        </w:rPr>
        <w:t>eq</w:t>
      </w:r>
      <w:proofErr w:type="spellEnd"/>
      <w:r w:rsidRPr="009D7D25">
        <w:rPr>
          <w:rFonts w:eastAsia="Calibri" w:cstheme="minorHAnsi"/>
          <w:lang w:val="en-GB"/>
        </w:rPr>
        <w:t xml:space="preserve"> nitrous oxide (N</w:t>
      </w:r>
      <w:r w:rsidRPr="009D7D25">
        <w:rPr>
          <w:rFonts w:eastAsia="Calibri" w:cstheme="minorHAnsi"/>
          <w:vertAlign w:val="subscript"/>
          <w:lang w:val="en-GB"/>
        </w:rPr>
        <w:t>2</w:t>
      </w:r>
      <w:r w:rsidRPr="009D7D25">
        <w:rPr>
          <w:rFonts w:eastAsia="Calibri" w:cstheme="minorHAnsi"/>
          <w:lang w:val="en-GB"/>
        </w:rPr>
        <w:t>O) (IPCC, 2019). Model-based projections show that CH</w:t>
      </w:r>
      <w:r w:rsidRPr="009D7D25">
        <w:rPr>
          <w:rFonts w:eastAsia="Calibri" w:cstheme="minorHAnsi"/>
          <w:vertAlign w:val="subscript"/>
          <w:lang w:val="en-GB"/>
        </w:rPr>
        <w:t>4</w:t>
      </w:r>
      <w:r w:rsidRPr="009D7D25">
        <w:rPr>
          <w:rFonts w:eastAsia="Calibri" w:cstheme="minorHAnsi"/>
          <w:lang w:val="en-GB"/>
        </w:rPr>
        <w:t xml:space="preserve"> and N</w:t>
      </w:r>
      <w:r w:rsidRPr="009D7D25">
        <w:rPr>
          <w:rFonts w:eastAsia="Calibri" w:cstheme="minorHAnsi"/>
          <w:vertAlign w:val="subscript"/>
          <w:lang w:val="en-GB"/>
        </w:rPr>
        <w:t>2</w:t>
      </w:r>
      <w:r w:rsidRPr="009D7D25">
        <w:rPr>
          <w:rFonts w:eastAsia="Calibri" w:cstheme="minorHAnsi"/>
          <w:lang w:val="en-GB"/>
        </w:rPr>
        <w:t>O emissions from agriculture will steadily increase towards 2100, in the absence of climate policy (roughly 50% on average compared to the present day, but with large uncertainties) (Harmsen et al., 2020; Gidden et al., 2019).</w:t>
      </w:r>
    </w:p>
    <w:p w14:paraId="1FC33FCF" w14:textId="77777777" w:rsidR="00E12831" w:rsidRPr="009D7D25" w:rsidRDefault="00E12831" w:rsidP="00E12831">
      <w:pPr>
        <w:rPr>
          <w:rFonts w:cstheme="minorHAnsi"/>
          <w:lang w:val="en-GB"/>
        </w:rPr>
      </w:pPr>
      <w:r w:rsidRPr="009D7D25">
        <w:rPr>
          <w:rFonts w:eastAsia="Calibri" w:cstheme="minorHAnsi"/>
          <w:lang w:val="en-GB"/>
        </w:rPr>
        <w:lastRenderedPageBreak/>
        <w:t>The continuing intensification and expansion of the agricultural sector, associated with increases in the use of synthetic fertilizer and manure production, is the primary driver of the increase in N</w:t>
      </w:r>
      <w:r w:rsidRPr="009D7D25">
        <w:rPr>
          <w:rFonts w:eastAsia="Calibri" w:cstheme="minorHAnsi"/>
          <w:vertAlign w:val="subscript"/>
          <w:lang w:val="en-GB"/>
        </w:rPr>
        <w:t>2</w:t>
      </w:r>
      <w:r w:rsidRPr="009D7D25">
        <w:rPr>
          <w:rFonts w:eastAsia="Calibri" w:cstheme="minorHAnsi"/>
          <w:lang w:val="en-GB"/>
        </w:rPr>
        <w:t>O emissions. Grazing covers about 70% of global agricultural land use, which also impacts the carbon cycle, due to deforestation and land degradation. Moreover, 34% of global cropland is used to produce feed for livestock (Stehfest et al., 2019). Agricultural CH</w:t>
      </w:r>
      <w:r w:rsidRPr="009D7D25">
        <w:rPr>
          <w:rFonts w:eastAsia="Calibri" w:cstheme="minorHAnsi"/>
          <w:vertAlign w:val="subscript"/>
          <w:lang w:val="en-GB"/>
        </w:rPr>
        <w:t>4</w:t>
      </w:r>
      <w:r w:rsidRPr="009D7D25">
        <w:rPr>
          <w:rFonts w:eastAsia="Calibri" w:cstheme="minorHAnsi"/>
          <w:lang w:val="en-GB"/>
        </w:rPr>
        <w:t xml:space="preserve"> emissions predominantly originate from enteric fermentation in the digestive systems of ruminant animals, and from rice cultivation. Livestock production contributes 66% of the total agricultural CH</w:t>
      </w:r>
      <w:r w:rsidRPr="009D7D25">
        <w:rPr>
          <w:rFonts w:eastAsia="Calibri" w:cstheme="minorHAnsi"/>
          <w:vertAlign w:val="subscript"/>
          <w:lang w:val="en-GB"/>
        </w:rPr>
        <w:t>4</w:t>
      </w:r>
      <w:r w:rsidRPr="009D7D25">
        <w:rPr>
          <w:rFonts w:eastAsia="Calibri" w:cstheme="minorHAnsi"/>
          <w:lang w:val="en-GB"/>
        </w:rPr>
        <w:t xml:space="preserve"> emissions, mainly from ruminants (cattle, sheep and goats) that due to their physiology produce much more CH</w:t>
      </w:r>
      <w:r w:rsidRPr="009D7D25">
        <w:rPr>
          <w:rFonts w:eastAsia="Calibri" w:cstheme="minorHAnsi"/>
          <w:vertAlign w:val="subscript"/>
          <w:lang w:val="en-GB"/>
        </w:rPr>
        <w:t>4</w:t>
      </w:r>
      <w:r w:rsidRPr="009D7D25">
        <w:rPr>
          <w:rFonts w:eastAsia="Calibri" w:cstheme="minorHAnsi"/>
          <w:lang w:val="en-GB"/>
        </w:rPr>
        <w:t xml:space="preserve"> than do pigs and poultry. </w:t>
      </w:r>
      <w:r w:rsidRPr="009D7D25">
        <w:rPr>
          <w:rFonts w:cstheme="minorHAnsi"/>
          <w:lang w:val="en-GB"/>
        </w:rPr>
        <w:t xml:space="preserve">Manure management also contributes smaller but significant amounts of </w:t>
      </w:r>
      <w:r w:rsidRPr="009D7D25">
        <w:rPr>
          <w:rFonts w:eastAsia="Calibri" w:cstheme="minorHAnsi"/>
          <w:lang w:val="en-GB"/>
        </w:rPr>
        <w:t>CH</w:t>
      </w:r>
      <w:r w:rsidRPr="009D7D25">
        <w:rPr>
          <w:rFonts w:eastAsia="Calibri" w:cstheme="minorHAnsi"/>
          <w:vertAlign w:val="subscript"/>
          <w:lang w:val="en-GB"/>
        </w:rPr>
        <w:t>4</w:t>
      </w:r>
      <w:r w:rsidRPr="009D7D25">
        <w:rPr>
          <w:rFonts w:eastAsia="Calibri" w:cstheme="minorHAnsi"/>
          <w:lang w:val="en-GB"/>
        </w:rPr>
        <w:t xml:space="preserve"> </w:t>
      </w:r>
      <w:r w:rsidRPr="009D7D25">
        <w:rPr>
          <w:rFonts w:cstheme="minorHAnsi"/>
          <w:lang w:val="en-GB"/>
        </w:rPr>
        <w:t>emissions (IPCC, 2019).</w:t>
      </w:r>
    </w:p>
    <w:p w14:paraId="2073B108" w14:textId="77777777" w:rsidR="00E12831" w:rsidRPr="009D7D25" w:rsidRDefault="00E12831" w:rsidP="00E12831">
      <w:pPr>
        <w:rPr>
          <w:rFonts w:cstheme="minorHAnsi"/>
          <w:lang w:val="en-GB"/>
        </w:rPr>
      </w:pPr>
      <w:r w:rsidRPr="009D7D25">
        <w:rPr>
          <w:rFonts w:eastAsia="Calibri" w:cstheme="minorHAnsi"/>
          <w:lang w:val="en-GB"/>
        </w:rPr>
        <w:t xml:space="preserve">The direct relationship between the sector’s greenhouse gas emissions and food brings us to the first challenge along the way to abate emissions in this sector; population growth is generally associated with higher demand for agricultural products, and GDP growth correlates with an increased consumption of animal products. Dietary changes would change this relationship, but involve barriers associated with consumer behaviour, marketing and the cultural position of food. Besides problems on the demand side, a second challenge concerns technological solutions (examples are given below) that target the same emissions and thus lead to diminishing returns when implemented simultaneously. In fact, it has been found technically impossible to reduce agricultural emissions to zero, even if all identified measures are applied (Harmsen et al., 2019). </w:t>
      </w:r>
      <w:r w:rsidRPr="009D7D25">
        <w:rPr>
          <w:rFonts w:eastAsia="Calibri" w:cstheme="minorHAnsi"/>
          <w:noProof/>
          <w:lang w:val="en-GB"/>
        </w:rPr>
        <w:t>Unlike with CO</w:t>
      </w:r>
      <w:r w:rsidRPr="009D7D25">
        <w:rPr>
          <w:rFonts w:cstheme="minorHAnsi"/>
          <w:vertAlign w:val="subscript"/>
          <w:lang w:val="en-GB"/>
        </w:rPr>
        <w:t>2</w:t>
      </w:r>
      <w:r w:rsidRPr="009D7D25">
        <w:rPr>
          <w:rFonts w:cstheme="minorHAnsi"/>
          <w:lang w:val="en-GB"/>
        </w:rPr>
        <w:t xml:space="preserve"> emissions</w:t>
      </w:r>
      <w:r w:rsidRPr="009D7D25">
        <w:rPr>
          <w:rFonts w:eastAsia="Calibri" w:cstheme="minorHAnsi"/>
          <w:noProof/>
          <w:lang w:val="en-GB"/>
        </w:rPr>
        <w:t>, negative non-CO</w:t>
      </w:r>
      <w:r w:rsidRPr="009D7D25">
        <w:rPr>
          <w:rFonts w:eastAsia="Calibri" w:cstheme="minorHAnsi"/>
          <w:vertAlign w:val="subscript"/>
          <w:lang w:val="en-GB"/>
        </w:rPr>
        <w:t>2</w:t>
      </w:r>
      <w:r w:rsidRPr="009D7D25">
        <w:rPr>
          <w:rFonts w:eastAsia="Calibri" w:cstheme="minorHAnsi"/>
          <w:noProof/>
          <w:lang w:val="en-GB"/>
        </w:rPr>
        <w:t xml:space="preserve"> emissions via biological or chemical capture are either impractical or impossible</w:t>
      </w:r>
      <w:r w:rsidRPr="009D7D25">
        <w:rPr>
          <w:rFonts w:eastAsia="Calibri" w:cstheme="minorHAnsi"/>
          <w:lang w:val="en-GB"/>
        </w:rPr>
        <w:t>. However, removal via photocatalysis in large chimneys has been proposed as an option for negative non</w:t>
      </w:r>
      <w:r w:rsidRPr="009D7D25">
        <w:rPr>
          <w:rFonts w:cstheme="minorHAnsi"/>
          <w:lang w:val="en-GB"/>
        </w:rPr>
        <w:t>-CO</w:t>
      </w:r>
      <w:r w:rsidRPr="009D7D25">
        <w:rPr>
          <w:rFonts w:cstheme="minorHAnsi"/>
          <w:vertAlign w:val="subscript"/>
          <w:lang w:val="en-GB"/>
        </w:rPr>
        <w:t>2</w:t>
      </w:r>
      <w:r w:rsidRPr="009D7D25">
        <w:rPr>
          <w:rFonts w:cstheme="minorHAnsi"/>
          <w:lang w:val="en-GB"/>
        </w:rPr>
        <w:t xml:space="preserve"> emissions (de Richter et al., 2018). </w:t>
      </w:r>
      <w:r w:rsidRPr="009D7D25">
        <w:rPr>
          <w:rFonts w:eastAsia="Calibri" w:cstheme="minorHAnsi"/>
          <w:lang w:val="en-GB"/>
        </w:rPr>
        <w:t>This option is not included in this study, because pilot projects have only recently started (CORDIS, 2020), making costs and benefits speculative. A third challenge to abating emissions in this sector concerns the competitiveness of the agricultural market and, in some cases, the high investment costs for mitigation measures. The high investment costs form barriers particularly for smallholder farms, who account for approximately one third of the world’s food (Ricciardi et al., 2018). Besides the financial aspects of agricultural innovation, certain measures, such as emission-efficient tillage and residue management require knowledge and training. In general, there are two sides to the high competitiveness and resulting innovation; it stimulates the productivity of the sector, but may also reduce the revenue margin (and, in turn, the investment potential), increase pollution and threaten animal welfare.</w:t>
      </w:r>
    </w:p>
    <w:p w14:paraId="115B48AA" w14:textId="77777777" w:rsidR="00E12831" w:rsidRPr="009D7D25" w:rsidRDefault="00E12831" w:rsidP="00E12831">
      <w:pPr>
        <w:pStyle w:val="Alternatievetekst"/>
        <w:rPr>
          <w:rFonts w:asciiTheme="minorHAnsi" w:hAnsiTheme="minorHAnsi" w:cstheme="minorHAnsi"/>
          <w:i/>
          <w:iCs/>
          <w:color w:val="auto"/>
          <w:lang w:val="en-GB"/>
        </w:rPr>
      </w:pPr>
      <w:r w:rsidRPr="009D7D25">
        <w:rPr>
          <w:rFonts w:asciiTheme="minorHAnsi" w:hAnsiTheme="minorHAnsi" w:cstheme="minorHAnsi"/>
          <w:i/>
          <w:iCs/>
          <w:color w:val="auto"/>
          <w:lang w:val="en-GB"/>
        </w:rPr>
        <w:t>Measures and policies</w:t>
      </w:r>
    </w:p>
    <w:p w14:paraId="75FF638B" w14:textId="77777777" w:rsidR="00E12831" w:rsidRPr="009D7D25" w:rsidRDefault="00E12831" w:rsidP="00E12831">
      <w:pPr>
        <w:rPr>
          <w:rFonts w:cstheme="minorHAnsi"/>
          <w:lang w:val="en-GB"/>
        </w:rPr>
      </w:pPr>
      <w:r w:rsidRPr="009D7D25">
        <w:rPr>
          <w:rFonts w:eastAsia="Calibri" w:cstheme="minorHAnsi"/>
          <w:lang w:val="en-GB"/>
        </w:rPr>
        <w:t>As with other sectors, there are both technological and behavioural or demand-based measures to mitigate emissions in the agricultural sector. On the technological side, there are several changes to the production process that farmers could apply, in order to significantly reduce direct CH</w:t>
      </w:r>
      <w:r w:rsidRPr="009D7D25">
        <w:rPr>
          <w:rFonts w:eastAsia="Calibri" w:cstheme="minorHAnsi"/>
          <w:vertAlign w:val="subscript"/>
          <w:lang w:val="en-GB"/>
        </w:rPr>
        <w:t>4</w:t>
      </w:r>
      <w:r w:rsidRPr="009D7D25">
        <w:rPr>
          <w:rFonts w:eastAsia="Calibri" w:cstheme="minorHAnsi"/>
          <w:lang w:val="en-GB"/>
        </w:rPr>
        <w:t xml:space="preserve"> and N</w:t>
      </w:r>
      <w:r w:rsidRPr="009D7D25">
        <w:rPr>
          <w:rFonts w:eastAsia="Calibri" w:cstheme="minorHAnsi"/>
          <w:vertAlign w:val="subscript"/>
          <w:lang w:val="en-GB"/>
        </w:rPr>
        <w:t>2</w:t>
      </w:r>
      <w:r w:rsidRPr="009D7D25">
        <w:rPr>
          <w:rFonts w:eastAsia="Calibri" w:cstheme="minorHAnsi"/>
          <w:lang w:val="en-GB"/>
        </w:rPr>
        <w:t>O emissions. Promising practices for CH</w:t>
      </w:r>
      <w:r w:rsidRPr="009D7D25">
        <w:rPr>
          <w:rFonts w:eastAsia="Calibri" w:cstheme="minorHAnsi"/>
          <w:vertAlign w:val="subscript"/>
          <w:lang w:val="en-GB"/>
        </w:rPr>
        <w:t>4</w:t>
      </w:r>
      <w:r w:rsidRPr="009D7D25">
        <w:rPr>
          <w:rFonts w:eastAsia="Calibri" w:cstheme="minorHAnsi"/>
          <w:lang w:val="en-GB"/>
        </w:rPr>
        <w:t xml:space="preserve"> include genetic selection and breeding of ruminants, feed management to reduce CH</w:t>
      </w:r>
      <w:r w:rsidRPr="009D7D25">
        <w:rPr>
          <w:rFonts w:eastAsia="Calibri" w:cstheme="minorHAnsi"/>
          <w:vertAlign w:val="subscript"/>
          <w:lang w:val="en-GB"/>
        </w:rPr>
        <w:t>4</w:t>
      </w:r>
      <w:r w:rsidRPr="009D7D25">
        <w:rPr>
          <w:rFonts w:eastAsia="Calibri" w:cstheme="minorHAnsi"/>
          <w:lang w:val="en-GB"/>
        </w:rPr>
        <w:t xml:space="preserve"> emissions from enteric fermentation (e.g. changing feed composition and the use of feed additives</w:t>
      </w:r>
      <w:r w:rsidRPr="009D7D25">
        <w:rPr>
          <w:rFonts w:cstheme="minorHAnsi"/>
          <w:lang w:val="en-GB"/>
        </w:rPr>
        <w:t>) (Roe et al., 2020),</w:t>
      </w:r>
      <w:r w:rsidRPr="009D7D25">
        <w:rPr>
          <w:rFonts w:eastAsia="Calibri" w:cstheme="minorHAnsi"/>
          <w:lang w:val="en-GB"/>
        </w:rPr>
        <w:t xml:space="preserve"> alternate flooding and draining to reduce CH</w:t>
      </w:r>
      <w:r w:rsidRPr="009D7D25">
        <w:rPr>
          <w:rFonts w:eastAsia="Calibri" w:cstheme="minorHAnsi"/>
          <w:vertAlign w:val="subscript"/>
          <w:lang w:val="en-GB"/>
        </w:rPr>
        <w:t>4</w:t>
      </w:r>
      <w:r w:rsidRPr="009D7D25">
        <w:rPr>
          <w:rFonts w:eastAsia="Calibri" w:cstheme="minorHAnsi"/>
          <w:lang w:val="en-GB"/>
        </w:rPr>
        <w:t xml:space="preserve"> emissions from paddy fields, the application of anaerobic digesters and decreased exposure of manure that would limit CH</w:t>
      </w:r>
      <w:r w:rsidRPr="009D7D25">
        <w:rPr>
          <w:rFonts w:eastAsia="Calibri" w:cstheme="minorHAnsi"/>
          <w:vertAlign w:val="subscript"/>
          <w:lang w:val="en-GB"/>
        </w:rPr>
        <w:t>4</w:t>
      </w:r>
      <w:r w:rsidRPr="009D7D25">
        <w:rPr>
          <w:rFonts w:eastAsia="Calibri" w:cstheme="minorHAnsi"/>
          <w:lang w:val="en-GB"/>
        </w:rPr>
        <w:t xml:space="preserve"> emissions from animal waste. Similarly, the use of more efficient fertilizer application levels, improved land manure applications or nitrification inhibitors can reduce N</w:t>
      </w:r>
      <w:r w:rsidRPr="009D7D25">
        <w:rPr>
          <w:rFonts w:eastAsia="Calibri" w:cstheme="minorHAnsi"/>
          <w:vertAlign w:val="subscript"/>
          <w:lang w:val="en-GB"/>
        </w:rPr>
        <w:t>2</w:t>
      </w:r>
      <w:r w:rsidRPr="009D7D25">
        <w:rPr>
          <w:rFonts w:eastAsia="Calibri" w:cstheme="minorHAnsi"/>
          <w:lang w:val="en-GB"/>
        </w:rPr>
        <w:t>O emissions from manure and fertilise use. Although these measures will not completely reduce all emissions (see the second challenge), they are expected to have a significant effect. For example, alternate flooding and draining of the land in rice production may lead to an estimated reduction efficiency of 57% (Harmsen et al., 2019). Agricultural activities largely take place in the open air and, therefore, fully capturing emissions directly is largely impossible, given that plants require nitrogen and ruminants will always produce CH</w:t>
      </w:r>
      <w:r w:rsidRPr="009D7D25">
        <w:rPr>
          <w:rFonts w:eastAsia="Calibri" w:cstheme="minorHAnsi"/>
          <w:vertAlign w:val="subscript"/>
          <w:lang w:val="en-GB"/>
        </w:rPr>
        <w:t>4</w:t>
      </w:r>
      <w:r w:rsidRPr="009D7D25">
        <w:rPr>
          <w:rFonts w:cstheme="minorHAnsi"/>
          <w:lang w:val="en-GB"/>
        </w:rPr>
        <w:t xml:space="preserve">. Agricultural land can also be managed differently, such as by </w:t>
      </w:r>
      <w:r w:rsidRPr="009D7D25">
        <w:rPr>
          <w:rFonts w:cstheme="minorHAnsi"/>
          <w:lang w:val="en-GB"/>
        </w:rPr>
        <w:lastRenderedPageBreak/>
        <w:t xml:space="preserve">limiting the amount of land used (reducing deforestation), limiting the use of peatlands or raising the water table, preventing soil carbon loss or increase soil carbon stocks by reduced tillage or biochar, or by increasing tree cover as part of the agricultural landscape which increases carbon storage (agroforestry and </w:t>
      </w:r>
      <w:proofErr w:type="spellStart"/>
      <w:r w:rsidRPr="009D7D25">
        <w:rPr>
          <w:rFonts w:cstheme="minorHAnsi"/>
          <w:lang w:val="en-GB"/>
        </w:rPr>
        <w:t>silvopastoralism</w:t>
      </w:r>
      <w:proofErr w:type="spellEnd"/>
      <w:r w:rsidRPr="009D7D25">
        <w:rPr>
          <w:rFonts w:cstheme="minorHAnsi"/>
          <w:lang w:val="en-GB"/>
        </w:rPr>
        <w:t>). While the potential of such measures is high, according to the literature (Roe et al.,2020; van de Esch et al., 2021), it is also surrounded by large uncertainties regarding interactions with the food system. Therefore, we did not include them in this study.</w:t>
      </w:r>
    </w:p>
    <w:p w14:paraId="619AB7C4" w14:textId="77777777" w:rsidR="00E12831" w:rsidRPr="009D7D25" w:rsidRDefault="00E12831" w:rsidP="00E12831">
      <w:pPr>
        <w:rPr>
          <w:rFonts w:eastAsia="Calibri" w:cstheme="minorHAnsi"/>
          <w:lang w:val="en-GB"/>
        </w:rPr>
      </w:pPr>
      <w:r w:rsidRPr="009D7D25">
        <w:rPr>
          <w:rFonts w:eastAsia="Calibri" w:cstheme="minorHAnsi"/>
          <w:lang w:val="en-GB"/>
        </w:rPr>
        <w:t>A fast-growing yet costly technology to reduce food and feed consumption is the production of cultured meat (The Good Food Institute, 2019). This technology involves the cultivation of animal cells in a laboratory environment, thus, producing meat without the need for animal husbandry. Social acceptability of the technology forms an adoption challenge, although a trend towards public acceptance has been observed (Post et al.,2020). Although cultivated meat is suggested to be more efficient than conventional meat, in terms of greenhouse gas emissions, water consumption and land use, it may be more energy intensive (</w:t>
      </w:r>
      <w:proofErr w:type="spellStart"/>
      <w:r w:rsidRPr="009D7D25">
        <w:rPr>
          <w:rFonts w:eastAsia="Calibri" w:cstheme="minorHAnsi"/>
          <w:lang w:val="en-GB"/>
        </w:rPr>
        <w:t>Mattick</w:t>
      </w:r>
      <w:proofErr w:type="spellEnd"/>
      <w:r w:rsidRPr="009D7D25">
        <w:rPr>
          <w:rFonts w:eastAsia="Calibri" w:cstheme="minorHAnsi"/>
          <w:lang w:val="en-GB"/>
        </w:rPr>
        <w:t xml:space="preserve"> et al., 2015; </w:t>
      </w:r>
      <w:proofErr w:type="spellStart"/>
      <w:r w:rsidRPr="009D7D25">
        <w:rPr>
          <w:rFonts w:eastAsia="Calibri" w:cstheme="minorHAnsi"/>
          <w:lang w:val="en-GB"/>
        </w:rPr>
        <w:t>Tuomisto</w:t>
      </w:r>
      <w:proofErr w:type="spellEnd"/>
      <w:r w:rsidRPr="009D7D25">
        <w:rPr>
          <w:rFonts w:eastAsia="Calibri" w:cstheme="minorHAnsi"/>
          <w:lang w:val="en-GB"/>
        </w:rPr>
        <w:t xml:space="preserve"> et al., 2011), which means the environmental benefits depend on the availability of clean energy.</w:t>
      </w:r>
    </w:p>
    <w:p w14:paraId="0788C62E" w14:textId="77777777" w:rsidR="00E12831" w:rsidRPr="009D7D25" w:rsidRDefault="00E12831" w:rsidP="00E12831">
      <w:pPr>
        <w:rPr>
          <w:rFonts w:eastAsia="Calibri" w:cstheme="minorHAnsi"/>
          <w:lang w:val="en-GB"/>
        </w:rPr>
      </w:pPr>
      <w:r w:rsidRPr="009D7D25">
        <w:rPr>
          <w:rFonts w:eastAsia="Calibri" w:cstheme="minorHAnsi"/>
          <w:lang w:val="en-GB"/>
        </w:rPr>
        <w:t>In addition, several studies show that measures affecting the demand side, such as dietary change towards less animal-based diets, may help mitigate the expected growth in livestock-related emissions</w:t>
      </w:r>
      <w:sdt>
        <w:sdtPr>
          <w:rPr>
            <w:rFonts w:eastAsia="Calibri" w:cstheme="minorHAnsi"/>
            <w:vertAlign w:val="superscript"/>
            <w:lang w:val="en-GB"/>
          </w:rPr>
          <w:tag w:val="MENDELEY_CITATION_v3_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"/>
          <w:id w:val="-1785035479"/>
          <w:placeholder>
            <w:docPart w:val="FB84E03350F34AF98D26215534D84330"/>
          </w:placeholder>
        </w:sdtPr>
        <w:sdtEndPr/>
        <w:sdtContent>
          <w:r w:rsidRPr="009D7D25">
            <w:rPr>
              <w:rFonts w:eastAsia="Calibri" w:cstheme="minorHAnsi"/>
              <w:vertAlign w:val="superscript"/>
              <w:lang w:val="en-GB"/>
            </w:rPr>
            <w:t>71,83</w:t>
          </w:r>
        </w:sdtContent>
      </w:sdt>
      <w:r w:rsidRPr="009D7D25">
        <w:rPr>
          <w:rFonts w:eastAsia="Calibri" w:cstheme="minorHAnsi"/>
          <w:lang w:val="en-GB"/>
        </w:rPr>
        <w:t>. For instance, a global shift towards a plant-based diet would reduce agricultural greenhouse gas emissions by 56%, by 2050, compared to under baseline scenarios (</w:t>
      </w:r>
      <w:proofErr w:type="spellStart"/>
      <w:r w:rsidRPr="009D7D25">
        <w:rPr>
          <w:rFonts w:eastAsia="Calibri" w:cstheme="minorHAnsi"/>
          <w:lang w:val="en-GB"/>
        </w:rPr>
        <w:t>Springmann</w:t>
      </w:r>
      <w:proofErr w:type="spellEnd"/>
      <w:r w:rsidRPr="009D7D25">
        <w:rPr>
          <w:rFonts w:eastAsia="Calibri" w:cstheme="minorHAnsi"/>
          <w:lang w:val="en-GB"/>
        </w:rPr>
        <w:t xml:space="preserve"> et al., 2018). In the proposed diet, red meat would be limited to one portion per week, and white meat to a half portion per day. While the impact of such changes would be very large, there are behavioural change barriers (</w:t>
      </w:r>
      <w:proofErr w:type="spellStart"/>
      <w:r w:rsidRPr="009D7D25">
        <w:rPr>
          <w:rFonts w:eastAsia="Calibri" w:cstheme="minorHAnsi"/>
          <w:lang w:val="en-GB"/>
        </w:rPr>
        <w:t>Eker</w:t>
      </w:r>
      <w:proofErr w:type="spellEnd"/>
      <w:r w:rsidRPr="009D7D25">
        <w:rPr>
          <w:rFonts w:eastAsia="Calibri" w:cstheme="minorHAnsi"/>
          <w:lang w:val="en-GB"/>
        </w:rPr>
        <w:t xml:space="preserve"> et al., 2019), as this would require billions of people to change their dietary behaviour</w:t>
      </w:r>
      <w:r w:rsidRPr="009D7D25">
        <w:rPr>
          <w:rFonts w:cstheme="minorHAnsi"/>
          <w:lang w:val="en-GB"/>
        </w:rPr>
        <w:t>,</w:t>
      </w:r>
      <w:r w:rsidRPr="009D7D25">
        <w:rPr>
          <w:rFonts w:eastAsia="Calibri" w:cstheme="minorHAnsi"/>
          <w:lang w:val="en-GB"/>
        </w:rPr>
        <w:t xml:space="preserve"> which, in turn, points to a potential role for plant-based meat alternatives and artificial meat. Food demand can also be reduced by reducing food loss and waste, and by improved management of supply chains, transport and processing. Currently, about a third of the food (mostly staple crops, fruits and vegetables) is either lost before it is sold or wasted in households (FAO, 2011). Halving this waste and loss (in line with Sustainable Development Goal pledges) is estimated to reduce environmental pressures from this sector by 6% to 16%, by 2050, compared to under baseline scenarios (</w:t>
      </w:r>
      <w:proofErr w:type="spellStart"/>
      <w:r w:rsidRPr="009D7D25">
        <w:rPr>
          <w:rFonts w:eastAsia="Calibri" w:cstheme="minorHAnsi"/>
          <w:lang w:val="en-GB"/>
        </w:rPr>
        <w:t>Springmann</w:t>
      </w:r>
      <w:proofErr w:type="spellEnd"/>
      <w:r w:rsidRPr="009D7D25">
        <w:rPr>
          <w:rFonts w:eastAsia="Calibri" w:cstheme="minorHAnsi"/>
          <w:lang w:val="en-GB"/>
        </w:rPr>
        <w:t xml:space="preserve"> et al., 2018).</w:t>
      </w:r>
    </w:p>
    <w:p w14:paraId="25277C5F" w14:textId="77777777" w:rsidR="00E12831" w:rsidRPr="009D7D25" w:rsidRDefault="00E12831" w:rsidP="00E12831">
      <w:pPr>
        <w:rPr>
          <w:rFonts w:cstheme="minorHAnsi"/>
          <w:lang w:val="en-GB"/>
        </w:rPr>
      </w:pPr>
      <w:r w:rsidRPr="009D7D25">
        <w:rPr>
          <w:rFonts w:eastAsia="Calibri" w:cstheme="minorHAnsi"/>
          <w:lang w:val="en-GB"/>
        </w:rPr>
        <w:t>A number of policy instruments that are aimed at reducing emissions in this sector make it easier for smallholders to adopt technological innovations or land management techniques. Such policies involve training courses for farmers or the provision of the required capital through subsidies and support schemes. More sustainable farming practices can also be encouraged through better legislation on manure management, capping livestock numbers, prohibitions on burning residues, and setting emission standards. In line with the Glasgow Agreement, banning deforestation and products derived from deforested areas or other ways of reducing emissions from land-use change are important measures to abate emissions from this sector. For policy to be effective, it is important to highlight and target the role of food retailers and companies, as they can manipulate demand through marketing and pricing of a selection of products, and via their indirect emissions in the value chains (i.e. scope 3 emissions). A commonly mentioned policy for inducing behavioural change is that of taxation — either on the demand side (meat tax) or the supply side (CH</w:t>
      </w:r>
      <w:r w:rsidRPr="009D7D25">
        <w:rPr>
          <w:rFonts w:eastAsia="Calibri" w:cstheme="minorHAnsi"/>
          <w:vertAlign w:val="subscript"/>
          <w:lang w:val="en-GB"/>
        </w:rPr>
        <w:t>4</w:t>
      </w:r>
      <w:r w:rsidRPr="009D7D25">
        <w:rPr>
          <w:rFonts w:eastAsia="Calibri" w:cstheme="minorHAnsi"/>
          <w:lang w:val="en-GB"/>
        </w:rPr>
        <w:t xml:space="preserve"> tax). These policies would of course lead to food price increases, which would particularly affect the poor (see the first challenge mentioned above). Lessening these inequalities could be addressed by generic income policies. </w:t>
      </w:r>
    </w:p>
    <w:p w14:paraId="76DB220C" w14:textId="77777777" w:rsidR="00E12831" w:rsidRPr="009D7D25" w:rsidRDefault="00E12831" w:rsidP="00E12831">
      <w:pPr>
        <w:pStyle w:val="Figuur-tabel-nummer"/>
        <w:rPr>
          <w:rFonts w:asciiTheme="minorHAnsi" w:eastAsia="Calibri" w:hAnsiTheme="minorHAnsi" w:cstheme="minorHAnsi"/>
          <w:color w:val="auto"/>
          <w:lang w:val="en-GB"/>
        </w:rPr>
      </w:pPr>
      <w:r w:rsidRPr="009D7D25">
        <w:rPr>
          <w:rFonts w:asciiTheme="minorHAnsi" w:eastAsia="Calibri" w:hAnsiTheme="minorHAnsi" w:cstheme="minorHAnsi"/>
          <w:color w:val="auto"/>
          <w:lang w:val="en-GB"/>
        </w:rPr>
        <w:lastRenderedPageBreak/>
        <w:t xml:space="preserve">Table </w:t>
      </w:r>
      <w:r>
        <w:rPr>
          <w:rFonts w:asciiTheme="minorHAnsi" w:eastAsia="Calibri" w:hAnsiTheme="minorHAnsi" w:cstheme="minorHAnsi"/>
          <w:color w:val="auto"/>
          <w:lang w:val="en-GB"/>
        </w:rPr>
        <w:t>4</w:t>
      </w:r>
    </w:p>
    <w:p w14:paraId="4FB628E2" w14:textId="77777777" w:rsidR="00E12831" w:rsidRPr="009D7D25" w:rsidRDefault="00E12831" w:rsidP="00E12831">
      <w:pPr>
        <w:pStyle w:val="Figuur-tabel-titel"/>
        <w:rPr>
          <w:rFonts w:asciiTheme="minorHAnsi" w:eastAsia="Calibri" w:hAnsiTheme="minorHAnsi" w:cstheme="minorHAnsi"/>
          <w:color w:val="auto"/>
          <w:lang w:val="en-GB"/>
        </w:rPr>
      </w:pPr>
      <w:r w:rsidRPr="009D7D25">
        <w:rPr>
          <w:rFonts w:asciiTheme="minorHAnsi" w:eastAsia="Calibri" w:hAnsiTheme="minorHAnsi" w:cstheme="minorHAnsi"/>
          <w:color w:val="auto"/>
          <w:lang w:val="en-GB"/>
        </w:rPr>
        <w:t>Overview of the challenges in the agricultural sector, and the measures and policies connected to achieving net zero emissions.</w:t>
      </w:r>
    </w:p>
    <w:tbl>
      <w:tblPr>
        <w:tblStyle w:val="TableGrid"/>
        <w:tblW w:w="0" w:type="auto"/>
        <w:tblLook w:val="0420" w:firstRow="1" w:lastRow="0" w:firstColumn="0" w:lastColumn="0" w:noHBand="0" w:noVBand="1"/>
      </w:tblPr>
      <w:tblGrid>
        <w:gridCol w:w="2714"/>
        <w:gridCol w:w="2799"/>
        <w:gridCol w:w="2981"/>
      </w:tblGrid>
      <w:tr w:rsidR="00E12831" w:rsidRPr="009D7D25" w14:paraId="6BA06F1A" w14:textId="77777777" w:rsidTr="00D93B08">
        <w:tc>
          <w:tcPr>
            <w:tcW w:w="2714" w:type="dxa"/>
            <w:hideMark/>
          </w:tcPr>
          <w:p w14:paraId="1A4B5021" w14:textId="77777777" w:rsidR="00E12831" w:rsidRPr="009D7D25" w:rsidRDefault="00E12831" w:rsidP="00D93B08">
            <w:pPr>
              <w:pStyle w:val="Tabeltekst"/>
              <w:rPr>
                <w:rFonts w:asciiTheme="minorHAnsi" w:eastAsiaTheme="minorHAnsi" w:hAnsiTheme="minorHAnsi" w:cstheme="minorHAnsi"/>
                <w:b/>
                <w:bCs/>
                <w:lang w:val="en-GB"/>
              </w:rPr>
            </w:pPr>
            <w:bookmarkStart w:id="9" w:name="_Hlk97884643"/>
            <w:r w:rsidRPr="009D7D25">
              <w:rPr>
                <w:rFonts w:asciiTheme="minorHAnsi" w:hAnsiTheme="minorHAnsi" w:cstheme="minorHAnsi"/>
                <w:b/>
                <w:bCs/>
                <w:lang w:val="en-GB"/>
              </w:rPr>
              <w:t>Challenges</w:t>
            </w:r>
          </w:p>
        </w:tc>
        <w:tc>
          <w:tcPr>
            <w:tcW w:w="2799" w:type="dxa"/>
            <w:hideMark/>
          </w:tcPr>
          <w:p w14:paraId="564DB64A"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Measures</w:t>
            </w:r>
          </w:p>
        </w:tc>
        <w:tc>
          <w:tcPr>
            <w:tcW w:w="2981" w:type="dxa"/>
            <w:hideMark/>
          </w:tcPr>
          <w:p w14:paraId="7E57067A" w14:textId="77777777" w:rsidR="00E12831" w:rsidRPr="009D7D25" w:rsidRDefault="00E12831" w:rsidP="00D93B08">
            <w:pPr>
              <w:pStyle w:val="Tabeltekst"/>
              <w:rPr>
                <w:rFonts w:asciiTheme="minorHAnsi" w:hAnsiTheme="minorHAnsi" w:cstheme="minorHAnsi"/>
                <w:b/>
                <w:bCs/>
                <w:lang w:val="en-GB"/>
              </w:rPr>
            </w:pPr>
            <w:r w:rsidRPr="009D7D25">
              <w:rPr>
                <w:rFonts w:asciiTheme="minorHAnsi" w:hAnsiTheme="minorHAnsi" w:cstheme="minorHAnsi"/>
                <w:b/>
                <w:bCs/>
                <w:lang w:val="en-GB"/>
              </w:rPr>
              <w:t>Policies</w:t>
            </w:r>
          </w:p>
        </w:tc>
      </w:tr>
      <w:tr w:rsidR="00E12831" w:rsidRPr="009D7D25" w14:paraId="22AE71AB" w14:textId="77777777" w:rsidTr="00D93B08">
        <w:tc>
          <w:tcPr>
            <w:tcW w:w="2714" w:type="dxa"/>
            <w:hideMark/>
          </w:tcPr>
          <w:p w14:paraId="04D33129"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Continued increases in food demand and behavioural </w:t>
            </w:r>
            <w:r w:rsidRPr="009D7D25">
              <w:rPr>
                <w:rFonts w:asciiTheme="minorHAnsi" w:hAnsiTheme="minorHAnsi" w:cstheme="minorHAnsi"/>
                <w:u w:val="single"/>
                <w:lang w:val="en-GB"/>
              </w:rPr>
              <w:t>barriers to dietary change</w:t>
            </w:r>
            <w:r w:rsidRPr="009D7D25">
              <w:rPr>
                <w:rFonts w:asciiTheme="minorHAnsi" w:hAnsiTheme="minorHAnsi" w:cstheme="minorHAnsi"/>
                <w:lang w:val="en-GB"/>
              </w:rPr>
              <w:t xml:space="preserve">; </w:t>
            </w:r>
          </w:p>
          <w:p w14:paraId="351196FC"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Technological solutions overlap and are </w:t>
            </w:r>
            <w:r w:rsidRPr="009D7D25">
              <w:rPr>
                <w:rFonts w:asciiTheme="minorHAnsi" w:hAnsiTheme="minorHAnsi" w:cstheme="minorHAnsi"/>
                <w:u w:val="single"/>
                <w:lang w:val="en-GB"/>
              </w:rPr>
              <w:t>not enough to go to zero</w:t>
            </w:r>
            <w:r w:rsidRPr="009D7D25">
              <w:rPr>
                <w:rFonts w:asciiTheme="minorHAnsi" w:hAnsiTheme="minorHAnsi" w:cstheme="minorHAnsi"/>
                <w:lang w:val="en-GB"/>
              </w:rPr>
              <w:t>;</w:t>
            </w:r>
          </w:p>
          <w:p w14:paraId="7EDA1803"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In some cases, </w:t>
            </w:r>
            <w:r w:rsidRPr="009D7D25">
              <w:rPr>
                <w:rFonts w:asciiTheme="minorHAnsi" w:hAnsiTheme="minorHAnsi" w:cstheme="minorHAnsi"/>
                <w:u w:val="single"/>
                <w:lang w:val="en-GB"/>
              </w:rPr>
              <w:t>high up-front investments for farmers</w:t>
            </w:r>
            <w:r w:rsidRPr="009D7D25">
              <w:rPr>
                <w:rFonts w:asciiTheme="minorHAnsi" w:hAnsiTheme="minorHAnsi" w:cstheme="minorHAnsi"/>
                <w:lang w:val="en-GB"/>
              </w:rPr>
              <w:t xml:space="preserve"> and lack of incentives;</w:t>
            </w:r>
          </w:p>
          <w:p w14:paraId="0FD81C76"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Competitive market; </w:t>
            </w:r>
          </w:p>
          <w:p w14:paraId="70C88799"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Majority of emissions are from </w:t>
            </w:r>
            <w:r w:rsidRPr="009D7D25">
              <w:rPr>
                <w:rFonts w:asciiTheme="minorHAnsi" w:hAnsiTheme="minorHAnsi" w:cstheme="minorHAnsi"/>
                <w:u w:val="single"/>
                <w:lang w:val="en-GB"/>
              </w:rPr>
              <w:t>smallholder farms</w:t>
            </w:r>
            <w:r w:rsidRPr="009D7D25">
              <w:rPr>
                <w:rFonts w:asciiTheme="minorHAnsi" w:hAnsiTheme="minorHAnsi" w:cstheme="minorHAnsi"/>
                <w:lang w:val="en-GB"/>
              </w:rPr>
              <w:t>;</w:t>
            </w:r>
          </w:p>
          <w:p w14:paraId="5806E347"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Non-financial barriers for farmers refer to </w:t>
            </w:r>
            <w:r w:rsidRPr="009D7D25">
              <w:rPr>
                <w:rFonts w:asciiTheme="minorHAnsi" w:hAnsiTheme="minorHAnsi" w:cstheme="minorHAnsi"/>
                <w:u w:val="single"/>
                <w:lang w:val="en-GB"/>
              </w:rPr>
              <w:t>knowledge and training.</w:t>
            </w:r>
          </w:p>
        </w:tc>
        <w:tc>
          <w:tcPr>
            <w:tcW w:w="2799" w:type="dxa"/>
            <w:hideMark/>
          </w:tcPr>
          <w:p w14:paraId="1B4A0DCF"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Technological solutions: more efficient livestock farming: genetic selection, feed additives;</w:t>
            </w:r>
          </w:p>
          <w:p w14:paraId="03009113"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 xml:space="preserve">In rice production: reduced flooding techniques, reduced fertilizer and runoff: higher fertilizer efficiency, nitrification inhibitors; </w:t>
            </w:r>
          </w:p>
          <w:p w14:paraId="47CA3555" w14:textId="77777777" w:rsidR="00E12831" w:rsidRPr="009D7D25" w:rsidRDefault="00E12831" w:rsidP="00D93B08">
            <w:pPr>
              <w:pStyle w:val="Tabeltekst"/>
              <w:rPr>
                <w:rFonts w:asciiTheme="minorHAnsi" w:eastAsia="MS Mincho" w:hAnsiTheme="minorHAnsi" w:cstheme="minorHAnsi"/>
                <w:szCs w:val="20"/>
                <w:lang w:val="en-GB"/>
              </w:rPr>
            </w:pPr>
            <w:r w:rsidRPr="009D7D25">
              <w:rPr>
                <w:rFonts w:asciiTheme="minorHAnsi" w:hAnsiTheme="minorHAnsi" w:cstheme="minorHAnsi"/>
                <w:lang w:val="en-GB"/>
              </w:rPr>
              <w:t>Land management techniques: higher water tables on peat soils, different agricultural management to increase soil carbon, increased tree cover in agricultural landscapes;</w:t>
            </w:r>
          </w:p>
          <w:p w14:paraId="336CD6E6" w14:textId="77777777" w:rsidR="00E12831" w:rsidRPr="009D7D25" w:rsidRDefault="00E12831" w:rsidP="00D93B08">
            <w:pPr>
              <w:pStyle w:val="Tabeltekst"/>
              <w:rPr>
                <w:rFonts w:asciiTheme="minorHAnsi" w:eastAsiaTheme="minorHAnsi" w:hAnsiTheme="minorHAnsi" w:cstheme="minorHAnsi"/>
                <w:lang w:val="en-GB"/>
              </w:rPr>
            </w:pPr>
            <w:r w:rsidRPr="009D7D25">
              <w:rPr>
                <w:rFonts w:asciiTheme="minorHAnsi" w:hAnsiTheme="minorHAnsi" w:cstheme="minorHAnsi"/>
                <w:lang w:val="en-GB"/>
              </w:rPr>
              <w:t>Alternative products (e.g. artificial meat);</w:t>
            </w:r>
          </w:p>
          <w:p w14:paraId="717CF7F0"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Structural changes required to build knowledge, investment profitability, improved manure and livestock management systems;</w:t>
            </w:r>
          </w:p>
          <w:p w14:paraId="6240AFD7"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Dietary changes;</w:t>
            </w:r>
          </w:p>
          <w:p w14:paraId="66A6BC78"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Decreases in food waste in farm processing, retail and households.</w:t>
            </w:r>
          </w:p>
        </w:tc>
        <w:tc>
          <w:tcPr>
            <w:tcW w:w="2981" w:type="dxa"/>
            <w:hideMark/>
          </w:tcPr>
          <w:p w14:paraId="259940FB"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Incite innovation: R&amp;D, subsidies, training;</w:t>
            </w:r>
          </w:p>
          <w:p w14:paraId="035E9A8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Stronger legislation for farmers: e.g. manure management, burning residue prohibition, emission standards;</w:t>
            </w:r>
          </w:p>
          <w:p w14:paraId="5F5BE3FE"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Stronger legislation for food retailers and companies;</w:t>
            </w:r>
          </w:p>
          <w:p w14:paraId="63468022" w14:textId="77777777" w:rsidR="00E12831" w:rsidRPr="009D7D25" w:rsidRDefault="00E12831" w:rsidP="00D93B08">
            <w:pPr>
              <w:pStyle w:val="Tabeltekst"/>
              <w:rPr>
                <w:rFonts w:asciiTheme="minorHAnsi" w:hAnsiTheme="minorHAnsi" w:cstheme="minorHAnsi"/>
                <w:lang w:val="en-GB"/>
              </w:rPr>
            </w:pPr>
            <w:r w:rsidRPr="009D7D25">
              <w:rPr>
                <w:rFonts w:asciiTheme="minorHAnsi" w:hAnsiTheme="minorHAnsi" w:cstheme="minorHAnsi"/>
                <w:lang w:val="en-GB"/>
              </w:rPr>
              <w:t>Taxes.</w:t>
            </w:r>
          </w:p>
        </w:tc>
      </w:tr>
      <w:bookmarkEnd w:id="9"/>
    </w:tbl>
    <w:p w14:paraId="194B7461" w14:textId="77777777" w:rsidR="00E12831" w:rsidRPr="009D7D25" w:rsidRDefault="00E12831" w:rsidP="00E12831">
      <w:pPr>
        <w:rPr>
          <w:rFonts w:eastAsia="Calibri" w:cstheme="minorHAnsi"/>
          <w:b/>
          <w:bCs/>
          <w:lang w:val="en-GB"/>
        </w:rPr>
      </w:pPr>
    </w:p>
    <w:p w14:paraId="2325907C" w14:textId="77777777" w:rsidR="00E12831" w:rsidRDefault="00E12831"/>
    <w:sectPr w:rsidR="00E1283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ijksoverheidSansText">
    <w:altName w:val="Calibri"/>
    <w:panose1 w:val="00000000000000000000"/>
    <w:charset w:val="00"/>
    <w:family w:val="swiss"/>
    <w:notTrueType/>
    <w:pitch w:val="variable"/>
    <w:sig w:usb0="00000087" w:usb1="00000001" w:usb2="00000000" w:usb3="00000000" w:csb0="0000009B" w:csb1="00000000"/>
  </w:font>
  <w:font w:name="RijksoverheidSansHeading">
    <w:altName w:val="Calibri"/>
    <w:panose1 w:val="00000000000000000000"/>
    <w:charset w:val="00"/>
    <w:family w:val="swiss"/>
    <w:notTrueType/>
    <w:pitch w:val="variable"/>
    <w:sig w:usb0="00000087" w:usb1="00000001"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4C77F2"/>
    <w:multiLevelType w:val="hybridMultilevel"/>
    <w:tmpl w:val="75B63AE2"/>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16cid:durableId="1951820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2831"/>
    <w:rsid w:val="00134D9B"/>
    <w:rsid w:val="00314E9B"/>
    <w:rsid w:val="00421B3C"/>
    <w:rsid w:val="00484092"/>
    <w:rsid w:val="00647795"/>
    <w:rsid w:val="00673218"/>
    <w:rsid w:val="009944D1"/>
    <w:rsid w:val="00AE4689"/>
    <w:rsid w:val="00CC67EB"/>
    <w:rsid w:val="00E1283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4BC12E"/>
  <w15:chartTrackingRefBased/>
  <w15:docId w15:val="{B97F9258-0056-41CE-896B-D50114385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12831"/>
  </w:style>
  <w:style w:type="paragraph" w:styleId="Heading2">
    <w:name w:val="heading 2"/>
    <w:basedOn w:val="Normal"/>
    <w:next w:val="Normal"/>
    <w:link w:val="Heading2Char"/>
    <w:uiPriority w:val="9"/>
    <w:semiHidden/>
    <w:unhideWhenUsed/>
    <w:qFormat/>
    <w:rsid w:val="00E1283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E1283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12831"/>
    <w:pPr>
      <w:spacing w:after="0" w:line="240" w:lineRule="auto"/>
    </w:pPr>
    <w:rPr>
      <w:rFonts w:eastAsiaTheme="minorEastAsia"/>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ur-tabel-nummer">
    <w:name w:val="Figuur-tabel-nummer"/>
    <w:basedOn w:val="Normal"/>
    <w:next w:val="Figuur-tabel-titel"/>
    <w:qFormat/>
    <w:rsid w:val="00E12831"/>
    <w:pPr>
      <w:keepNext/>
      <w:suppressAutoHyphens/>
      <w:spacing w:before="260" w:after="0" w:line="260" w:lineRule="exact"/>
      <w:contextualSpacing/>
    </w:pPr>
    <w:rPr>
      <w:rFonts w:ascii="RijksoverheidSansText" w:eastAsiaTheme="minorEastAsia" w:hAnsi="RijksoverheidSansText"/>
      <w:b/>
      <w:color w:val="757600"/>
      <w:sz w:val="20"/>
    </w:rPr>
  </w:style>
  <w:style w:type="paragraph" w:customStyle="1" w:styleId="Kop3Genummerd">
    <w:name w:val="Kop 3 Genummerd"/>
    <w:basedOn w:val="Heading3"/>
    <w:next w:val="Normal"/>
    <w:link w:val="Kop3GenummerdChar"/>
    <w:qFormat/>
    <w:rsid w:val="00E12831"/>
    <w:pPr>
      <w:numPr>
        <w:ilvl w:val="2"/>
      </w:numPr>
      <w:suppressAutoHyphens/>
      <w:spacing w:before="260" w:after="120" w:line="240" w:lineRule="auto"/>
      <w:ind w:left="851" w:hanging="851"/>
    </w:pPr>
    <w:rPr>
      <w:rFonts w:ascii="RijksoverheidSansHeading" w:hAnsi="RijksoverheidSansHeading"/>
      <w:bCs/>
      <w:color w:val="757600"/>
      <w:sz w:val="32"/>
      <w:szCs w:val="26"/>
    </w:rPr>
  </w:style>
  <w:style w:type="character" w:customStyle="1" w:styleId="Kop3GenummerdChar">
    <w:name w:val="Kop 3 Genummerd Char"/>
    <w:basedOn w:val="Heading3Char"/>
    <w:link w:val="Kop3Genummerd"/>
    <w:rsid w:val="00E12831"/>
    <w:rPr>
      <w:rFonts w:ascii="RijksoverheidSansHeading" w:eastAsiaTheme="majorEastAsia" w:hAnsi="RijksoverheidSansHeading" w:cstheme="majorBidi"/>
      <w:bCs/>
      <w:color w:val="757600"/>
      <w:sz w:val="32"/>
      <w:szCs w:val="26"/>
    </w:rPr>
  </w:style>
  <w:style w:type="paragraph" w:customStyle="1" w:styleId="Figuur-tabel-titel">
    <w:name w:val="Figuur-tabel-titel"/>
    <w:basedOn w:val="Normal"/>
    <w:next w:val="Normal"/>
    <w:link w:val="Figuur-tabel-titelChar"/>
    <w:qFormat/>
    <w:rsid w:val="00E12831"/>
    <w:pPr>
      <w:keepNext/>
      <w:suppressAutoHyphens/>
      <w:spacing w:after="120" w:line="276" w:lineRule="auto"/>
      <w:contextualSpacing/>
    </w:pPr>
    <w:rPr>
      <w:rFonts w:ascii="RijksoverheidSansText" w:eastAsiaTheme="minorEastAsia" w:hAnsi="RijksoverheidSansText"/>
      <w:color w:val="757600"/>
      <w:sz w:val="20"/>
      <w:szCs w:val="18"/>
    </w:rPr>
  </w:style>
  <w:style w:type="character" w:customStyle="1" w:styleId="Figuur-tabel-titelChar">
    <w:name w:val="Figuur-tabel-titel Char"/>
    <w:basedOn w:val="DefaultParagraphFont"/>
    <w:link w:val="Figuur-tabel-titel"/>
    <w:rsid w:val="00E12831"/>
    <w:rPr>
      <w:rFonts w:ascii="RijksoverheidSansText" w:eastAsiaTheme="minorEastAsia" w:hAnsi="RijksoverheidSansText"/>
      <w:color w:val="757600"/>
      <w:sz w:val="20"/>
      <w:szCs w:val="18"/>
    </w:rPr>
  </w:style>
  <w:style w:type="paragraph" w:customStyle="1" w:styleId="Alternatievetekst">
    <w:name w:val="Alternatieve tekst"/>
    <w:basedOn w:val="Normal"/>
    <w:link w:val="AlternatievetekstChar"/>
    <w:qFormat/>
    <w:rsid w:val="00E12831"/>
    <w:pPr>
      <w:suppressAutoHyphens/>
      <w:spacing w:before="120" w:after="0" w:line="276" w:lineRule="auto"/>
      <w:contextualSpacing/>
    </w:pPr>
    <w:rPr>
      <w:rFonts w:ascii="RijksoverheidSansText" w:eastAsiaTheme="minorEastAsia" w:hAnsi="RijksoverheidSansText"/>
      <w:color w:val="FFD966" w:themeColor="accent4" w:themeTint="99"/>
      <w:sz w:val="21"/>
      <w:szCs w:val="19"/>
    </w:rPr>
  </w:style>
  <w:style w:type="character" w:customStyle="1" w:styleId="AlternatievetekstChar">
    <w:name w:val="Alternatieve tekst Char"/>
    <w:basedOn w:val="DefaultParagraphFont"/>
    <w:link w:val="Alternatievetekst"/>
    <w:rsid w:val="00E12831"/>
    <w:rPr>
      <w:rFonts w:ascii="RijksoverheidSansText" w:eastAsiaTheme="minorEastAsia" w:hAnsi="RijksoverheidSansText"/>
      <w:color w:val="FFD966" w:themeColor="accent4" w:themeTint="99"/>
      <w:sz w:val="21"/>
      <w:szCs w:val="19"/>
    </w:rPr>
  </w:style>
  <w:style w:type="paragraph" w:customStyle="1" w:styleId="Tabeltekst">
    <w:name w:val="Tabeltekst"/>
    <w:basedOn w:val="Normal"/>
    <w:link w:val="TabeltekstChar"/>
    <w:qFormat/>
    <w:rsid w:val="00E12831"/>
    <w:pPr>
      <w:suppressAutoHyphens/>
      <w:spacing w:after="0" w:line="300" w:lineRule="atLeast"/>
      <w:contextualSpacing/>
    </w:pPr>
    <w:rPr>
      <w:rFonts w:ascii="RijksoverheidSansText" w:eastAsiaTheme="minorEastAsia" w:hAnsi="RijksoverheidSansText"/>
      <w:sz w:val="20"/>
      <w:szCs w:val="21"/>
      <w:shd w:val="clear" w:color="auto" w:fill="FFFFFF"/>
    </w:rPr>
  </w:style>
  <w:style w:type="character" w:customStyle="1" w:styleId="TabeltekstChar">
    <w:name w:val="Tabeltekst Char"/>
    <w:basedOn w:val="DefaultParagraphFont"/>
    <w:link w:val="Tabeltekst"/>
    <w:rsid w:val="00E12831"/>
    <w:rPr>
      <w:rFonts w:ascii="RijksoverheidSansText" w:eastAsiaTheme="minorEastAsia" w:hAnsi="RijksoverheidSansText"/>
      <w:sz w:val="20"/>
      <w:szCs w:val="21"/>
    </w:rPr>
  </w:style>
  <w:style w:type="paragraph" w:customStyle="1" w:styleId="Kop2Genummerd">
    <w:name w:val="Kop 2 Genummerd"/>
    <w:basedOn w:val="Heading2"/>
    <w:next w:val="Normal"/>
    <w:link w:val="Kop2GenummerdChar"/>
    <w:qFormat/>
    <w:rsid w:val="00E12831"/>
    <w:pPr>
      <w:numPr>
        <w:ilvl w:val="1"/>
      </w:numPr>
      <w:suppressAutoHyphens/>
      <w:spacing w:before="360" w:after="120" w:line="240" w:lineRule="auto"/>
      <w:ind w:left="851" w:hanging="851"/>
    </w:pPr>
    <w:rPr>
      <w:rFonts w:ascii="RijksoverheidSansHeading" w:hAnsi="RijksoverheidSansHeading"/>
      <w:color w:val="757600"/>
      <w:sz w:val="44"/>
      <w:lang w:val="en-GB"/>
    </w:rPr>
  </w:style>
  <w:style w:type="character" w:customStyle="1" w:styleId="Kop2GenummerdChar">
    <w:name w:val="Kop 2 Genummerd Char"/>
    <w:basedOn w:val="Heading2Char"/>
    <w:link w:val="Kop2Genummerd"/>
    <w:rsid w:val="00E12831"/>
    <w:rPr>
      <w:rFonts w:ascii="RijksoverheidSansHeading" w:eastAsiaTheme="majorEastAsia" w:hAnsi="RijksoverheidSansHeading" w:cstheme="majorBidi"/>
      <w:color w:val="757600"/>
      <w:sz w:val="44"/>
      <w:szCs w:val="26"/>
      <w:lang w:val="en-GB"/>
    </w:rPr>
  </w:style>
  <w:style w:type="paragraph" w:customStyle="1" w:styleId="KopTopischGroot">
    <w:name w:val="Kop Topisch Groot"/>
    <w:basedOn w:val="Normal"/>
    <w:next w:val="Normal"/>
    <w:link w:val="KopTopischGrootChar"/>
    <w:qFormat/>
    <w:rsid w:val="00E12831"/>
    <w:pPr>
      <w:suppressAutoHyphens/>
      <w:spacing w:before="260" w:after="0" w:line="276" w:lineRule="auto"/>
      <w:contextualSpacing/>
    </w:pPr>
    <w:rPr>
      <w:rFonts w:ascii="RijksoverheidSansText" w:eastAsiaTheme="minorEastAsia" w:hAnsi="RijksoverheidSansText" w:cstheme="majorBidi"/>
      <w:b/>
      <w:bCs/>
      <w:i/>
      <w:iCs/>
      <w:color w:val="757600"/>
      <w:sz w:val="24"/>
      <w:szCs w:val="28"/>
    </w:rPr>
  </w:style>
  <w:style w:type="character" w:customStyle="1" w:styleId="KopTopischGrootChar">
    <w:name w:val="Kop Topisch Groot Char"/>
    <w:basedOn w:val="DefaultParagraphFont"/>
    <w:link w:val="KopTopischGroot"/>
    <w:rsid w:val="00E12831"/>
    <w:rPr>
      <w:rFonts w:ascii="RijksoverheidSansText" w:eastAsiaTheme="minorEastAsia" w:hAnsi="RijksoverheidSansText" w:cstheme="majorBidi"/>
      <w:b/>
      <w:bCs/>
      <w:i/>
      <w:iCs/>
      <w:color w:val="757600"/>
      <w:sz w:val="24"/>
      <w:szCs w:val="28"/>
    </w:rPr>
  </w:style>
  <w:style w:type="character" w:customStyle="1" w:styleId="Heading3Char">
    <w:name w:val="Heading 3 Char"/>
    <w:basedOn w:val="DefaultParagraphFont"/>
    <w:link w:val="Heading3"/>
    <w:uiPriority w:val="9"/>
    <w:semiHidden/>
    <w:rsid w:val="00E12831"/>
    <w:rPr>
      <w:rFonts w:asciiTheme="majorHAnsi" w:eastAsiaTheme="majorEastAsia" w:hAnsiTheme="majorHAnsi" w:cstheme="majorBidi"/>
      <w:color w:val="1F3763" w:themeColor="accent1" w:themeShade="7F"/>
      <w:sz w:val="24"/>
      <w:szCs w:val="24"/>
    </w:rPr>
  </w:style>
  <w:style w:type="character" w:customStyle="1" w:styleId="Heading2Char">
    <w:name w:val="Heading 2 Char"/>
    <w:basedOn w:val="DefaultParagraphFont"/>
    <w:link w:val="Heading2"/>
    <w:uiPriority w:val="9"/>
    <w:semiHidden/>
    <w:rsid w:val="00E12831"/>
    <w:rPr>
      <w:rFonts w:asciiTheme="majorHAnsi" w:eastAsiaTheme="majorEastAsia" w:hAnsiTheme="majorHAnsi" w:cstheme="majorBidi"/>
      <w:color w:val="2F5496" w:themeColor="accent1" w:themeShade="BF"/>
      <w:sz w:val="26"/>
      <w:szCs w:val="26"/>
    </w:rPr>
  </w:style>
  <w:style w:type="paragraph" w:styleId="Revision">
    <w:name w:val="Revision"/>
    <w:hidden/>
    <w:uiPriority w:val="99"/>
    <w:semiHidden/>
    <w:rsid w:val="00314E9B"/>
    <w:pPr>
      <w:spacing w:after="0" w:line="240" w:lineRule="auto"/>
    </w:pPr>
  </w:style>
  <w:style w:type="character" w:styleId="CommentReference">
    <w:name w:val="annotation reference"/>
    <w:basedOn w:val="DefaultParagraphFont"/>
    <w:uiPriority w:val="99"/>
    <w:semiHidden/>
    <w:unhideWhenUsed/>
    <w:rsid w:val="00CC67EB"/>
    <w:rPr>
      <w:sz w:val="16"/>
      <w:szCs w:val="16"/>
    </w:rPr>
  </w:style>
  <w:style w:type="paragraph" w:styleId="CommentText">
    <w:name w:val="annotation text"/>
    <w:basedOn w:val="Normal"/>
    <w:link w:val="CommentTextChar"/>
    <w:uiPriority w:val="99"/>
    <w:unhideWhenUsed/>
    <w:rsid w:val="00CC67EB"/>
    <w:pPr>
      <w:spacing w:line="240" w:lineRule="auto"/>
    </w:pPr>
    <w:rPr>
      <w:sz w:val="20"/>
      <w:szCs w:val="20"/>
    </w:rPr>
  </w:style>
  <w:style w:type="character" w:customStyle="1" w:styleId="CommentTextChar">
    <w:name w:val="Comment Text Char"/>
    <w:basedOn w:val="DefaultParagraphFont"/>
    <w:link w:val="CommentText"/>
    <w:uiPriority w:val="99"/>
    <w:rsid w:val="00CC67EB"/>
    <w:rPr>
      <w:sz w:val="20"/>
      <w:szCs w:val="20"/>
    </w:rPr>
  </w:style>
  <w:style w:type="paragraph" w:styleId="CommentSubject">
    <w:name w:val="annotation subject"/>
    <w:basedOn w:val="CommentText"/>
    <w:next w:val="CommentText"/>
    <w:link w:val="CommentSubjectChar"/>
    <w:uiPriority w:val="99"/>
    <w:semiHidden/>
    <w:unhideWhenUsed/>
    <w:rsid w:val="00CC67EB"/>
    <w:rPr>
      <w:b/>
      <w:bCs/>
    </w:rPr>
  </w:style>
  <w:style w:type="character" w:customStyle="1" w:styleId="CommentSubjectChar">
    <w:name w:val="Comment Subject Char"/>
    <w:basedOn w:val="CommentTextChar"/>
    <w:link w:val="CommentSubject"/>
    <w:uiPriority w:val="99"/>
    <w:semiHidden/>
    <w:rsid w:val="00CC67E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B84E03350F34AF98D26215534D84330"/>
        <w:category>
          <w:name w:val="General"/>
          <w:gallery w:val="placeholder"/>
        </w:category>
        <w:types>
          <w:type w:val="bbPlcHdr"/>
        </w:types>
        <w:behaviors>
          <w:behavior w:val="content"/>
        </w:behaviors>
        <w:guid w:val="{0770274F-AB55-4578-ACBE-B9DE92DD65B8}"/>
      </w:docPartPr>
      <w:docPartBody>
        <w:p w:rsidR="00B131AF" w:rsidRDefault="00DA6C38" w:rsidP="00DA6C38">
          <w:pPr>
            <w:pStyle w:val="FB84E03350F34AF98D26215534D84330"/>
          </w:pPr>
          <w:r>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RijksoverheidSansText">
    <w:altName w:val="Calibri"/>
    <w:panose1 w:val="00000000000000000000"/>
    <w:charset w:val="00"/>
    <w:family w:val="swiss"/>
    <w:notTrueType/>
    <w:pitch w:val="variable"/>
    <w:sig w:usb0="00000087" w:usb1="00000001" w:usb2="00000000" w:usb3="00000000" w:csb0="0000009B" w:csb1="00000000"/>
  </w:font>
  <w:font w:name="RijksoverheidSansHeading">
    <w:altName w:val="Calibri"/>
    <w:panose1 w:val="00000000000000000000"/>
    <w:charset w:val="00"/>
    <w:family w:val="swiss"/>
    <w:notTrueType/>
    <w:pitch w:val="variable"/>
    <w:sig w:usb0="00000087" w:usb1="00000001" w:usb2="00000000" w:usb3="00000000" w:csb0="0000009B" w:csb1="00000000"/>
  </w:font>
  <w:font w:name="MS Mincho">
    <w:altName w:val="ＭＳ 明朝"/>
    <w:panose1 w:val="020206090402050803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6C38"/>
    <w:rsid w:val="00792896"/>
    <w:rsid w:val="00B131AF"/>
    <w:rsid w:val="00DA6C38"/>
    <w:rsid w:val="00E441D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nl-NL" w:eastAsia="nl-N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A6C38"/>
    <w:rPr>
      <w:color w:val="808080"/>
    </w:rPr>
  </w:style>
  <w:style w:type="paragraph" w:customStyle="1" w:styleId="FB84E03350F34AF98D26215534D84330">
    <w:name w:val="FB84E03350F34AF98D26215534D84330"/>
    <w:rsid w:val="00DA6C3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01C4C2-0A91-4470-8A38-FAF5A5E5F7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7925</Words>
  <Characters>43589</Characters>
  <Application>Microsoft Office Word</Application>
  <DocSecurity>0</DocSecurity>
  <Lines>363</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Edelenbosch, O.Y. (Oreane)</dc:creator>
  <cp:keywords/>
  <dc:description/>
  <cp:lastModifiedBy>Edelenbosch, Oreane</cp:lastModifiedBy>
  <cp:revision>2</cp:revision>
  <dcterms:created xsi:type="dcterms:W3CDTF">2023-07-18T15:36:00Z</dcterms:created>
  <dcterms:modified xsi:type="dcterms:W3CDTF">2023-07-18T15:36:00Z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7th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 6th edition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9th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7d198018-38b4-3b8a-847b-73cfd9cc7ee6</vt:lpwstr>
  </property>
  <property fmtid="{D5CDD505-2E9C-101B-9397-08002B2CF9AE}" pid="24" name="Mendeley Citation Style_1">
    <vt:lpwstr>http://www.zotero.org/styles/nature</vt:lpwstr>
  </property>
</Properties>
</file>