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33D" w:rsidRPr="00A821C0" w:rsidRDefault="00E8233D" w:rsidP="00E8233D">
      <w:pPr>
        <w:pStyle w:val="2"/>
        <w:spacing w:line="360" w:lineRule="auto"/>
        <w:rPr>
          <w:rFonts w:ascii="Times New Roman" w:hAnsi="Times New Roman" w:cs="Times New Roman"/>
          <w:szCs w:val="28"/>
        </w:rPr>
      </w:pPr>
      <w:r w:rsidRPr="00A821C0">
        <w:rPr>
          <w:rFonts w:ascii="Times New Roman" w:hAnsi="Times New Roman" w:cs="Times New Roman" w:hint="eastAsia"/>
          <w:szCs w:val="28"/>
        </w:rPr>
        <w:t>Supplementa</w:t>
      </w:r>
      <w:r>
        <w:rPr>
          <w:rFonts w:ascii="Times New Roman" w:eastAsiaTheme="minorEastAsia" w:hAnsi="Times New Roman" w:cs="Times New Roman" w:hint="eastAsia"/>
          <w:szCs w:val="28"/>
        </w:rPr>
        <w:t>l</w:t>
      </w:r>
      <w:r w:rsidRPr="00A821C0">
        <w:rPr>
          <w:rFonts w:ascii="Times New Roman" w:hAnsi="Times New Roman" w:cs="Times New Roman" w:hint="eastAsia"/>
          <w:szCs w:val="28"/>
        </w:rPr>
        <w:t xml:space="preserve"> Information</w:t>
      </w:r>
    </w:p>
    <w:p w:rsidR="00E8233D" w:rsidRPr="00224144" w:rsidRDefault="00E8233D" w:rsidP="00E823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4144">
        <w:rPr>
          <w:rFonts w:ascii="Times New Roman" w:hAnsi="Times New Roman" w:cs="Times New Roman"/>
          <w:b/>
          <w:sz w:val="24"/>
          <w:szCs w:val="24"/>
        </w:rPr>
        <w:t xml:space="preserve">Figure S1. Expressional alterations and clinical </w:t>
      </w:r>
      <w:r w:rsidRPr="00224144">
        <w:rPr>
          <w:rFonts w:ascii="Times New Roman" w:hAnsi="Times New Roman" w:cs="Times New Roman" w:hint="eastAsia"/>
          <w:b/>
          <w:sz w:val="24"/>
          <w:szCs w:val="24"/>
        </w:rPr>
        <w:t>impacts</w:t>
      </w:r>
      <w:r w:rsidRPr="00224144">
        <w:rPr>
          <w:rFonts w:ascii="Times New Roman" w:hAnsi="Times New Roman" w:cs="Times New Roman"/>
          <w:b/>
          <w:sz w:val="24"/>
          <w:szCs w:val="24"/>
        </w:rPr>
        <w:t xml:space="preserve"> of the significantly mutated genes.</w:t>
      </w:r>
      <w:r w:rsidRPr="00224144">
        <w:rPr>
          <w:rFonts w:ascii="Times New Roman" w:hAnsi="Times New Roman" w:cs="Times New Roman"/>
          <w:sz w:val="24"/>
          <w:szCs w:val="24"/>
        </w:rPr>
        <w:t xml:space="preserve"> A. Boxplots of the expressions of SMGs in mutated and wild type tissues. B. Km-plots of SMGs with significant impacts on LUSC.</w:t>
      </w:r>
    </w:p>
    <w:p w:rsidR="005703AA" w:rsidRDefault="005703AA"/>
    <w:p w:rsidR="003D5CAB" w:rsidRDefault="003D5CAB"/>
    <w:p w:rsidR="003D5CAB" w:rsidRPr="00E8233D" w:rsidRDefault="003D5CAB">
      <w:pPr>
        <w:rPr>
          <w:rFonts w:hint="eastAsia"/>
        </w:rPr>
      </w:pPr>
      <w:r>
        <w:rPr>
          <w:noProof/>
        </w:rPr>
        <w:drawing>
          <wp:inline distT="0" distB="0" distL="0" distR="0" wp14:anchorId="1657DFBC" wp14:editId="289073EE">
            <wp:extent cx="5274310" cy="50996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5CAB" w:rsidRPr="00E8233D" w:rsidSect="00A84E0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D"/>
    <w:rsid w:val="003D5CAB"/>
    <w:rsid w:val="005703AA"/>
    <w:rsid w:val="00E8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3A71DE-7C65-47BC-B5B9-5E33F4FEC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33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8233D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8233D"/>
    <w:rPr>
      <w:rFonts w:asciiTheme="majorHAnsi" w:eastAsia="Times New Roman" w:hAnsiTheme="majorHAnsi" w:cstheme="majorBidi"/>
      <w:b/>
      <w:bCs/>
      <w:sz w:val="28"/>
      <w:szCs w:val="32"/>
    </w:rPr>
  </w:style>
  <w:style w:type="character" w:styleId="a3">
    <w:name w:val="line number"/>
    <w:basedOn w:val="a0"/>
    <w:uiPriority w:val="99"/>
    <w:semiHidden/>
    <w:unhideWhenUsed/>
    <w:rsid w:val="00E823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2019-07-02T05:14:00Z</dcterms:created>
  <dcterms:modified xsi:type="dcterms:W3CDTF">2019-07-02T05:16:00Z</dcterms:modified>
</cp:coreProperties>
</file>