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6AA0" w14:textId="3470820D" w:rsidR="00DF6CC1" w:rsidRDefault="006C00C8" w:rsidP="00DF6CC1">
      <w:pPr>
        <w:pStyle w:val="berschrift1"/>
        <w:jc w:val="center"/>
      </w:pPr>
      <w:r>
        <w:t>Supplementary F</w:t>
      </w:r>
      <w:r w:rsidR="00DF6CC1">
        <w:t>ile 1</w:t>
      </w:r>
    </w:p>
    <w:p w14:paraId="6C697D5A" w14:textId="6E952AD8" w:rsidR="006C00C8" w:rsidRDefault="006C00C8" w:rsidP="006C00C8">
      <w:pPr>
        <w:rPr>
          <w:lang w:val="en-US"/>
        </w:rPr>
      </w:pPr>
      <w:bookmarkStart w:id="0" w:name="_GoBack"/>
      <w:bookmarkEnd w:id="0"/>
    </w:p>
    <w:p w14:paraId="6B998D90" w14:textId="77777777" w:rsidR="006C00C8" w:rsidRDefault="006C00C8" w:rsidP="006C00C8">
      <w:pPr>
        <w:rPr>
          <w:lang w:val="en-US"/>
        </w:rPr>
      </w:pPr>
    </w:p>
    <w:p w14:paraId="55AB63A2" w14:textId="77777777" w:rsidR="006C00C8" w:rsidRPr="00EE4EA7" w:rsidRDefault="006C00C8" w:rsidP="006C00C8">
      <w:pPr>
        <w:spacing w:line="480" w:lineRule="auto"/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 xml:space="preserve">Analysis of </w:t>
      </w:r>
      <w:r w:rsidRPr="00EE4EA7">
        <w:rPr>
          <w:b/>
          <w:szCs w:val="24"/>
          <w:lang w:val="en-US"/>
        </w:rPr>
        <w:t xml:space="preserve">protein secretion in </w:t>
      </w:r>
      <w:r w:rsidRPr="00EE4EA7">
        <w:rPr>
          <w:b/>
          <w:i/>
          <w:szCs w:val="24"/>
          <w:lang w:val="en-US"/>
        </w:rPr>
        <w:t>Bacillus subtilis</w:t>
      </w:r>
      <w:r w:rsidRPr="00EE4EA7">
        <w:rPr>
          <w:b/>
          <w:szCs w:val="24"/>
          <w:lang w:val="en-US"/>
        </w:rPr>
        <w:t xml:space="preserve"> by combining a secretion stress biosensor strain with </w:t>
      </w:r>
      <w:r>
        <w:rPr>
          <w:b/>
          <w:szCs w:val="24"/>
          <w:lang w:val="en-US"/>
        </w:rPr>
        <w:t>an</w:t>
      </w:r>
      <w:r w:rsidRPr="00EE4EA7">
        <w:rPr>
          <w:b/>
          <w:szCs w:val="24"/>
          <w:lang w:val="en-US"/>
        </w:rPr>
        <w:t xml:space="preserve"> </w:t>
      </w:r>
      <w:r w:rsidRPr="00343126">
        <w:rPr>
          <w:b/>
          <w:i/>
          <w:szCs w:val="24"/>
          <w:lang w:val="en-US"/>
        </w:rPr>
        <w:t>in vivo</w:t>
      </w:r>
      <w:r w:rsidRPr="00EE4EA7">
        <w:rPr>
          <w:b/>
          <w:szCs w:val="24"/>
          <w:lang w:val="en-US"/>
        </w:rPr>
        <w:t xml:space="preserve"> split GFP assay</w:t>
      </w:r>
    </w:p>
    <w:p w14:paraId="2B1A0FF9" w14:textId="77777777" w:rsidR="006C00C8" w:rsidRDefault="006C00C8" w:rsidP="006C00C8">
      <w:pPr>
        <w:spacing w:line="480" w:lineRule="auto"/>
        <w:jc w:val="center"/>
        <w:rPr>
          <w:szCs w:val="24"/>
        </w:rPr>
      </w:pPr>
      <w:r w:rsidRPr="00137AFD">
        <w:rPr>
          <w:szCs w:val="24"/>
        </w:rPr>
        <w:t>Patrick Lenz</w:t>
      </w:r>
      <w:r w:rsidRPr="00137AFD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,5</w:t>
      </w:r>
      <w:r w:rsidRPr="00137AFD">
        <w:rPr>
          <w:szCs w:val="24"/>
        </w:rPr>
        <w:t>,</w:t>
      </w:r>
      <w:r>
        <w:rPr>
          <w:szCs w:val="24"/>
        </w:rPr>
        <w:t xml:space="preserve"> </w:t>
      </w:r>
      <w:r w:rsidRPr="00137AFD">
        <w:rPr>
          <w:szCs w:val="24"/>
        </w:rPr>
        <w:t>Patrick J. Bakkes</w:t>
      </w:r>
      <w:r w:rsidRPr="00137AFD">
        <w:rPr>
          <w:szCs w:val="24"/>
          <w:vertAlign w:val="superscript"/>
        </w:rPr>
        <w:t>2</w:t>
      </w:r>
      <w:r>
        <w:rPr>
          <w:szCs w:val="24"/>
          <w:vertAlign w:val="superscript"/>
        </w:rPr>
        <w:t>,5</w:t>
      </w:r>
      <w:r w:rsidRPr="00137AFD">
        <w:rPr>
          <w:szCs w:val="24"/>
        </w:rPr>
        <w:t>, Carolin Müller</w:t>
      </w:r>
      <w:r w:rsidRPr="00137AFD">
        <w:rPr>
          <w:szCs w:val="24"/>
          <w:vertAlign w:val="superscript"/>
        </w:rPr>
        <w:t>2,3</w:t>
      </w:r>
      <w:r w:rsidRPr="00137AFD">
        <w:rPr>
          <w:szCs w:val="24"/>
        </w:rPr>
        <w:t>, Marzena Malek</w:t>
      </w:r>
      <w:r w:rsidRPr="00137AFD"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r w:rsidRPr="00137AFD">
        <w:rPr>
          <w:szCs w:val="24"/>
        </w:rPr>
        <w:t>Roland Freudl</w:t>
      </w:r>
      <w:r w:rsidRPr="00137AFD">
        <w:rPr>
          <w:szCs w:val="24"/>
          <w:vertAlign w:val="superscript"/>
        </w:rPr>
        <w:t>2</w:t>
      </w:r>
      <w:r w:rsidRPr="00137AFD">
        <w:rPr>
          <w:szCs w:val="24"/>
        </w:rPr>
        <w:t xml:space="preserve">, </w:t>
      </w:r>
    </w:p>
    <w:p w14:paraId="21E3A04C" w14:textId="77777777" w:rsidR="006C00C8" w:rsidRPr="00137AFD" w:rsidRDefault="006C00C8" w:rsidP="006C00C8">
      <w:pPr>
        <w:spacing w:line="480" w:lineRule="auto"/>
        <w:jc w:val="center"/>
        <w:rPr>
          <w:szCs w:val="24"/>
        </w:rPr>
      </w:pPr>
      <w:r w:rsidRPr="00137AFD">
        <w:rPr>
          <w:szCs w:val="24"/>
        </w:rPr>
        <w:t>Marco Oldiges</w:t>
      </w:r>
      <w:r w:rsidRPr="00137AFD">
        <w:rPr>
          <w:szCs w:val="24"/>
          <w:vertAlign w:val="superscript"/>
        </w:rPr>
        <w:t>2,3</w:t>
      </w:r>
      <w:r w:rsidRPr="00137AFD">
        <w:rPr>
          <w:szCs w:val="24"/>
        </w:rPr>
        <w:t>, Thomas Drepper</w:t>
      </w:r>
      <w:r w:rsidRPr="00137AFD">
        <w:rPr>
          <w:szCs w:val="24"/>
          <w:vertAlign w:val="superscript"/>
        </w:rPr>
        <w:t>1</w:t>
      </w:r>
      <w:r w:rsidRPr="00137AFD">
        <w:rPr>
          <w:szCs w:val="24"/>
        </w:rPr>
        <w:t>, Karl-Erich Jaeger</w:t>
      </w:r>
      <w:r w:rsidRPr="00137AFD">
        <w:rPr>
          <w:szCs w:val="24"/>
          <w:vertAlign w:val="superscript"/>
        </w:rPr>
        <w:t>1,2</w:t>
      </w:r>
      <w:r>
        <w:rPr>
          <w:szCs w:val="24"/>
          <w:vertAlign w:val="superscript"/>
        </w:rPr>
        <w:t>*</w:t>
      </w:r>
      <w:r w:rsidRPr="00137AFD">
        <w:rPr>
          <w:szCs w:val="24"/>
        </w:rPr>
        <w:t>, Andreas Knapp</w:t>
      </w:r>
      <w:r w:rsidRPr="00137AFD">
        <w:rPr>
          <w:szCs w:val="24"/>
          <w:vertAlign w:val="superscript"/>
        </w:rPr>
        <w:t>1,4</w:t>
      </w:r>
      <w:r>
        <w:rPr>
          <w:szCs w:val="24"/>
          <w:vertAlign w:val="superscript"/>
        </w:rPr>
        <w:t>*</w:t>
      </w:r>
    </w:p>
    <w:p w14:paraId="3489391C" w14:textId="77777777" w:rsidR="006C00C8" w:rsidRPr="005B1A0F" w:rsidRDefault="006C00C8" w:rsidP="006C00C8">
      <w:pPr>
        <w:spacing w:line="480" w:lineRule="auto"/>
        <w:jc w:val="both"/>
        <w:rPr>
          <w:iCs/>
          <w:szCs w:val="24"/>
        </w:rPr>
      </w:pPr>
      <w:r w:rsidRPr="005B1A0F">
        <w:rPr>
          <w:iCs/>
          <w:szCs w:val="24"/>
          <w:vertAlign w:val="superscript"/>
        </w:rPr>
        <w:t>1</w:t>
      </w:r>
      <w:r w:rsidRPr="005B1A0F">
        <w:rPr>
          <w:iCs/>
          <w:szCs w:val="24"/>
        </w:rPr>
        <w:t xml:space="preserve">Institute </w:t>
      </w:r>
      <w:proofErr w:type="spellStart"/>
      <w:r w:rsidRPr="005B1A0F">
        <w:rPr>
          <w:iCs/>
          <w:szCs w:val="24"/>
        </w:rPr>
        <w:t>of</w:t>
      </w:r>
      <w:proofErr w:type="spellEnd"/>
      <w:r w:rsidRPr="005B1A0F">
        <w:rPr>
          <w:iCs/>
          <w:szCs w:val="24"/>
        </w:rPr>
        <w:t xml:space="preserve"> </w:t>
      </w:r>
      <w:proofErr w:type="spellStart"/>
      <w:r w:rsidRPr="005B1A0F">
        <w:rPr>
          <w:iCs/>
          <w:szCs w:val="24"/>
        </w:rPr>
        <w:t>Molecular</w:t>
      </w:r>
      <w:proofErr w:type="spellEnd"/>
      <w:r w:rsidRPr="005B1A0F">
        <w:rPr>
          <w:iCs/>
          <w:szCs w:val="24"/>
        </w:rPr>
        <w:t xml:space="preserve"> Enzyme Technology, Heinrich</w:t>
      </w:r>
      <w:r>
        <w:rPr>
          <w:iCs/>
          <w:szCs w:val="24"/>
        </w:rPr>
        <w:t xml:space="preserve"> </w:t>
      </w:r>
      <w:r w:rsidRPr="005B1A0F">
        <w:rPr>
          <w:iCs/>
          <w:szCs w:val="24"/>
        </w:rPr>
        <w:t>Heine</w:t>
      </w:r>
      <w:r>
        <w:rPr>
          <w:iCs/>
          <w:szCs w:val="24"/>
        </w:rPr>
        <w:t xml:space="preserve"> </w:t>
      </w:r>
      <w:r w:rsidRPr="005B1A0F">
        <w:rPr>
          <w:iCs/>
          <w:szCs w:val="24"/>
        </w:rPr>
        <w:t>University Düsseldorf, Forschungszentrum Jülich, 52428 Jülich, Germany</w:t>
      </w:r>
    </w:p>
    <w:p w14:paraId="0F60B52D" w14:textId="77777777" w:rsidR="006C00C8" w:rsidRDefault="006C00C8" w:rsidP="006C00C8">
      <w:pPr>
        <w:spacing w:line="480" w:lineRule="auto"/>
        <w:jc w:val="both"/>
        <w:rPr>
          <w:iCs/>
          <w:szCs w:val="24"/>
          <w:lang w:val="en-US"/>
        </w:rPr>
      </w:pPr>
      <w:r w:rsidRPr="005B1A0F">
        <w:rPr>
          <w:iCs/>
          <w:szCs w:val="24"/>
          <w:vertAlign w:val="superscript"/>
          <w:lang w:val="en-US"/>
        </w:rPr>
        <w:t>2</w:t>
      </w:r>
      <w:r w:rsidRPr="005B1A0F">
        <w:rPr>
          <w:iCs/>
          <w:szCs w:val="24"/>
          <w:lang w:val="en-US"/>
        </w:rPr>
        <w:t xml:space="preserve">Institute of Bio- and Geoscience, IBG-1: Biotechnology: </w:t>
      </w:r>
      <w:proofErr w:type="spellStart"/>
      <w:r w:rsidRPr="005B1A0F">
        <w:rPr>
          <w:iCs/>
          <w:szCs w:val="24"/>
          <w:lang w:val="en-US"/>
        </w:rPr>
        <w:t>Forschungszentrum</w:t>
      </w:r>
      <w:proofErr w:type="spellEnd"/>
      <w:r w:rsidRPr="005B1A0F">
        <w:rPr>
          <w:iCs/>
          <w:szCs w:val="24"/>
          <w:lang w:val="en-US"/>
        </w:rPr>
        <w:t xml:space="preserve"> </w:t>
      </w:r>
      <w:proofErr w:type="spellStart"/>
      <w:r w:rsidRPr="005B1A0F">
        <w:rPr>
          <w:iCs/>
          <w:szCs w:val="24"/>
          <w:lang w:val="en-US"/>
        </w:rPr>
        <w:t>Jülich</w:t>
      </w:r>
      <w:proofErr w:type="spellEnd"/>
      <w:r w:rsidRPr="005B1A0F">
        <w:rPr>
          <w:iCs/>
          <w:szCs w:val="24"/>
          <w:lang w:val="en-US"/>
        </w:rPr>
        <w:t xml:space="preserve">, 52425 </w:t>
      </w:r>
      <w:proofErr w:type="spellStart"/>
      <w:r w:rsidRPr="005B1A0F">
        <w:rPr>
          <w:iCs/>
          <w:szCs w:val="24"/>
          <w:lang w:val="en-US"/>
        </w:rPr>
        <w:t>Jülich</w:t>
      </w:r>
      <w:proofErr w:type="spellEnd"/>
      <w:r w:rsidRPr="005B1A0F">
        <w:rPr>
          <w:iCs/>
          <w:szCs w:val="24"/>
          <w:lang w:val="en-US"/>
        </w:rPr>
        <w:t>, Germany</w:t>
      </w:r>
    </w:p>
    <w:p w14:paraId="0C133633" w14:textId="77777777" w:rsidR="006C00C8" w:rsidRDefault="006C00C8" w:rsidP="006C00C8">
      <w:pPr>
        <w:spacing w:line="480" w:lineRule="auto"/>
        <w:jc w:val="both"/>
        <w:rPr>
          <w:iCs/>
          <w:szCs w:val="24"/>
          <w:lang w:val="en-US"/>
        </w:rPr>
      </w:pPr>
      <w:r w:rsidRPr="00505A72">
        <w:rPr>
          <w:iCs/>
          <w:szCs w:val="24"/>
          <w:vertAlign w:val="superscript"/>
          <w:lang w:val="en-US"/>
        </w:rPr>
        <w:t>3</w:t>
      </w:r>
      <w:r w:rsidRPr="00505A72">
        <w:rPr>
          <w:iCs/>
          <w:szCs w:val="24"/>
          <w:lang w:val="en-US"/>
        </w:rPr>
        <w:t>Institute of Biotechnology, RWTH Aachen University, 520</w:t>
      </w:r>
      <w:r>
        <w:rPr>
          <w:iCs/>
          <w:szCs w:val="24"/>
          <w:lang w:val="en-US"/>
        </w:rPr>
        <w:t>74</w:t>
      </w:r>
      <w:r w:rsidRPr="00505A72">
        <w:rPr>
          <w:iCs/>
          <w:szCs w:val="24"/>
          <w:lang w:val="en-US"/>
        </w:rPr>
        <w:t xml:space="preserve"> Aachen, Germany</w:t>
      </w:r>
    </w:p>
    <w:p w14:paraId="5812F481" w14:textId="77777777" w:rsidR="006C00C8" w:rsidRDefault="006C00C8" w:rsidP="006C00C8">
      <w:pPr>
        <w:spacing w:line="480" w:lineRule="auto"/>
        <w:jc w:val="both"/>
        <w:rPr>
          <w:lang w:val="en-US"/>
        </w:rPr>
      </w:pPr>
      <w:r>
        <w:rPr>
          <w:iCs/>
          <w:szCs w:val="24"/>
          <w:vertAlign w:val="superscript"/>
          <w:lang w:val="en-US"/>
        </w:rPr>
        <w:t>4</w:t>
      </w:r>
      <w:r w:rsidRPr="005B1A0F">
        <w:rPr>
          <w:iCs/>
          <w:szCs w:val="24"/>
          <w:lang w:val="en-US"/>
        </w:rPr>
        <w:t xml:space="preserve">present address: </w:t>
      </w:r>
      <w:r w:rsidRPr="00FA77B9">
        <w:rPr>
          <w:lang w:val="en-US"/>
        </w:rPr>
        <w:t xml:space="preserve">Castrol Germany GmbH, 41179, </w:t>
      </w:r>
      <w:proofErr w:type="spellStart"/>
      <w:r w:rsidRPr="00FA77B9">
        <w:rPr>
          <w:lang w:val="en-US"/>
        </w:rPr>
        <w:t>Mönchengladbach</w:t>
      </w:r>
      <w:proofErr w:type="spellEnd"/>
      <w:r w:rsidRPr="00FA77B9">
        <w:rPr>
          <w:lang w:val="en-US"/>
        </w:rPr>
        <w:t>, Germany</w:t>
      </w:r>
    </w:p>
    <w:p w14:paraId="6A3AD89F" w14:textId="77777777" w:rsidR="006C00C8" w:rsidRDefault="006C00C8" w:rsidP="006C00C8">
      <w:pPr>
        <w:spacing w:line="480" w:lineRule="auto"/>
        <w:jc w:val="both"/>
        <w:rPr>
          <w:lang w:val="en-US"/>
        </w:rPr>
      </w:pPr>
      <w:r w:rsidRPr="00C47A8F">
        <w:rPr>
          <w:vertAlign w:val="superscript"/>
          <w:lang w:val="en-US"/>
        </w:rPr>
        <w:t>5</w:t>
      </w:r>
      <w:r>
        <w:rPr>
          <w:lang w:val="en-US"/>
        </w:rPr>
        <w:t>present address: Institute of Biotechnology, RWTH Aachen University, 52074 Aachen, Germany</w:t>
      </w:r>
    </w:p>
    <w:p w14:paraId="33BA4C0A" w14:textId="7CD8B922" w:rsidR="006C00C8" w:rsidRDefault="006C00C8">
      <w:pPr>
        <w:rPr>
          <w:lang w:val="en-US"/>
        </w:rPr>
      </w:pPr>
      <w:r>
        <w:rPr>
          <w:lang w:val="en-US"/>
        </w:rPr>
        <w:br w:type="page"/>
      </w:r>
    </w:p>
    <w:p w14:paraId="214335E1" w14:textId="77777777" w:rsidR="006C00C8" w:rsidRPr="006C00C8" w:rsidRDefault="006C00C8" w:rsidP="006C00C8">
      <w:pPr>
        <w:rPr>
          <w:lang w:val="en-US"/>
        </w:rPr>
      </w:pPr>
    </w:p>
    <w:p w14:paraId="1B76785C" w14:textId="77777777" w:rsidR="00DF6CC1" w:rsidRDefault="00DF6CC1" w:rsidP="00DF6CC1">
      <w:pPr>
        <w:pStyle w:val="berschrift1"/>
      </w:pPr>
      <w:r>
        <w:object w:dxaOrig="11899" w:dyaOrig="4176" w14:anchorId="4A45A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171pt" o:ole="">
            <v:imagedata r:id="rId6" o:title=""/>
          </v:shape>
          <o:OLEObject Type="Embed" ProgID="Prism8.Document" ShapeID="_x0000_i1025" DrawAspect="Content" ObjectID="_1751192753" r:id="rId7"/>
        </w:object>
      </w:r>
    </w:p>
    <w:p w14:paraId="2AF41B31" w14:textId="77777777" w:rsidR="00DF6CC1" w:rsidRDefault="00DF6CC1" w:rsidP="00DF6CC1">
      <w:pPr>
        <w:spacing w:line="480" w:lineRule="auto"/>
        <w:jc w:val="both"/>
        <w:rPr>
          <w:lang w:val="en-US"/>
        </w:rPr>
      </w:pPr>
      <w:r w:rsidRPr="0074004A">
        <w:rPr>
          <w:lang w:val="en-US"/>
        </w:rPr>
        <w:t xml:space="preserve">Fig. S1. Signal peptide analysis. </w:t>
      </w:r>
      <w:r>
        <w:rPr>
          <w:b/>
          <w:bCs/>
          <w:lang w:val="en-US"/>
        </w:rPr>
        <w:t>A</w:t>
      </w:r>
      <w:r>
        <w:rPr>
          <w:bCs/>
          <w:lang w:val="en-US"/>
        </w:rPr>
        <w:t xml:space="preserve"> </w:t>
      </w:r>
      <w:r>
        <w:rPr>
          <w:lang w:val="en-US"/>
        </w:rPr>
        <w:t>S</w:t>
      </w:r>
      <w:r w:rsidRPr="004C6897">
        <w:rPr>
          <w:lang w:val="en-US"/>
        </w:rPr>
        <w:t xml:space="preserve">chematic model of the </w:t>
      </w:r>
      <w:r>
        <w:rPr>
          <w:lang w:val="en-US"/>
        </w:rPr>
        <w:t xml:space="preserve">domain structure of </w:t>
      </w:r>
      <w:r w:rsidRPr="004C6897">
        <w:rPr>
          <w:lang w:val="en-US"/>
        </w:rPr>
        <w:t xml:space="preserve">signal peptides </w:t>
      </w:r>
      <w:proofErr w:type="spellStart"/>
      <w:r w:rsidRPr="004C6897">
        <w:rPr>
          <w:lang w:val="en-US"/>
        </w:rPr>
        <w:t>SP</w:t>
      </w:r>
      <w:r w:rsidRPr="009A6518">
        <w:rPr>
          <w:vertAlign w:val="subscript"/>
          <w:lang w:val="en-US"/>
        </w:rPr>
        <w:t>Pel</w:t>
      </w:r>
      <w:proofErr w:type="spellEnd"/>
      <w:r w:rsidRPr="004C6897">
        <w:rPr>
          <w:lang w:val="en-US"/>
        </w:rPr>
        <w:t xml:space="preserve">, </w:t>
      </w:r>
      <w:proofErr w:type="spellStart"/>
      <w:r w:rsidRPr="004C6897">
        <w:rPr>
          <w:lang w:val="en-US"/>
        </w:rPr>
        <w:t>SP</w:t>
      </w:r>
      <w:r w:rsidRPr="009A6518">
        <w:rPr>
          <w:vertAlign w:val="subscript"/>
          <w:lang w:val="en-US"/>
        </w:rPr>
        <w:t>Epr</w:t>
      </w:r>
      <w:proofErr w:type="spellEnd"/>
      <w:r w:rsidRPr="004C6897">
        <w:rPr>
          <w:lang w:val="en-US"/>
        </w:rPr>
        <w:t xml:space="preserve"> and </w:t>
      </w:r>
      <w:proofErr w:type="spellStart"/>
      <w:r w:rsidRPr="004C6897">
        <w:rPr>
          <w:lang w:val="en-US"/>
        </w:rPr>
        <w:t>SP</w:t>
      </w:r>
      <w:r w:rsidRPr="009A6518">
        <w:rPr>
          <w:vertAlign w:val="subscript"/>
          <w:lang w:val="en-US"/>
        </w:rPr>
        <w:t>Bsn</w:t>
      </w:r>
      <w:proofErr w:type="spellEnd"/>
      <w:r w:rsidRPr="004C6897">
        <w:rPr>
          <w:lang w:val="en-US"/>
        </w:rPr>
        <w:t>. The amino acid sequence</w:t>
      </w:r>
      <w:r>
        <w:rPr>
          <w:lang w:val="en-US"/>
        </w:rPr>
        <w:t>, its length</w:t>
      </w:r>
      <w:r w:rsidRPr="004C6897">
        <w:rPr>
          <w:lang w:val="en-US"/>
        </w:rPr>
        <w:t xml:space="preserve"> and </w:t>
      </w:r>
      <w:r>
        <w:rPr>
          <w:lang w:val="en-US"/>
        </w:rPr>
        <w:t xml:space="preserve">subdivision </w:t>
      </w:r>
      <w:r w:rsidRPr="004C6897">
        <w:rPr>
          <w:lang w:val="en-US"/>
        </w:rPr>
        <w:t xml:space="preserve">into N-(blue), H- (yellow) and C-region (gray) predicted by </w:t>
      </w:r>
      <w:proofErr w:type="spellStart"/>
      <w:r w:rsidRPr="004C6897">
        <w:rPr>
          <w:lang w:val="en-US"/>
        </w:rPr>
        <w:t>SignalP</w:t>
      </w:r>
      <w:proofErr w:type="spellEnd"/>
      <w:r w:rsidRPr="004C6897">
        <w:rPr>
          <w:lang w:val="en-US"/>
        </w:rPr>
        <w:t xml:space="preserve"> 6.0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&lt;EndNote&gt;&lt;Cite&gt;&lt;Author&gt;Teufel&lt;/Author&gt;&lt;Year&gt;2021&lt;/Year&gt;&lt;RecNum&gt;410&lt;/RecNum&gt;&lt;DisplayText&gt;Teufel&lt;style face="italic"&gt; et al.&lt;/style&gt;, 2021&lt;/DisplayText&gt;&lt;record&gt;&lt;rec-number&gt;410&lt;/rec-number&gt;&lt;foreign-keys&gt;&lt;key app="EN" db-id="wr2rxztsi09e27e99wuxrxvv0sfra90d95sp" timestamp="1638720397" guid="4d9d907c-6cfc-4c19-827b-79844f3e6df8"&gt;410&lt;/key&gt;&lt;/foreign-keys&gt;&lt;ref-type name="Journal Article"&gt;17&lt;/ref-type&gt;&lt;contributors&gt;&lt;authors&gt;&lt;author&gt;Teufel, Felix&lt;/author&gt;&lt;author&gt;Armenteros, José Juan Almagro&lt;/author&gt;&lt;author&gt;Johansen, Alexander Rosenberg&lt;/author&gt;&lt;author&gt;Gíslason, Magnús Halldór&lt;/author&gt;&lt;author&gt;Pihl, Silas Irby&lt;/author&gt;&lt;author&gt;Tsirigos, Konstantinos D.&lt;/author&gt;&lt;author&gt;Winther, Ole&lt;/author&gt;&lt;author&gt;Brunak, Søren&lt;/author&gt;&lt;author&gt;von Heijne, Gunnar&lt;/author&gt;&lt;author&gt;Nielsen, Henrik&lt;/author&gt;&lt;/authors&gt;&lt;/contributors&gt;&lt;titles&gt;&lt;title&gt;SignalP 6.0 achieves signal peptide prediction across all types using protein language models&lt;/title&gt;&lt;secondary-title&gt;bioRxiv&lt;/secondary-title&gt;&lt;/titles&gt;&lt;periodical&gt;&lt;full-title&gt;bioRxiv&lt;/full-title&gt;&lt;/periodical&gt;&lt;pages&gt;2021.06.09.447770&lt;/pages&gt;&lt;dates&gt;&lt;year&gt;2021&lt;/year&gt;&lt;/dates&gt;&lt;urls&gt;&lt;related-urls&gt;&lt;url&gt;http://biorxiv.org/content/early/2021/06/10/2021.06.09.447770.abstract&lt;/url&gt;&lt;/related-urls&gt;&lt;/urls&gt;&lt;electronic-resource-num&gt;10.1101/2021.06.09.447770&lt;/electronic-resource-num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Teufel</w:t>
      </w:r>
      <w:proofErr w:type="spellEnd"/>
      <w:r w:rsidRPr="00E31D64">
        <w:rPr>
          <w:i/>
          <w:noProof/>
          <w:lang w:val="en-US"/>
        </w:rPr>
        <w:t xml:space="preserve"> et al.</w:t>
      </w:r>
      <w:r>
        <w:rPr>
          <w:noProof/>
          <w:lang w:val="en-US"/>
        </w:rPr>
        <w:t>, 2021</w:t>
      </w:r>
      <w:r>
        <w:rPr>
          <w:lang w:val="en-US"/>
        </w:rPr>
        <w:fldChar w:fldCharType="end"/>
      </w:r>
      <w:r>
        <w:rPr>
          <w:lang w:val="en-US"/>
        </w:rPr>
        <w:t>)</w:t>
      </w:r>
      <w:r w:rsidRPr="004C6897">
        <w:rPr>
          <w:lang w:val="en-US"/>
        </w:rPr>
        <w:t xml:space="preserve"> </w:t>
      </w:r>
      <w:r>
        <w:rPr>
          <w:lang w:val="en-US"/>
        </w:rPr>
        <w:t>are</w:t>
      </w:r>
      <w:r w:rsidRPr="004C6897">
        <w:rPr>
          <w:lang w:val="en-US"/>
        </w:rPr>
        <w:t xml:space="preserve"> shown. </w:t>
      </w:r>
      <w:r>
        <w:rPr>
          <w:b/>
          <w:lang w:val="en-US"/>
        </w:rPr>
        <w:t>B</w:t>
      </w:r>
      <w:r w:rsidRPr="004C6897">
        <w:rPr>
          <w:lang w:val="en-US"/>
        </w:rPr>
        <w:t xml:space="preserve"> Hydrop</w:t>
      </w:r>
      <w:r>
        <w:rPr>
          <w:lang w:val="en-US"/>
        </w:rPr>
        <w:t>h</w:t>
      </w:r>
      <w:r w:rsidRPr="004C6897">
        <w:rPr>
          <w:lang w:val="en-US"/>
        </w:rPr>
        <w:t xml:space="preserve">obicity plots predicted by </w:t>
      </w:r>
      <w:proofErr w:type="spellStart"/>
      <w:r w:rsidRPr="004C6897">
        <w:rPr>
          <w:lang w:val="en-US"/>
        </w:rPr>
        <w:t>ProtScale</w:t>
      </w:r>
      <w:proofErr w:type="spellEnd"/>
      <w:r w:rsidRPr="004C6897">
        <w:rPr>
          <w:lang w:val="en-US"/>
        </w:rPr>
        <w:t xml:space="preserve"> for </w:t>
      </w:r>
      <w:r>
        <w:rPr>
          <w:lang w:val="en-US"/>
        </w:rPr>
        <w:t xml:space="preserve">the selected signal peptides using the hydropathy scale according to </w:t>
      </w:r>
      <w:proofErr w:type="spellStart"/>
      <w:r>
        <w:rPr>
          <w:lang w:val="en-US"/>
        </w:rPr>
        <w:t>Kyte</w:t>
      </w:r>
      <w:proofErr w:type="spellEnd"/>
      <w:r>
        <w:rPr>
          <w:lang w:val="en-US"/>
        </w:rPr>
        <w:t xml:space="preserve"> and Doolittle (</w:t>
      </w:r>
      <w:proofErr w:type="spellStart"/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&lt;EndNote&gt;&lt;Cite&gt;&lt;Author&gt;Gasteiger&lt;/Author&gt;&lt;Year&gt;2005&lt;/Year&gt;&lt;RecNum&gt;749&lt;/RecNum&gt;&lt;DisplayText&gt;Gasteiger&lt;style face="italic"&gt; et al.&lt;/style&gt;, 2005&lt;/DisplayText&gt;&lt;record&gt;&lt;rec-number&gt;749&lt;/rec-number&gt;&lt;foreign-keys&gt;&lt;key app="EN" db-id="wr2rxztsi09e27e99wuxrxvv0sfra90d95sp" timestamp="1651224496" guid="c9aa39b5-86ec-4ed5-ad25-630e52e99a1c"&gt;749&lt;/key&gt;&lt;/foreign-keys&gt;&lt;ref-type name="Journal Article"&gt;17&lt;/ref-type&gt;&lt;contributors&gt;&lt;authors&gt;&lt;author&gt;Gasteiger, Elisabeth&lt;/author&gt;&lt;author&gt;Hoogland, Christine&lt;/author&gt;&lt;author&gt;Gattiker, Alexandre&lt;/author&gt;&lt;author&gt;Wilkins, Marc R&lt;/author&gt;&lt;author&gt;Appel, Ron D&lt;/author&gt;&lt;author&gt;Bairoch, Amos&lt;/author&gt;&lt;/authors&gt;&lt;/contributors&gt;&lt;titles&gt;&lt;title&gt;Protein identification and analysis tools on the ExPASy server&lt;/title&gt;&lt;secondary-title&gt;The proteomics protocols handbook&lt;/secondary-title&gt;&lt;/titles&gt;&lt;periodical&gt;&lt;full-title&gt;The proteomics protocols handbook&lt;/full-title&gt;&lt;/periodical&gt;&lt;pages&gt;571-607&lt;/pages&gt;&lt;dates&gt;&lt;year&gt;2005&lt;/year&gt;&lt;/dates&gt;&lt;urls&gt;&lt;/urls&gt;&lt;/record&gt;&lt;/Cite&gt;&lt;/EndNote&gt;</w:instrText>
      </w:r>
      <w:r>
        <w:rPr>
          <w:lang w:val="en-US"/>
        </w:rPr>
        <w:fldChar w:fldCharType="separate"/>
      </w:r>
      <w:r>
        <w:rPr>
          <w:noProof/>
          <w:lang w:val="en-US"/>
        </w:rPr>
        <w:t>Gasteiger</w:t>
      </w:r>
      <w:proofErr w:type="spellEnd"/>
      <w:r w:rsidRPr="00E31D64">
        <w:rPr>
          <w:i/>
          <w:noProof/>
          <w:lang w:val="en-US"/>
        </w:rPr>
        <w:t xml:space="preserve"> et al.</w:t>
      </w:r>
      <w:r>
        <w:rPr>
          <w:noProof/>
          <w:lang w:val="en-US"/>
        </w:rPr>
        <w:t>, 2005</w:t>
      </w:r>
      <w:r>
        <w:rPr>
          <w:lang w:val="en-US"/>
        </w:rPr>
        <w:fldChar w:fldCharType="end"/>
      </w:r>
      <w:r>
        <w:rPr>
          <w:lang w:val="en-US"/>
        </w:rPr>
        <w:t>)</w:t>
      </w:r>
      <w:r w:rsidRPr="004C6897">
        <w:rPr>
          <w:lang w:val="en-US"/>
        </w:rPr>
        <w:t>.</w:t>
      </w:r>
    </w:p>
    <w:p w14:paraId="71C4025C" w14:textId="77777777" w:rsidR="00DF6CC1" w:rsidRDefault="00DF6CC1" w:rsidP="00DF6CC1">
      <w:pPr>
        <w:jc w:val="both"/>
        <w:rPr>
          <w:lang w:val="en-US"/>
        </w:rPr>
      </w:pPr>
    </w:p>
    <w:p w14:paraId="079B8247" w14:textId="77777777" w:rsidR="00DF6CC1" w:rsidRPr="00007664" w:rsidRDefault="00DF6CC1" w:rsidP="00DF6CC1">
      <w:pPr>
        <w:pStyle w:val="Beschriftung"/>
        <w:keepNext/>
        <w:rPr>
          <w:lang w:val="en-US"/>
        </w:rPr>
      </w:pPr>
      <w:r w:rsidRPr="00007664">
        <w:rPr>
          <w:lang w:val="en-US"/>
        </w:rPr>
        <w:t xml:space="preserve">Tab. </w:t>
      </w:r>
      <w:r>
        <w:rPr>
          <w:lang w:val="en-US"/>
        </w:rPr>
        <w:t>S</w:t>
      </w:r>
      <w:r>
        <w:fldChar w:fldCharType="begin"/>
      </w:r>
      <w:r w:rsidRPr="00007664">
        <w:rPr>
          <w:lang w:val="en-US"/>
        </w:rPr>
        <w:instrText xml:space="preserve"> SEQ Tab.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r w:rsidRPr="00007664">
        <w:rPr>
          <w:lang w:val="en-US"/>
        </w:rPr>
        <w:t xml:space="preserve">: </w:t>
      </w:r>
      <w:r>
        <w:rPr>
          <w:lang w:val="en-US"/>
        </w:rPr>
        <w:t>Relative s</w:t>
      </w:r>
      <w:r w:rsidRPr="00007664">
        <w:rPr>
          <w:lang w:val="en-US"/>
        </w:rPr>
        <w:t>plit GFP fluorescence and</w:t>
      </w:r>
      <w:r>
        <w:rPr>
          <w:lang w:val="en-US"/>
        </w:rPr>
        <w:t xml:space="preserve"> relative</w:t>
      </w:r>
      <w:r w:rsidRPr="00007664">
        <w:rPr>
          <w:lang w:val="en-US"/>
        </w:rPr>
        <w:t xml:space="preserve"> </w:t>
      </w:r>
      <w:r>
        <w:rPr>
          <w:lang w:val="en-US"/>
        </w:rPr>
        <w:t xml:space="preserve">enzymatic </w:t>
      </w:r>
      <w:r w:rsidRPr="00007664">
        <w:rPr>
          <w:lang w:val="en-US"/>
        </w:rPr>
        <w:t>activi</w:t>
      </w:r>
      <w:r>
        <w:rPr>
          <w:lang w:val="en-US"/>
        </w:rPr>
        <w:t xml:space="preserve">ty taken from data in Fig. 3 to illustrate the reduced sensitivity of the </w:t>
      </w:r>
      <w:r w:rsidRPr="00343126">
        <w:rPr>
          <w:i/>
          <w:lang w:val="en-US"/>
        </w:rPr>
        <w:t>in vivo</w:t>
      </w:r>
      <w:r>
        <w:rPr>
          <w:lang w:val="en-US"/>
        </w:rPr>
        <w:t xml:space="preserve"> split GFP assay.</w:t>
      </w:r>
    </w:p>
    <w:tbl>
      <w:tblPr>
        <w:tblStyle w:val="Tabellenraster"/>
        <w:tblW w:w="9175" w:type="dxa"/>
        <w:tblLook w:val="04A0" w:firstRow="1" w:lastRow="0" w:firstColumn="1" w:lastColumn="0" w:noHBand="0" w:noVBand="1"/>
      </w:tblPr>
      <w:tblGrid>
        <w:gridCol w:w="4106"/>
        <w:gridCol w:w="1559"/>
        <w:gridCol w:w="1701"/>
        <w:gridCol w:w="1809"/>
      </w:tblGrid>
      <w:tr w:rsidR="00DF6CC1" w14:paraId="232E732F" w14:textId="77777777" w:rsidTr="009E7F76">
        <w:tc>
          <w:tcPr>
            <w:tcW w:w="4106" w:type="dxa"/>
            <w:shd w:val="clear" w:color="auto" w:fill="A5A5A5" w:themeFill="accent3"/>
          </w:tcPr>
          <w:p w14:paraId="73E1A532" w14:textId="77777777" w:rsidR="00DF6CC1" w:rsidRPr="00007664" w:rsidRDefault="00DF6CC1" w:rsidP="009E7F76">
            <w:pPr>
              <w:pStyle w:val="KeinLeerraum"/>
              <w:rPr>
                <w:lang w:val="en-US"/>
              </w:rPr>
            </w:pPr>
          </w:p>
        </w:tc>
        <w:tc>
          <w:tcPr>
            <w:tcW w:w="1559" w:type="dxa"/>
            <w:shd w:val="clear" w:color="auto" w:fill="A5A5A5" w:themeFill="accent3"/>
          </w:tcPr>
          <w:p w14:paraId="328B7357" w14:textId="77777777" w:rsidR="00DF6CC1" w:rsidRPr="00951AF4" w:rsidRDefault="00DF6CC1" w:rsidP="009E7F76">
            <w:pPr>
              <w:pStyle w:val="KeinLeerraum"/>
              <w:rPr>
                <w:b/>
                <w:bCs/>
              </w:rPr>
            </w:pPr>
            <w:r w:rsidRPr="00951AF4">
              <w:rPr>
                <w:b/>
                <w:bCs/>
              </w:rPr>
              <w:t>4nt-SP</w:t>
            </w:r>
            <w:r w:rsidRPr="00951AF4">
              <w:rPr>
                <w:b/>
                <w:bCs/>
                <w:vertAlign w:val="subscript"/>
              </w:rPr>
              <w:t>Epr</w:t>
            </w:r>
          </w:p>
        </w:tc>
        <w:tc>
          <w:tcPr>
            <w:tcW w:w="1701" w:type="dxa"/>
            <w:shd w:val="clear" w:color="auto" w:fill="A5A5A5" w:themeFill="accent3"/>
          </w:tcPr>
          <w:p w14:paraId="2AD493F8" w14:textId="77777777" w:rsidR="00DF6CC1" w:rsidRPr="00951AF4" w:rsidRDefault="00DF6CC1" w:rsidP="009E7F76">
            <w:pPr>
              <w:pStyle w:val="KeinLeerraum"/>
              <w:rPr>
                <w:b/>
                <w:bCs/>
              </w:rPr>
            </w:pPr>
            <w:r w:rsidRPr="00951AF4">
              <w:rPr>
                <w:b/>
                <w:bCs/>
              </w:rPr>
              <w:t>5nt-SP</w:t>
            </w:r>
            <w:r w:rsidRPr="00951AF4">
              <w:rPr>
                <w:b/>
                <w:bCs/>
                <w:vertAlign w:val="subscript"/>
              </w:rPr>
              <w:t>Epr</w:t>
            </w:r>
          </w:p>
        </w:tc>
        <w:tc>
          <w:tcPr>
            <w:tcW w:w="1809" w:type="dxa"/>
            <w:shd w:val="clear" w:color="auto" w:fill="A5A5A5" w:themeFill="accent3"/>
          </w:tcPr>
          <w:p w14:paraId="383D4FE2" w14:textId="77777777" w:rsidR="00DF6CC1" w:rsidRPr="00951AF4" w:rsidRDefault="00DF6CC1" w:rsidP="009E7F76">
            <w:pPr>
              <w:pStyle w:val="KeinLeerraum"/>
              <w:rPr>
                <w:b/>
                <w:bCs/>
              </w:rPr>
            </w:pPr>
            <w:r w:rsidRPr="00951AF4">
              <w:rPr>
                <w:b/>
                <w:bCs/>
              </w:rPr>
              <w:t>6nt-SP</w:t>
            </w:r>
            <w:r w:rsidRPr="00951AF4">
              <w:rPr>
                <w:b/>
                <w:bCs/>
                <w:vertAlign w:val="subscript"/>
              </w:rPr>
              <w:t>Epr</w:t>
            </w:r>
          </w:p>
        </w:tc>
      </w:tr>
      <w:tr w:rsidR="00DF6CC1" w14:paraId="029CB1D5" w14:textId="77777777" w:rsidTr="009E7F76">
        <w:tc>
          <w:tcPr>
            <w:tcW w:w="4106" w:type="dxa"/>
          </w:tcPr>
          <w:p w14:paraId="4805A2FF" w14:textId="77777777" w:rsidR="00DF6CC1" w:rsidRPr="00007664" w:rsidRDefault="00DF6CC1" w:rsidP="009E7F76">
            <w:pPr>
              <w:pStyle w:val="KeinLeerraum"/>
              <w:rPr>
                <w:b/>
                <w:bCs/>
                <w:lang w:val="en-US"/>
              </w:rPr>
            </w:pPr>
            <w:r w:rsidRPr="00007664">
              <w:rPr>
                <w:b/>
                <w:bCs/>
                <w:lang w:val="en-US"/>
              </w:rPr>
              <w:t>Holo-GFP fluorescence [compared to 4nt-SP</w:t>
            </w:r>
            <w:r w:rsidRPr="00007664">
              <w:rPr>
                <w:b/>
                <w:bCs/>
                <w:vertAlign w:val="subscript"/>
                <w:lang w:val="en-US"/>
              </w:rPr>
              <w:t>Pel</w:t>
            </w:r>
            <w:r w:rsidRPr="00007664">
              <w:rPr>
                <w:b/>
                <w:bCs/>
                <w:lang w:val="en-US"/>
              </w:rPr>
              <w:t>]</w:t>
            </w:r>
          </w:p>
        </w:tc>
        <w:tc>
          <w:tcPr>
            <w:tcW w:w="1559" w:type="dxa"/>
          </w:tcPr>
          <w:p w14:paraId="1B4AF112" w14:textId="77777777" w:rsidR="00DF6CC1" w:rsidRDefault="00DF6CC1" w:rsidP="009E7F76">
            <w:pPr>
              <w:pStyle w:val="KeinLeerraum"/>
            </w:pPr>
            <w:r>
              <w:t xml:space="preserve">1.00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0.02</w:t>
            </w:r>
          </w:p>
        </w:tc>
        <w:tc>
          <w:tcPr>
            <w:tcW w:w="1701" w:type="dxa"/>
          </w:tcPr>
          <w:p w14:paraId="250F109D" w14:textId="77777777" w:rsidR="00DF6CC1" w:rsidRDefault="00DF6CC1" w:rsidP="009E7F76">
            <w:pPr>
              <w:pStyle w:val="KeinLeerraum"/>
            </w:pPr>
            <w:r>
              <w:t xml:space="preserve">1.03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0.01</w:t>
            </w:r>
          </w:p>
        </w:tc>
        <w:tc>
          <w:tcPr>
            <w:tcW w:w="1809" w:type="dxa"/>
          </w:tcPr>
          <w:p w14:paraId="4DFD1F0A" w14:textId="77777777" w:rsidR="00DF6CC1" w:rsidRDefault="00DF6CC1" w:rsidP="009E7F76">
            <w:pPr>
              <w:pStyle w:val="KeinLeerraum"/>
            </w:pPr>
            <w:r>
              <w:t xml:space="preserve">0.95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0.02</w:t>
            </w:r>
          </w:p>
        </w:tc>
      </w:tr>
      <w:tr w:rsidR="00DF6CC1" w14:paraId="36C925CB" w14:textId="77777777" w:rsidTr="009E7F76">
        <w:tc>
          <w:tcPr>
            <w:tcW w:w="4106" w:type="dxa"/>
          </w:tcPr>
          <w:p w14:paraId="505EDAC5" w14:textId="77777777" w:rsidR="00DF6CC1" w:rsidRPr="00007664" w:rsidRDefault="00DF6CC1" w:rsidP="009E7F76">
            <w:pPr>
              <w:pStyle w:val="KeinLeerraum"/>
              <w:rPr>
                <w:b/>
                <w:bCs/>
                <w:lang w:val="en-US"/>
              </w:rPr>
            </w:pPr>
            <w:r w:rsidRPr="00007664">
              <w:rPr>
                <w:b/>
                <w:bCs/>
                <w:lang w:val="en-US"/>
              </w:rPr>
              <w:t>Activity [compared to 4nt-SP</w:t>
            </w:r>
            <w:r w:rsidRPr="00007664">
              <w:rPr>
                <w:b/>
                <w:bCs/>
                <w:vertAlign w:val="subscript"/>
                <w:lang w:val="en-US"/>
              </w:rPr>
              <w:t>Pel</w:t>
            </w:r>
            <w:r w:rsidRPr="00007664">
              <w:rPr>
                <w:b/>
                <w:bCs/>
                <w:lang w:val="en-US"/>
              </w:rPr>
              <w:t>]</w:t>
            </w:r>
          </w:p>
        </w:tc>
        <w:tc>
          <w:tcPr>
            <w:tcW w:w="1559" w:type="dxa"/>
          </w:tcPr>
          <w:p w14:paraId="61FB9FB8" w14:textId="77777777" w:rsidR="00DF6CC1" w:rsidRDefault="00DF6CC1" w:rsidP="009E7F76">
            <w:pPr>
              <w:pStyle w:val="KeinLeerraum"/>
            </w:pPr>
            <w:r>
              <w:t xml:space="preserve">0.78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0.04</w:t>
            </w:r>
          </w:p>
        </w:tc>
        <w:tc>
          <w:tcPr>
            <w:tcW w:w="1701" w:type="dxa"/>
          </w:tcPr>
          <w:p w14:paraId="0D2B32C2" w14:textId="77777777" w:rsidR="00DF6CC1" w:rsidRDefault="00DF6CC1" w:rsidP="009E7F76">
            <w:pPr>
              <w:pStyle w:val="KeinLeerraum"/>
            </w:pPr>
            <w:r>
              <w:t xml:space="preserve">1.04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0.10</w:t>
            </w:r>
          </w:p>
        </w:tc>
        <w:tc>
          <w:tcPr>
            <w:tcW w:w="1809" w:type="dxa"/>
          </w:tcPr>
          <w:p w14:paraId="4D46F8F1" w14:textId="77777777" w:rsidR="00DF6CC1" w:rsidRDefault="00DF6CC1" w:rsidP="009E7F76">
            <w:pPr>
              <w:pStyle w:val="KeinLeerraum"/>
            </w:pPr>
            <w:r>
              <w:t xml:space="preserve">0.54 </w:t>
            </w:r>
            <w:r w:rsidRPr="00061FD0">
              <w:rPr>
                <w:rFonts w:ascii="Calibri" w:hAnsi="Calibri" w:cs="Calibri"/>
              </w:rPr>
              <w:t>±</w:t>
            </w:r>
            <w:r>
              <w:rPr>
                <w:rFonts w:ascii="Calibri" w:hAnsi="Calibri" w:cs="Calibri"/>
              </w:rPr>
              <w:t xml:space="preserve"> 0.03</w:t>
            </w:r>
          </w:p>
        </w:tc>
      </w:tr>
    </w:tbl>
    <w:p w14:paraId="5DBBBA54" w14:textId="2A76BB34" w:rsidR="00DF6CC1" w:rsidRDefault="00DF6CC1" w:rsidP="00DF6CC1">
      <w:pPr>
        <w:jc w:val="both"/>
        <w:rPr>
          <w:rFonts w:ascii="Calibri" w:hAnsi="Calibri" w:cs="Calibri"/>
          <w:lang w:val="en-US"/>
        </w:rPr>
      </w:pPr>
    </w:p>
    <w:p w14:paraId="27F871CA" w14:textId="01321932" w:rsidR="006C00C8" w:rsidRDefault="006C00C8" w:rsidP="00DF6CC1">
      <w:pPr>
        <w:jc w:val="both"/>
        <w:rPr>
          <w:rFonts w:ascii="Calibri" w:hAnsi="Calibri" w:cs="Calibri"/>
          <w:lang w:val="en-US"/>
        </w:rPr>
      </w:pPr>
    </w:p>
    <w:p w14:paraId="79FD3939" w14:textId="02894A68" w:rsidR="006C00C8" w:rsidRDefault="006C00C8" w:rsidP="00DF6CC1">
      <w:pPr>
        <w:jc w:val="both"/>
        <w:rPr>
          <w:rFonts w:ascii="Calibri" w:hAnsi="Calibri" w:cs="Calibri"/>
          <w:lang w:val="en-US"/>
        </w:rPr>
      </w:pPr>
    </w:p>
    <w:p w14:paraId="67F818D3" w14:textId="77777777" w:rsidR="006C00C8" w:rsidRDefault="006C00C8" w:rsidP="00DF6CC1">
      <w:pPr>
        <w:jc w:val="both"/>
        <w:rPr>
          <w:rFonts w:ascii="Calibri" w:hAnsi="Calibri" w:cs="Calibri"/>
          <w:lang w:val="en-US"/>
        </w:rPr>
      </w:pPr>
    </w:p>
    <w:p w14:paraId="05E823B4" w14:textId="77777777" w:rsidR="00DF6CC1" w:rsidRPr="00007664" w:rsidRDefault="00DF6CC1" w:rsidP="00DF6CC1">
      <w:pPr>
        <w:pStyle w:val="Beschriftung"/>
        <w:keepNext/>
        <w:rPr>
          <w:lang w:val="en-US"/>
        </w:rPr>
      </w:pPr>
      <w:r w:rsidRPr="00007664">
        <w:rPr>
          <w:lang w:val="en-US"/>
        </w:rPr>
        <w:t xml:space="preserve">Tab. </w:t>
      </w:r>
      <w:r>
        <w:rPr>
          <w:lang w:val="en-US"/>
        </w:rPr>
        <w:t>S</w:t>
      </w:r>
      <w:r>
        <w:fldChar w:fldCharType="begin"/>
      </w:r>
      <w:r w:rsidRPr="00007664">
        <w:rPr>
          <w:lang w:val="en-US"/>
        </w:rPr>
        <w:instrText xml:space="preserve"> SEQ Tab.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007664">
        <w:rPr>
          <w:lang w:val="en-US"/>
        </w:rPr>
        <w:t>: Calculated correlations and</w:t>
      </w:r>
      <w:r>
        <w:rPr>
          <w:lang w:val="en-US"/>
        </w:rPr>
        <w:t xml:space="preserve"> associated</w:t>
      </w:r>
      <w:r w:rsidRPr="00007664">
        <w:rPr>
          <w:lang w:val="en-US"/>
        </w:rPr>
        <w:t xml:space="preserve"> coefficients of determination </w:t>
      </w:r>
      <w:r>
        <w:rPr>
          <w:lang w:val="en-US"/>
        </w:rPr>
        <w:t xml:space="preserve">between hydrolytic activities and secretion stress response with varying ribosome binding site spacers. </w:t>
      </w:r>
    </w:p>
    <w:tbl>
      <w:tblPr>
        <w:tblStyle w:val="Tabellenraster"/>
        <w:tblW w:w="9175" w:type="dxa"/>
        <w:tblLook w:val="04A0" w:firstRow="1" w:lastRow="0" w:firstColumn="1" w:lastColumn="0" w:noHBand="0" w:noVBand="1"/>
      </w:tblPr>
      <w:tblGrid>
        <w:gridCol w:w="2972"/>
        <w:gridCol w:w="1814"/>
        <w:gridCol w:w="2194"/>
        <w:gridCol w:w="2195"/>
      </w:tblGrid>
      <w:tr w:rsidR="00DF6CC1" w14:paraId="4580247D" w14:textId="77777777" w:rsidTr="009E7F76">
        <w:tc>
          <w:tcPr>
            <w:tcW w:w="2972" w:type="dxa"/>
            <w:shd w:val="clear" w:color="auto" w:fill="A5A5A5" w:themeFill="accent3"/>
          </w:tcPr>
          <w:p w14:paraId="35AE552E" w14:textId="77777777" w:rsidR="00DF6CC1" w:rsidRPr="00007664" w:rsidRDefault="00DF6CC1" w:rsidP="009E7F76">
            <w:pPr>
              <w:pStyle w:val="KeinLeerraum"/>
              <w:rPr>
                <w:lang w:val="en-US"/>
              </w:rPr>
            </w:pPr>
          </w:p>
        </w:tc>
        <w:tc>
          <w:tcPr>
            <w:tcW w:w="1814" w:type="dxa"/>
            <w:shd w:val="clear" w:color="auto" w:fill="A5A5A5" w:themeFill="accent3"/>
          </w:tcPr>
          <w:p w14:paraId="7C06A6AA" w14:textId="77777777" w:rsidR="00DF6CC1" w:rsidRPr="00EE143D" w:rsidRDefault="00DF6CC1" w:rsidP="009E7F76">
            <w:pPr>
              <w:pStyle w:val="KeinLeerraum"/>
              <w:rPr>
                <w:b/>
                <w:bCs/>
              </w:rPr>
            </w:pPr>
            <w:proofErr w:type="spellStart"/>
            <w:r w:rsidRPr="00EE143D">
              <w:rPr>
                <w:b/>
                <w:bCs/>
              </w:rPr>
              <w:t>Xnt-SP</w:t>
            </w:r>
            <w:r w:rsidRPr="00EE143D">
              <w:rPr>
                <w:b/>
                <w:bCs/>
                <w:vertAlign w:val="subscript"/>
              </w:rPr>
              <w:t>Pel</w:t>
            </w:r>
            <w:proofErr w:type="spellEnd"/>
          </w:p>
        </w:tc>
        <w:tc>
          <w:tcPr>
            <w:tcW w:w="2194" w:type="dxa"/>
            <w:shd w:val="clear" w:color="auto" w:fill="A5A5A5" w:themeFill="accent3"/>
          </w:tcPr>
          <w:p w14:paraId="2634C99C" w14:textId="77777777" w:rsidR="00DF6CC1" w:rsidRPr="00EE143D" w:rsidRDefault="00DF6CC1" w:rsidP="009E7F76">
            <w:pPr>
              <w:pStyle w:val="KeinLeerraum"/>
              <w:rPr>
                <w:b/>
                <w:bCs/>
              </w:rPr>
            </w:pPr>
            <w:proofErr w:type="spellStart"/>
            <w:r w:rsidRPr="00EE143D">
              <w:rPr>
                <w:b/>
                <w:bCs/>
              </w:rPr>
              <w:t>Xnt-SP</w:t>
            </w:r>
            <w:r w:rsidRPr="00EE143D">
              <w:rPr>
                <w:b/>
                <w:bCs/>
                <w:vertAlign w:val="subscript"/>
              </w:rPr>
              <w:t>Epr</w:t>
            </w:r>
            <w:proofErr w:type="spellEnd"/>
          </w:p>
        </w:tc>
        <w:tc>
          <w:tcPr>
            <w:tcW w:w="2195" w:type="dxa"/>
            <w:shd w:val="clear" w:color="auto" w:fill="A5A5A5" w:themeFill="accent3"/>
          </w:tcPr>
          <w:p w14:paraId="52273745" w14:textId="77777777" w:rsidR="00DF6CC1" w:rsidRPr="00EE143D" w:rsidRDefault="00DF6CC1" w:rsidP="009E7F76">
            <w:pPr>
              <w:pStyle w:val="KeinLeerraum"/>
              <w:rPr>
                <w:b/>
                <w:bCs/>
              </w:rPr>
            </w:pPr>
            <w:proofErr w:type="spellStart"/>
            <w:r w:rsidRPr="00EE143D">
              <w:rPr>
                <w:b/>
                <w:bCs/>
              </w:rPr>
              <w:t>Xnt-SP</w:t>
            </w:r>
            <w:r w:rsidRPr="00EE143D">
              <w:rPr>
                <w:b/>
                <w:bCs/>
                <w:vertAlign w:val="subscript"/>
              </w:rPr>
              <w:t>Bsn</w:t>
            </w:r>
            <w:proofErr w:type="spellEnd"/>
          </w:p>
        </w:tc>
      </w:tr>
      <w:tr w:rsidR="00DF6CC1" w14:paraId="15671B0D" w14:textId="77777777" w:rsidTr="009E7F76">
        <w:tc>
          <w:tcPr>
            <w:tcW w:w="2972" w:type="dxa"/>
          </w:tcPr>
          <w:p w14:paraId="6004A1C1" w14:textId="77777777" w:rsidR="00DF6CC1" w:rsidRPr="00EE143D" w:rsidRDefault="00DF6CC1" w:rsidP="009E7F76">
            <w:pPr>
              <w:pStyle w:val="KeinLeerraum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Correlation</w:t>
            </w:r>
            <w:proofErr w:type="spellEnd"/>
            <w:r w:rsidRPr="00EE143D">
              <w:rPr>
                <w:b/>
                <w:bCs/>
              </w:rPr>
              <w:t xml:space="preserve"> [r]</w:t>
            </w:r>
          </w:p>
        </w:tc>
        <w:tc>
          <w:tcPr>
            <w:tcW w:w="1814" w:type="dxa"/>
          </w:tcPr>
          <w:p w14:paraId="2CBE5ADB" w14:textId="77777777" w:rsidR="00DF6CC1" w:rsidRPr="00EE143D" w:rsidRDefault="00DF6CC1" w:rsidP="009E7F76">
            <w:pPr>
              <w:pStyle w:val="KeinLeerraum"/>
            </w:pPr>
            <w:r>
              <w:t>0.84</w:t>
            </w:r>
          </w:p>
        </w:tc>
        <w:tc>
          <w:tcPr>
            <w:tcW w:w="2194" w:type="dxa"/>
          </w:tcPr>
          <w:p w14:paraId="1DB0530F" w14:textId="77777777" w:rsidR="00DF6CC1" w:rsidRPr="00EE143D" w:rsidRDefault="00DF6CC1" w:rsidP="009E7F76">
            <w:pPr>
              <w:pStyle w:val="KeinLeerraum"/>
            </w:pPr>
            <w:r>
              <w:t>0.92</w:t>
            </w:r>
          </w:p>
        </w:tc>
        <w:tc>
          <w:tcPr>
            <w:tcW w:w="2195" w:type="dxa"/>
          </w:tcPr>
          <w:p w14:paraId="106F3594" w14:textId="77777777" w:rsidR="00DF6CC1" w:rsidRPr="00EE143D" w:rsidRDefault="00DF6CC1" w:rsidP="009E7F76">
            <w:pPr>
              <w:pStyle w:val="KeinLeerraum"/>
            </w:pPr>
            <w:r>
              <w:t>0.96</w:t>
            </w:r>
          </w:p>
        </w:tc>
      </w:tr>
      <w:tr w:rsidR="00DF6CC1" w14:paraId="48C71962" w14:textId="77777777" w:rsidTr="009E7F76">
        <w:tc>
          <w:tcPr>
            <w:tcW w:w="2972" w:type="dxa"/>
          </w:tcPr>
          <w:p w14:paraId="2F85829D" w14:textId="77777777" w:rsidR="00DF6CC1" w:rsidRPr="00EE143D" w:rsidRDefault="00DF6CC1" w:rsidP="009E7F76">
            <w:pPr>
              <w:pStyle w:val="KeinLeerraum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Coefficient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determination</w:t>
            </w:r>
            <w:proofErr w:type="spellEnd"/>
            <w:r w:rsidRPr="00EE143D">
              <w:rPr>
                <w:b/>
                <w:bCs/>
              </w:rPr>
              <w:t xml:space="preserve"> [R</w:t>
            </w:r>
            <w:r w:rsidRPr="00EE143D">
              <w:rPr>
                <w:b/>
                <w:bCs/>
                <w:vertAlign w:val="superscript"/>
              </w:rPr>
              <w:t>2</w:t>
            </w:r>
            <w:r w:rsidRPr="00EE143D">
              <w:rPr>
                <w:b/>
                <w:bCs/>
              </w:rPr>
              <w:t>]</w:t>
            </w:r>
          </w:p>
        </w:tc>
        <w:tc>
          <w:tcPr>
            <w:tcW w:w="1814" w:type="dxa"/>
          </w:tcPr>
          <w:p w14:paraId="2FF0800D" w14:textId="77777777" w:rsidR="00DF6CC1" w:rsidRDefault="00DF6CC1" w:rsidP="009E7F76">
            <w:pPr>
              <w:pStyle w:val="KeinLeerraum"/>
            </w:pPr>
            <w:r>
              <w:t>0.71</w:t>
            </w:r>
          </w:p>
        </w:tc>
        <w:tc>
          <w:tcPr>
            <w:tcW w:w="2194" w:type="dxa"/>
          </w:tcPr>
          <w:p w14:paraId="386D4359" w14:textId="77777777" w:rsidR="00DF6CC1" w:rsidRDefault="00DF6CC1" w:rsidP="009E7F76">
            <w:pPr>
              <w:pStyle w:val="KeinLeerraum"/>
            </w:pPr>
            <w:r>
              <w:t>0.85</w:t>
            </w:r>
          </w:p>
        </w:tc>
        <w:tc>
          <w:tcPr>
            <w:tcW w:w="2195" w:type="dxa"/>
          </w:tcPr>
          <w:p w14:paraId="52BD71E4" w14:textId="77777777" w:rsidR="00DF6CC1" w:rsidRDefault="00DF6CC1" w:rsidP="009E7F76">
            <w:pPr>
              <w:pStyle w:val="KeinLeerraum"/>
            </w:pPr>
            <w:r>
              <w:t>0.92</w:t>
            </w:r>
          </w:p>
        </w:tc>
      </w:tr>
    </w:tbl>
    <w:p w14:paraId="1925B17A" w14:textId="77777777" w:rsidR="00DF6CC1" w:rsidRDefault="00DF6CC1" w:rsidP="00DF6CC1">
      <w:pPr>
        <w:jc w:val="both"/>
      </w:pPr>
    </w:p>
    <w:p w14:paraId="561645DF" w14:textId="33DD3477" w:rsidR="00DF6CC1" w:rsidRDefault="00DF6CC1" w:rsidP="00DF6CC1">
      <w:pPr>
        <w:jc w:val="both"/>
      </w:pPr>
    </w:p>
    <w:p w14:paraId="48329398" w14:textId="57550A4E" w:rsidR="006C00C8" w:rsidRDefault="006C00C8" w:rsidP="00DF6CC1">
      <w:pPr>
        <w:jc w:val="both"/>
      </w:pPr>
    </w:p>
    <w:p w14:paraId="7479353D" w14:textId="77777777" w:rsidR="006C00C8" w:rsidRDefault="006C00C8" w:rsidP="00DF6CC1">
      <w:pPr>
        <w:jc w:val="both"/>
      </w:pPr>
    </w:p>
    <w:p w14:paraId="2F8370D4" w14:textId="77777777" w:rsidR="00DF6CC1" w:rsidRDefault="00DF6CC1" w:rsidP="00DF6CC1">
      <w:pPr>
        <w:pStyle w:val="berschrift1"/>
      </w:pPr>
      <w:r>
        <w:lastRenderedPageBreak/>
        <w:t>References</w:t>
      </w:r>
    </w:p>
    <w:p w14:paraId="608C2F4F" w14:textId="77777777" w:rsidR="00DF6CC1" w:rsidRPr="00EE2B01" w:rsidRDefault="00DF6CC1" w:rsidP="00DF6CC1">
      <w:pPr>
        <w:pStyle w:val="EndNoteBibliography"/>
        <w:spacing w:after="0" w:line="480" w:lineRule="auto"/>
        <w:ind w:left="720" w:hanging="720"/>
        <w:rPr>
          <w:sz w:val="24"/>
          <w:szCs w:val="24"/>
        </w:rPr>
      </w:pPr>
      <w:r w:rsidRPr="001D271A">
        <w:rPr>
          <w:sz w:val="24"/>
          <w:szCs w:val="24"/>
          <w:lang w:val="de-DE"/>
        </w:rPr>
        <w:t xml:space="preserve">Gasteiger, E., Hoogland, C., Gattiker, A., Wilkins, M. R., Appel, R. D. &amp; Bairoch, A. 2005. </w:t>
      </w:r>
      <w:r w:rsidRPr="00EE2B01">
        <w:rPr>
          <w:sz w:val="24"/>
          <w:szCs w:val="24"/>
        </w:rPr>
        <w:t xml:space="preserve">Protein identification and analysis tools on the ExPASy server. </w:t>
      </w:r>
      <w:r w:rsidRPr="00EE2B01">
        <w:rPr>
          <w:i/>
          <w:sz w:val="24"/>
          <w:szCs w:val="24"/>
        </w:rPr>
        <w:t>The proteomics protocols handbook</w:t>
      </w:r>
      <w:r w:rsidRPr="00EE2B01">
        <w:rPr>
          <w:b/>
          <w:sz w:val="24"/>
          <w:szCs w:val="24"/>
        </w:rPr>
        <w:t>,</w:t>
      </w:r>
      <w:r w:rsidRPr="00EE2B01">
        <w:rPr>
          <w:sz w:val="24"/>
          <w:szCs w:val="24"/>
        </w:rPr>
        <w:t xml:space="preserve"> 571-607.</w:t>
      </w:r>
    </w:p>
    <w:p w14:paraId="7CFFCFAC" w14:textId="77777777" w:rsidR="00DF6CC1" w:rsidRPr="001D271A" w:rsidRDefault="00DF6CC1" w:rsidP="00DF6CC1">
      <w:pPr>
        <w:rPr>
          <w:lang w:val="en-US"/>
        </w:rPr>
      </w:pPr>
    </w:p>
    <w:p w14:paraId="7CCF01DA" w14:textId="77777777" w:rsidR="00DF6CC1" w:rsidRPr="00EE2B01" w:rsidRDefault="00DF6CC1" w:rsidP="00DF6CC1">
      <w:pPr>
        <w:pStyle w:val="EndNoteBibliography"/>
        <w:spacing w:after="0" w:line="480" w:lineRule="auto"/>
        <w:ind w:left="720" w:hanging="720"/>
        <w:rPr>
          <w:sz w:val="24"/>
          <w:szCs w:val="24"/>
        </w:rPr>
      </w:pPr>
      <w:r w:rsidRPr="001D271A">
        <w:rPr>
          <w:sz w:val="24"/>
          <w:szCs w:val="24"/>
          <w:lang w:val="de-DE"/>
        </w:rPr>
        <w:t xml:space="preserve">Teufel, F., Armenteros, J. J. A., Johansen, A. R., Gíslason, M. H., Pihl, S. I., Tsirigos, K. D., Winther, O., Brunak, S., von Heijne, G. &amp; Nielsen, H. 2021. </w:t>
      </w:r>
      <w:r w:rsidRPr="00EE2B01">
        <w:rPr>
          <w:sz w:val="24"/>
          <w:szCs w:val="24"/>
        </w:rPr>
        <w:t xml:space="preserve">SignalP 6.0 achieves signal peptide prediction across all types using protein language models. </w:t>
      </w:r>
      <w:r w:rsidRPr="00EE2B01">
        <w:rPr>
          <w:i/>
          <w:sz w:val="24"/>
          <w:szCs w:val="24"/>
        </w:rPr>
        <w:t>bioRxiv</w:t>
      </w:r>
      <w:r w:rsidRPr="00EE2B01">
        <w:rPr>
          <w:b/>
          <w:sz w:val="24"/>
          <w:szCs w:val="24"/>
        </w:rPr>
        <w:t>,</w:t>
      </w:r>
      <w:r w:rsidRPr="00EE2B01">
        <w:rPr>
          <w:sz w:val="24"/>
          <w:szCs w:val="24"/>
        </w:rPr>
        <w:t xml:space="preserve"> 2021.06.09.447770.</w:t>
      </w:r>
    </w:p>
    <w:p w14:paraId="1EA7E2A0" w14:textId="77777777" w:rsidR="00B46E08" w:rsidRPr="00DF6CC1" w:rsidRDefault="00B46E08">
      <w:pPr>
        <w:rPr>
          <w:lang w:val="en-US"/>
        </w:rPr>
      </w:pPr>
    </w:p>
    <w:sectPr w:rsidR="00B46E08" w:rsidRPr="00DF6CC1" w:rsidSect="009430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85FBF" w14:textId="77777777" w:rsidR="007D353B" w:rsidRDefault="007D353B" w:rsidP="00DF6CC1">
      <w:pPr>
        <w:spacing w:after="0" w:line="240" w:lineRule="auto"/>
      </w:pPr>
      <w:r>
        <w:separator/>
      </w:r>
    </w:p>
  </w:endnote>
  <w:endnote w:type="continuationSeparator" w:id="0">
    <w:p w14:paraId="444C2FCB" w14:textId="77777777" w:rsidR="007D353B" w:rsidRDefault="007D353B" w:rsidP="00DF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0DEFC" w14:textId="77777777" w:rsidR="007D353B" w:rsidRDefault="007D353B" w:rsidP="00DF6CC1">
      <w:pPr>
        <w:spacing w:after="0" w:line="240" w:lineRule="auto"/>
      </w:pPr>
      <w:r>
        <w:separator/>
      </w:r>
    </w:p>
  </w:footnote>
  <w:footnote w:type="continuationSeparator" w:id="0">
    <w:p w14:paraId="7B2C01BD" w14:textId="77777777" w:rsidR="007D353B" w:rsidRDefault="007D353B" w:rsidP="00DF6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C1"/>
    <w:rsid w:val="002A668D"/>
    <w:rsid w:val="003D3C90"/>
    <w:rsid w:val="005F3089"/>
    <w:rsid w:val="006C00C8"/>
    <w:rsid w:val="0076401F"/>
    <w:rsid w:val="007D353B"/>
    <w:rsid w:val="0094308E"/>
    <w:rsid w:val="00B46E08"/>
    <w:rsid w:val="00CD40E7"/>
    <w:rsid w:val="00D23BA3"/>
    <w:rsid w:val="00D905B5"/>
    <w:rsid w:val="00DF6CC1"/>
    <w:rsid w:val="00E7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1F817D"/>
  <w15:chartTrackingRefBased/>
  <w15:docId w15:val="{D9078EE7-B82E-41E4-9B1B-851FAEC8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6CC1"/>
    <w:rPr>
      <w:kern w:val="0"/>
      <w:sz w:val="24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CC1"/>
    <w:pPr>
      <w:outlineLvl w:val="0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6CC1"/>
    <w:rPr>
      <w:b/>
      <w:kern w:val="0"/>
      <w:sz w:val="24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DF6CC1"/>
    <w:pPr>
      <w:spacing w:after="200" w:line="240" w:lineRule="auto"/>
    </w:pPr>
    <w:rPr>
      <w:b/>
      <w:iCs/>
      <w:sz w:val="18"/>
      <w:szCs w:val="18"/>
    </w:rPr>
  </w:style>
  <w:style w:type="paragraph" w:customStyle="1" w:styleId="EndNoteBibliography">
    <w:name w:val="EndNote Bibliography"/>
    <w:basedOn w:val="Standard"/>
    <w:link w:val="EndNoteBibliographyZchn"/>
    <w:rsid w:val="00DF6CC1"/>
    <w:pPr>
      <w:spacing w:line="240" w:lineRule="auto"/>
      <w:jc w:val="both"/>
    </w:pPr>
    <w:rPr>
      <w:rFonts w:ascii="Calibri" w:hAnsi="Calibri" w:cs="Calibri"/>
      <w:noProof/>
      <w:sz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DF6CC1"/>
    <w:rPr>
      <w:rFonts w:ascii="Calibri" w:hAnsi="Calibri" w:cs="Calibri"/>
      <w:noProof/>
      <w:kern w:val="0"/>
      <w14:ligatures w14:val="none"/>
    </w:rPr>
  </w:style>
  <w:style w:type="table" w:styleId="Tabellenraster">
    <w:name w:val="Table Grid"/>
    <w:basedOn w:val="NormaleTabelle"/>
    <w:uiPriority w:val="59"/>
    <w:rsid w:val="00DF6CC1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Tabelle"/>
    <w:link w:val="KeinLeerraumZchn"/>
    <w:uiPriority w:val="1"/>
    <w:qFormat/>
    <w:rsid w:val="00DF6CC1"/>
    <w:pPr>
      <w:spacing w:after="0" w:line="240" w:lineRule="auto"/>
      <w:jc w:val="center"/>
    </w:pPr>
    <w:rPr>
      <w:kern w:val="0"/>
      <w:sz w:val="20"/>
      <w:lang w:val="de-DE"/>
      <w14:ligatures w14:val="none"/>
    </w:rPr>
  </w:style>
  <w:style w:type="character" w:customStyle="1" w:styleId="KeinLeerraumZchn">
    <w:name w:val="Kein Leerraum Zchn"/>
    <w:aliases w:val="Tabelle Zchn"/>
    <w:basedOn w:val="Absatz-Standardschriftart"/>
    <w:link w:val="KeinLeerraum"/>
    <w:uiPriority w:val="1"/>
    <w:rsid w:val="00DF6CC1"/>
    <w:rPr>
      <w:kern w:val="0"/>
      <w:sz w:val="20"/>
      <w:lang w:val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F6C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6CC1"/>
    <w:rPr>
      <w:kern w:val="0"/>
      <w:sz w:val="24"/>
      <w:lang w:val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DF6CC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6CC1"/>
    <w:rPr>
      <w:kern w:val="0"/>
      <w:sz w:val="24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Lenz</dc:creator>
  <cp:keywords/>
  <dc:description/>
  <cp:lastModifiedBy>Jaeger, Karl-Erich</cp:lastModifiedBy>
  <cp:revision>2</cp:revision>
  <dcterms:created xsi:type="dcterms:W3CDTF">2023-07-18T11:39:00Z</dcterms:created>
  <dcterms:modified xsi:type="dcterms:W3CDTF">2023-07-18T11:39:00Z</dcterms:modified>
</cp:coreProperties>
</file>