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A7D3E" w14:textId="77777777" w:rsidR="00733638" w:rsidRPr="00A816BB" w:rsidRDefault="00733638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8784180"/>
      <w:r w:rsidRPr="00C523A5">
        <w:rPr>
          <w:rFonts w:ascii="Times New Roman" w:hAnsi="Times New Roman" w:cs="Times New Roman"/>
          <w:b/>
          <w:sz w:val="24"/>
          <w:szCs w:val="24"/>
        </w:rPr>
        <w:t>Relax</w:t>
      </w:r>
      <w:r>
        <w:rPr>
          <w:rFonts w:ascii="Times New Roman" w:hAnsi="Times New Roman" w:cs="Times New Roman"/>
          <w:b/>
          <w:sz w:val="24"/>
          <w:szCs w:val="24"/>
        </w:rPr>
        <w:t>ation of</w:t>
      </w:r>
      <w:r w:rsidRPr="00C523A5">
        <w:rPr>
          <w:rFonts w:ascii="Times New Roman" w:hAnsi="Times New Roman" w:cs="Times New Roman"/>
          <w:b/>
          <w:sz w:val="24"/>
          <w:szCs w:val="24"/>
        </w:rPr>
        <w:t xml:space="preserve"> mitochondrial hyperfusion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3A5">
        <w:rPr>
          <w:rFonts w:ascii="Times New Roman" w:hAnsi="Times New Roman" w:cs="Times New Roman"/>
          <w:b/>
          <w:sz w:val="24"/>
          <w:szCs w:val="24"/>
        </w:rPr>
        <w:t xml:space="preserve">in the diabetic retina </w:t>
      </w:r>
      <w:r>
        <w:rPr>
          <w:rFonts w:ascii="Times New Roman" w:hAnsi="Times New Roman" w:cs="Times New Roman"/>
          <w:b/>
          <w:sz w:val="24"/>
          <w:szCs w:val="24"/>
        </w:rPr>
        <w:t>via</w:t>
      </w:r>
      <w:r w:rsidRPr="003C3CC7">
        <w:t xml:space="preserve"> </w:t>
      </w:r>
      <w:r w:rsidRPr="003C3CC7">
        <w:rPr>
          <w:rFonts w:ascii="Times New Roman" w:hAnsi="Times New Roman" w:cs="Times New Roman"/>
          <w:b/>
          <w:sz w:val="24"/>
          <w:szCs w:val="24"/>
        </w:rPr>
        <w:t>N6-furfuryladenine</w:t>
      </w:r>
      <w:r w:rsidRPr="00C523A5">
        <w:rPr>
          <w:rFonts w:ascii="Times New Roman" w:hAnsi="Times New Roman" w:cs="Times New Roman"/>
          <w:b/>
          <w:sz w:val="24"/>
          <w:szCs w:val="24"/>
        </w:rPr>
        <w:t xml:space="preserve"> confers neuroprotection regardless of glycaemic status.</w:t>
      </w:r>
    </w:p>
    <w:p w14:paraId="0B73AB90" w14:textId="6E50C356" w:rsidR="00733638" w:rsidRPr="00A816BB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8784201"/>
      <w:bookmarkEnd w:id="0"/>
      <w:r w:rsidRPr="00A816BB">
        <w:rPr>
          <w:rFonts w:ascii="Times New Roman" w:hAnsi="Times New Roman" w:cs="Times New Roman"/>
          <w:sz w:val="24"/>
          <w:szCs w:val="24"/>
        </w:rPr>
        <w:t>Aidan Anderson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816BB">
        <w:rPr>
          <w:rFonts w:ascii="Times New Roman" w:hAnsi="Times New Roman" w:cs="Times New Roman"/>
          <w:sz w:val="24"/>
          <w:szCs w:val="24"/>
        </w:rPr>
        <w:t>, Nada Alfahad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 xml:space="preserve">, Dulani </w:t>
      </w:r>
      <w:r w:rsidRPr="007A20B5">
        <w:rPr>
          <w:rFonts w:ascii="Times New Roman" w:hAnsi="Times New Roman" w:cs="Times New Roman"/>
          <w:sz w:val="24"/>
          <w:szCs w:val="24"/>
        </w:rPr>
        <w:t>Wimalachandra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>, Kaouthar Bouzinab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>, Paula Rudzinska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>, Heather Wood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>, Isabel Fazey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>, Heping Xu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16BB">
        <w:rPr>
          <w:rFonts w:ascii="Times New Roman" w:hAnsi="Times New Roman" w:cs="Times New Roman"/>
          <w:sz w:val="24"/>
          <w:szCs w:val="24"/>
        </w:rPr>
        <w:t xml:space="preserve">, Timothy </w:t>
      </w:r>
      <w:r w:rsidR="001235E3">
        <w:rPr>
          <w:rFonts w:ascii="Times New Roman" w:hAnsi="Times New Roman" w:cs="Times New Roman"/>
          <w:sz w:val="24"/>
          <w:szCs w:val="24"/>
        </w:rPr>
        <w:t xml:space="preserve">J. </w:t>
      </w:r>
      <w:r w:rsidRPr="00A816BB">
        <w:rPr>
          <w:rFonts w:ascii="Times New Roman" w:hAnsi="Times New Roman" w:cs="Times New Roman"/>
          <w:sz w:val="24"/>
          <w:szCs w:val="24"/>
        </w:rPr>
        <w:t>Lyons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A816BB">
        <w:rPr>
          <w:rFonts w:ascii="Times New Roman" w:hAnsi="Times New Roman" w:cs="Times New Roman"/>
          <w:sz w:val="24"/>
          <w:szCs w:val="24"/>
        </w:rPr>
        <w:t xml:space="preserve">, Nicholas </w:t>
      </w:r>
      <w:r>
        <w:rPr>
          <w:rFonts w:ascii="Times New Roman" w:hAnsi="Times New Roman" w:cs="Times New Roman"/>
          <w:sz w:val="24"/>
          <w:szCs w:val="24"/>
        </w:rPr>
        <w:t>M</w:t>
      </w:r>
      <w:r w:rsidR="001235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6BB">
        <w:rPr>
          <w:rFonts w:ascii="Times New Roman" w:hAnsi="Times New Roman" w:cs="Times New Roman"/>
          <w:sz w:val="24"/>
          <w:szCs w:val="24"/>
        </w:rPr>
        <w:t>Barnes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816BB">
        <w:rPr>
          <w:rFonts w:ascii="Times New Roman" w:hAnsi="Times New Roman" w:cs="Times New Roman"/>
          <w:sz w:val="24"/>
          <w:szCs w:val="24"/>
        </w:rPr>
        <w:t>, Parth Narendran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309B">
        <w:rPr>
          <w:rFonts w:ascii="Times New Roman" w:hAnsi="Times New Roman" w:cs="Times New Roman"/>
          <w:sz w:val="24"/>
          <w:szCs w:val="24"/>
        </w:rPr>
        <w:t>Janet</w:t>
      </w:r>
      <w:r w:rsidRPr="00A81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1235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6BB">
        <w:rPr>
          <w:rFonts w:ascii="Times New Roman" w:hAnsi="Times New Roman" w:cs="Times New Roman"/>
          <w:sz w:val="24"/>
          <w:szCs w:val="24"/>
        </w:rPr>
        <w:t>Lord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309B">
        <w:rPr>
          <w:rFonts w:ascii="Times New Roman" w:hAnsi="Times New Roman" w:cs="Times New Roman"/>
          <w:sz w:val="24"/>
          <w:szCs w:val="24"/>
        </w:rPr>
        <w:t>Saaeha</w:t>
      </w:r>
      <w:r w:rsidRPr="00A816BB">
        <w:rPr>
          <w:rFonts w:ascii="Times New Roman" w:hAnsi="Times New Roman" w:cs="Times New Roman"/>
          <w:sz w:val="24"/>
          <w:szCs w:val="24"/>
        </w:rPr>
        <w:t xml:space="preserve"> Rauz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A816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6BB">
        <w:rPr>
          <w:rFonts w:ascii="Times New Roman" w:hAnsi="Times New Roman" w:cs="Times New Roman"/>
          <w:sz w:val="24"/>
          <w:szCs w:val="24"/>
        </w:rPr>
        <w:t xml:space="preserve">Ian G. </w:t>
      </w:r>
      <w:r w:rsidRPr="0092309B">
        <w:rPr>
          <w:rFonts w:ascii="Times New Roman" w:hAnsi="Times New Roman" w:cs="Times New Roman"/>
          <w:sz w:val="24"/>
          <w:szCs w:val="24"/>
        </w:rPr>
        <w:t>Ganley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16BB">
        <w:rPr>
          <w:rFonts w:ascii="Times New Roman" w:hAnsi="Times New Roman" w:cs="Times New Roman"/>
          <w:sz w:val="24"/>
          <w:szCs w:val="24"/>
        </w:rPr>
        <w:t xml:space="preserve"> Tim M. Curtis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16BB">
        <w:rPr>
          <w:rFonts w:ascii="Times New Roman" w:hAnsi="Times New Roman" w:cs="Times New Roman"/>
          <w:sz w:val="24"/>
          <w:szCs w:val="24"/>
        </w:rPr>
        <w:t>, Graham R. Wallace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 xml:space="preserve"> and Jose R. Hombrebueno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816B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F89667C" w14:textId="77777777" w:rsidR="00733638" w:rsidRPr="00C74D40" w:rsidRDefault="00733638" w:rsidP="00733638">
      <w:pPr>
        <w:spacing w:line="48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052DA593" w14:textId="77777777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6B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A816BB">
        <w:rPr>
          <w:rFonts w:ascii="Times New Roman" w:hAnsi="Times New Roman" w:cs="Times New Roman"/>
          <w:sz w:val="24"/>
          <w:szCs w:val="24"/>
        </w:rPr>
        <w:t>Institute of Inflammation and Ageing, University of Birmingham, Birmingham, UK</w:t>
      </w:r>
    </w:p>
    <w:p w14:paraId="4335BC10" w14:textId="77777777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A816BB">
        <w:rPr>
          <w:rFonts w:ascii="Times New Roman" w:hAnsi="Times New Roman" w:cs="Times New Roman"/>
          <w:sz w:val="24"/>
          <w:szCs w:val="24"/>
        </w:rPr>
        <w:t xml:space="preserve">Wellcome-Wolfson Institute for Experimental Medicine, Queen’s University Belfast, UK </w:t>
      </w:r>
    </w:p>
    <w:p w14:paraId="7F7C8C79" w14:textId="77777777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A816BB">
        <w:rPr>
          <w:rFonts w:ascii="Times New Roman" w:hAnsi="Times New Roman" w:cs="Times New Roman"/>
          <w:sz w:val="24"/>
          <w:szCs w:val="24"/>
        </w:rPr>
        <w:t>Division of Endocrinology and Diabetes, Medical University of South Carolina, Charleston, SC, USA.</w:t>
      </w:r>
    </w:p>
    <w:p w14:paraId="6825F5EA" w14:textId="77777777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D4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C74D40">
        <w:t xml:space="preserve"> </w:t>
      </w:r>
      <w:r w:rsidRPr="00C74D40">
        <w:rPr>
          <w:rFonts w:ascii="Times New Roman" w:hAnsi="Times New Roman" w:cs="Times New Roman"/>
          <w:sz w:val="24"/>
          <w:szCs w:val="24"/>
        </w:rPr>
        <w:t>Diabetes Free South Carolina, Columbia, SC, USA</w:t>
      </w:r>
    </w:p>
    <w:p w14:paraId="13580ADF" w14:textId="77777777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A816BB">
        <w:rPr>
          <w:rFonts w:ascii="Times New Roman" w:hAnsi="Times New Roman" w:cs="Times New Roman"/>
          <w:sz w:val="24"/>
          <w:szCs w:val="24"/>
        </w:rPr>
        <w:t>Institute of Clinical Sciences, University of Birmingham, Birmingham, UK</w:t>
      </w:r>
    </w:p>
    <w:p w14:paraId="33A5BFF7" w14:textId="77777777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A816BB">
        <w:rPr>
          <w:rFonts w:ascii="Times New Roman" w:hAnsi="Times New Roman" w:cs="Times New Roman"/>
          <w:sz w:val="24"/>
          <w:szCs w:val="24"/>
        </w:rPr>
        <w:t>Institute of Immunology and Immunotherapy, University of Birmingham, Birmingham, UK</w:t>
      </w:r>
    </w:p>
    <w:p w14:paraId="78C22DFC" w14:textId="77777777" w:rsidR="00733638" w:rsidRPr="00A816BB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A816BB">
        <w:rPr>
          <w:rFonts w:ascii="Times New Roman" w:hAnsi="Times New Roman" w:cs="Times New Roman"/>
          <w:sz w:val="24"/>
          <w:szCs w:val="24"/>
        </w:rPr>
        <w:t>Birmingham &amp; Midland Eye Centre, Birmingham, UK</w:t>
      </w:r>
    </w:p>
    <w:p w14:paraId="4C6B12C9" w14:textId="77777777" w:rsidR="00733638" w:rsidRPr="00A816BB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A816BB">
        <w:rPr>
          <w:rFonts w:ascii="Times New Roman" w:hAnsi="Times New Roman" w:cs="Times New Roman"/>
          <w:sz w:val="24"/>
          <w:szCs w:val="24"/>
        </w:rPr>
        <w:t>MRC Protein Phosphorylation and Ubiquitylation Unit, University of Dundee, UK</w:t>
      </w:r>
    </w:p>
    <w:p w14:paraId="42BC74C6" w14:textId="77777777" w:rsidR="00733638" w:rsidRPr="00C74D40" w:rsidRDefault="00733638" w:rsidP="00733638">
      <w:pPr>
        <w:spacing w:line="48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52D89BE8" w14:textId="77777777" w:rsidR="00733638" w:rsidRDefault="00733638" w:rsidP="00733638">
      <w:pPr>
        <w:spacing w:line="480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sz w:val="24"/>
          <w:szCs w:val="24"/>
        </w:rPr>
        <w:t xml:space="preserve">#Correspondence to Dr Jose R Hombrebueno; </w:t>
      </w:r>
      <w:hyperlink r:id="rId4" w:history="1">
        <w:r w:rsidRPr="004B1714">
          <w:rPr>
            <w:rStyle w:val="Hyperlink"/>
            <w:rFonts w:ascii="Times New Roman" w:hAnsi="Times New Roman" w:cs="Times New Roman"/>
            <w:sz w:val="24"/>
            <w:szCs w:val="24"/>
          </w:rPr>
          <w:t>j.m.romero@bham.ac.uk</w:t>
        </w:r>
      </w:hyperlink>
    </w:p>
    <w:p w14:paraId="5AE1F42A" w14:textId="77777777" w:rsidR="00733638" w:rsidRPr="004B1714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*</w:t>
      </w:r>
      <w:r w:rsidRPr="00A816BB">
        <w:rPr>
          <w:rFonts w:ascii="Times New Roman" w:hAnsi="Times New Roman" w:cs="Times New Roman"/>
          <w:sz w:val="24"/>
          <w:szCs w:val="24"/>
        </w:rPr>
        <w:t>Aidan Anderson</w:t>
      </w:r>
      <w:r w:rsidRPr="008E1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E1FBC">
        <w:rPr>
          <w:rFonts w:ascii="Times New Roman" w:hAnsi="Times New Roman" w:cs="Times New Roman"/>
          <w:sz w:val="24"/>
          <w:szCs w:val="24"/>
        </w:rPr>
        <w:t>Jose R. Hombrebueno contributed equally to this work.</w:t>
      </w:r>
    </w:p>
    <w:p w14:paraId="2960C3C7" w14:textId="77777777" w:rsidR="00733638" w:rsidRPr="00A816BB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6BB">
        <w:rPr>
          <w:rFonts w:ascii="Times New Roman" w:hAnsi="Times New Roman" w:cs="Times New Roman"/>
          <w:sz w:val="24"/>
          <w:szCs w:val="24"/>
        </w:rPr>
        <w:t xml:space="preserve">Institute of Inflammation and Ageing, </w:t>
      </w:r>
      <w:r>
        <w:rPr>
          <w:rFonts w:ascii="Times New Roman" w:hAnsi="Times New Roman" w:cs="Times New Roman"/>
          <w:sz w:val="24"/>
          <w:szCs w:val="24"/>
        </w:rPr>
        <w:t>College</w:t>
      </w:r>
      <w:r w:rsidRPr="00A816BB">
        <w:rPr>
          <w:rFonts w:ascii="Times New Roman" w:hAnsi="Times New Roman" w:cs="Times New Roman"/>
          <w:sz w:val="24"/>
          <w:szCs w:val="24"/>
        </w:rPr>
        <w:t xml:space="preserve"> of Medical and Dental Sciences, University of Birmingham, Edgbaston, Birmingham, B15 2TT, UK. Phone: +44</w:t>
      </w:r>
      <w:r>
        <w:rPr>
          <w:rFonts w:ascii="Times New Roman" w:hAnsi="Times New Roman" w:cs="Times New Roman"/>
          <w:sz w:val="24"/>
          <w:szCs w:val="24"/>
        </w:rPr>
        <w:t>(0)</w:t>
      </w:r>
      <w:r w:rsidRPr="00A816BB">
        <w:rPr>
          <w:rFonts w:ascii="Times New Roman" w:hAnsi="Times New Roman" w:cs="Times New Roman"/>
          <w:sz w:val="24"/>
          <w:szCs w:val="24"/>
        </w:rPr>
        <w:t xml:space="preserve"> 1213713226</w:t>
      </w:r>
    </w:p>
    <w:p w14:paraId="00437EF1" w14:textId="7769620C" w:rsidR="00733638" w:rsidRDefault="00733638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6BB">
        <w:rPr>
          <w:rFonts w:ascii="Times New Roman" w:hAnsi="Times New Roman" w:cs="Times New Roman"/>
          <w:sz w:val="24"/>
          <w:szCs w:val="24"/>
        </w:rPr>
        <w:t xml:space="preserve">The authors have declared no conflict of interest </w:t>
      </w:r>
    </w:p>
    <w:p w14:paraId="20E350FC" w14:textId="58098D9F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18AFF7B" wp14:editId="488D7B8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742815" cy="2876550"/>
            <wp:effectExtent l="0" t="0" r="635" b="0"/>
            <wp:wrapThrough wrapText="bothSides">
              <wp:wrapPolygon edited="0">
                <wp:start x="0" y="0"/>
                <wp:lineTo x="0" y="21457"/>
                <wp:lineTo x="21516" y="21457"/>
                <wp:lineTo x="2151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r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6136E" w14:textId="77777777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3CC81" w14:textId="77777777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A9112" w14:textId="77777777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69AD5" w14:textId="77777777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8338C" w14:textId="77777777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AE98E" w14:textId="77777777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6A5BD" w14:textId="5F9637D5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F5041">
        <w:rPr>
          <w:rFonts w:ascii="Times New Roman" w:hAnsi="Times New Roman" w:cs="Times New Roman"/>
          <w:b/>
          <w:bCs/>
          <w:sz w:val="24"/>
          <w:szCs w:val="24"/>
        </w:rPr>
        <w:t xml:space="preserve">Neuronal impairment in the human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F5041">
        <w:rPr>
          <w:rFonts w:ascii="Times New Roman" w:hAnsi="Times New Roman" w:cs="Times New Roman"/>
          <w:b/>
          <w:bCs/>
          <w:sz w:val="24"/>
          <w:szCs w:val="24"/>
        </w:rPr>
        <w:t>outer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F5041">
        <w:rPr>
          <w:rFonts w:ascii="Times New Roman" w:hAnsi="Times New Roman" w:cs="Times New Roman"/>
          <w:b/>
          <w:bCs/>
          <w:sz w:val="24"/>
          <w:szCs w:val="24"/>
        </w:rPr>
        <w:t xml:space="preserve"> retina is not associated with the clinical stage of diabetic retinopathy.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041">
        <w:rPr>
          <w:rFonts w:ascii="Times New Roman" w:hAnsi="Times New Roman" w:cs="Times New Roman"/>
          <w:sz w:val="24"/>
          <w:szCs w:val="24"/>
        </w:rPr>
        <w:t>The density of</w:t>
      </w:r>
      <w:r w:rsidR="00F927FF">
        <w:rPr>
          <w:rFonts w:ascii="Times New Roman" w:hAnsi="Times New Roman" w:cs="Times New Roman"/>
          <w:sz w:val="24"/>
          <w:szCs w:val="24"/>
        </w:rPr>
        <w:t xml:space="preserve"> </w:t>
      </w:r>
      <w:r w:rsidR="00F927FF" w:rsidRPr="00F927FF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5F5041">
        <w:rPr>
          <w:rFonts w:ascii="Times New Roman" w:hAnsi="Times New Roman" w:cs="Times New Roman"/>
          <w:sz w:val="24"/>
          <w:szCs w:val="24"/>
        </w:rPr>
        <w:t xml:space="preserve"> DAPI</w:t>
      </w:r>
      <w:r w:rsidRPr="00F92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F5041">
        <w:rPr>
          <w:rFonts w:ascii="Times New Roman" w:hAnsi="Times New Roman" w:cs="Times New Roman"/>
          <w:sz w:val="24"/>
          <w:szCs w:val="24"/>
        </w:rPr>
        <w:t xml:space="preserve"> nuclei at the ONL</w:t>
      </w:r>
      <w:r w:rsidR="00F927FF">
        <w:rPr>
          <w:rFonts w:ascii="Times New Roman" w:hAnsi="Times New Roman" w:cs="Times New Roman"/>
          <w:sz w:val="24"/>
          <w:szCs w:val="24"/>
        </w:rPr>
        <w:t xml:space="preserve"> and </w:t>
      </w:r>
      <w:r w:rsidR="00F927FF" w:rsidRPr="00F927FF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F927FF" w:rsidRPr="00F927FF">
        <w:t xml:space="preserve"> </w:t>
      </w:r>
      <w:r w:rsidR="00F927FF" w:rsidRPr="00F927FF">
        <w:rPr>
          <w:rFonts w:ascii="Times New Roman" w:hAnsi="Times New Roman" w:cs="Times New Roman"/>
          <w:sz w:val="24"/>
          <w:szCs w:val="24"/>
        </w:rPr>
        <w:t>synaptophysin</w:t>
      </w:r>
      <w:r w:rsidR="00F927FF" w:rsidRPr="00F92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927FF" w:rsidRPr="00F927FF">
        <w:rPr>
          <w:rFonts w:ascii="Times New Roman" w:hAnsi="Times New Roman" w:cs="Times New Roman"/>
          <w:sz w:val="24"/>
          <w:szCs w:val="24"/>
        </w:rPr>
        <w:t xml:space="preserve"> processes at the OPL</w:t>
      </w:r>
      <w:r w:rsidR="00F927FF" w:rsidRPr="00F927FF">
        <w:t xml:space="preserve"> </w:t>
      </w:r>
      <w:r w:rsidR="00F927FF">
        <w:t xml:space="preserve">in </w:t>
      </w:r>
      <w:r w:rsidR="00F927FF" w:rsidRPr="00F927FF">
        <w:rPr>
          <w:rFonts w:ascii="Times New Roman" w:hAnsi="Times New Roman" w:cs="Times New Roman"/>
          <w:sz w:val="24"/>
          <w:szCs w:val="24"/>
        </w:rPr>
        <w:t>human retinas from nondiabetic (ND</w:t>
      </w:r>
      <w:r w:rsidR="00F927FF">
        <w:rPr>
          <w:rFonts w:ascii="Times New Roman" w:hAnsi="Times New Roman" w:cs="Times New Roman"/>
          <w:sz w:val="24"/>
          <w:szCs w:val="24"/>
        </w:rPr>
        <w:t>; n = 3</w:t>
      </w:r>
      <w:r w:rsidR="00F927FF" w:rsidRPr="00F927FF">
        <w:rPr>
          <w:rFonts w:ascii="Times New Roman" w:hAnsi="Times New Roman" w:cs="Times New Roman"/>
          <w:sz w:val="24"/>
          <w:szCs w:val="24"/>
        </w:rPr>
        <w:t>), diabetic with no retinopathy (DNR</w:t>
      </w:r>
      <w:r w:rsidR="00F927FF">
        <w:rPr>
          <w:rFonts w:ascii="Times New Roman" w:hAnsi="Times New Roman" w:cs="Times New Roman"/>
          <w:sz w:val="24"/>
          <w:szCs w:val="24"/>
        </w:rPr>
        <w:t>; n = 5-6</w:t>
      </w:r>
      <w:r w:rsidR="00F927FF" w:rsidRPr="00F927FF">
        <w:rPr>
          <w:rFonts w:ascii="Times New Roman" w:hAnsi="Times New Roman" w:cs="Times New Roman"/>
          <w:sz w:val="24"/>
          <w:szCs w:val="24"/>
        </w:rPr>
        <w:t xml:space="preserve">), and </w:t>
      </w:r>
      <w:r w:rsidR="00F927FF">
        <w:rPr>
          <w:rFonts w:ascii="Times New Roman" w:hAnsi="Times New Roman" w:cs="Times New Roman"/>
          <w:sz w:val="24"/>
          <w:szCs w:val="24"/>
        </w:rPr>
        <w:t xml:space="preserve">non-proliferative </w:t>
      </w:r>
      <w:r w:rsidR="00F927FF" w:rsidRPr="00F927FF">
        <w:rPr>
          <w:rFonts w:ascii="Times New Roman" w:hAnsi="Times New Roman" w:cs="Times New Roman"/>
          <w:sz w:val="24"/>
          <w:szCs w:val="24"/>
        </w:rPr>
        <w:t>diabetic retinopathy (</w:t>
      </w:r>
      <w:r w:rsidR="00F927FF">
        <w:rPr>
          <w:rFonts w:ascii="Times New Roman" w:hAnsi="Times New Roman" w:cs="Times New Roman"/>
          <w:sz w:val="24"/>
          <w:szCs w:val="24"/>
        </w:rPr>
        <w:t>NP</w:t>
      </w:r>
      <w:r w:rsidR="00F927FF" w:rsidRPr="00F927FF">
        <w:rPr>
          <w:rFonts w:ascii="Times New Roman" w:hAnsi="Times New Roman" w:cs="Times New Roman"/>
          <w:sz w:val="24"/>
          <w:szCs w:val="24"/>
        </w:rPr>
        <w:t>DR</w:t>
      </w:r>
      <w:r w:rsidR="00F927FF">
        <w:rPr>
          <w:rFonts w:ascii="Times New Roman" w:hAnsi="Times New Roman" w:cs="Times New Roman"/>
          <w:sz w:val="24"/>
          <w:szCs w:val="24"/>
        </w:rPr>
        <w:t xml:space="preserve">; </w:t>
      </w:r>
      <w:r w:rsidR="00F927FF">
        <w:rPr>
          <w:rFonts w:ascii="Times New Roman" w:hAnsi="Times New Roman" w:cs="Times New Roman"/>
          <w:sz w:val="24"/>
          <w:szCs w:val="24"/>
        </w:rPr>
        <w:t xml:space="preserve">n = </w:t>
      </w:r>
      <w:r w:rsidR="00F927FF">
        <w:rPr>
          <w:rFonts w:ascii="Times New Roman" w:hAnsi="Times New Roman" w:cs="Times New Roman"/>
          <w:sz w:val="24"/>
          <w:szCs w:val="24"/>
        </w:rPr>
        <w:t>2</w:t>
      </w:r>
      <w:r w:rsidR="00F927FF" w:rsidRPr="00F927FF">
        <w:rPr>
          <w:rFonts w:ascii="Times New Roman" w:hAnsi="Times New Roman" w:cs="Times New Roman"/>
          <w:sz w:val="24"/>
          <w:szCs w:val="24"/>
        </w:rPr>
        <w:t>) individuals</w:t>
      </w:r>
      <w:r w:rsidR="00F927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4B6E37" w14:textId="4C491E2C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7641D" w14:textId="530B2BF9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2DF79" w14:textId="768505EB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40F29E" w14:textId="398346D8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4194FF" w14:textId="5AA6B440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6833E" w14:textId="123308C1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390A8" w14:textId="1770FE2C" w:rsidR="005F5041" w:rsidRDefault="005F5041" w:rsidP="0073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1AECEDD" wp14:editId="323A42B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570220" cy="4333240"/>
            <wp:effectExtent l="0" t="0" r="0" b="0"/>
            <wp:wrapThrough wrapText="bothSides">
              <wp:wrapPolygon edited="0">
                <wp:start x="0" y="0"/>
                <wp:lineTo x="0" y="21461"/>
                <wp:lineTo x="21497" y="21461"/>
                <wp:lineTo x="2149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242534EB" w14:textId="1DA32938" w:rsidR="001955AF" w:rsidRPr="004B1714" w:rsidRDefault="001955AF" w:rsidP="004B171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A633D" w14:textId="77777777" w:rsidR="007B646E" w:rsidRDefault="007B646E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389CA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05332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D4AAF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D9615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58533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9E5E2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764EB" w14:textId="77777777" w:rsidR="005F5041" w:rsidRDefault="005F5041" w:rsidP="00C945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2E5E1" w14:textId="4F550616" w:rsidR="00C94522" w:rsidRPr="00A816BB" w:rsidRDefault="004B1714" w:rsidP="00C945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B1714">
        <w:rPr>
          <w:rFonts w:ascii="Times New Roman" w:hAnsi="Times New Roman" w:cs="Times New Roman"/>
          <w:sz w:val="24"/>
          <w:szCs w:val="24"/>
        </w:rPr>
        <w:t xml:space="preserve"> </w:t>
      </w:r>
      <w:r w:rsidR="009641DD">
        <w:rPr>
          <w:rFonts w:ascii="Times New Roman" w:hAnsi="Times New Roman" w:cs="Times New Roman"/>
          <w:b/>
          <w:bCs/>
          <w:sz w:val="24"/>
          <w:szCs w:val="24"/>
        </w:rPr>
        <w:t xml:space="preserve">Mitochondrial morphology is not altered in the </w:t>
      </w:r>
      <w:r w:rsidR="009641DD" w:rsidRPr="009641DD">
        <w:rPr>
          <w:rFonts w:ascii="Times New Roman" w:hAnsi="Times New Roman" w:cs="Times New Roman"/>
          <w:b/>
          <w:bCs/>
          <w:sz w:val="24"/>
          <w:szCs w:val="24"/>
        </w:rPr>
        <w:t>Ins2</w:t>
      </w:r>
      <w:r w:rsidR="009641DD" w:rsidRPr="009641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Akita</w:t>
      </w:r>
      <w:r w:rsidR="009641DD">
        <w:rPr>
          <w:rFonts w:ascii="Times New Roman" w:hAnsi="Times New Roman" w:cs="Times New Roman"/>
          <w:b/>
          <w:bCs/>
          <w:sz w:val="24"/>
          <w:szCs w:val="24"/>
        </w:rPr>
        <w:t xml:space="preserve"> outer retina by 3-months of diabetes</w:t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522" w:rsidRPr="00C94522">
        <w:rPr>
          <w:rFonts w:ascii="Times New Roman" w:hAnsi="Times New Roman" w:cs="Times New Roman"/>
          <w:b/>
          <w:bCs/>
          <w:sz w:val="24"/>
          <w:szCs w:val="24"/>
        </w:rPr>
        <w:t>(A-B)</w:t>
      </w:r>
      <w:r w:rsidR="00C94522">
        <w:rPr>
          <w:rFonts w:ascii="Times New Roman" w:hAnsi="Times New Roman" w:cs="Times New Roman"/>
          <w:sz w:val="24"/>
          <w:szCs w:val="24"/>
        </w:rPr>
        <w:t xml:space="preserve"> </w:t>
      </w:r>
      <w:r w:rsidRPr="00A816BB">
        <w:rPr>
          <w:rFonts w:ascii="Times New Roman" w:hAnsi="Times New Roman" w:cs="Times New Roman"/>
          <w:sz w:val="24"/>
          <w:szCs w:val="24"/>
        </w:rPr>
        <w:t xml:space="preserve">Morphometric quantification of mitochondrial fusion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816BB">
        <w:rPr>
          <w:rFonts w:ascii="Times New Roman" w:hAnsi="Times New Roman" w:cs="Times New Roman"/>
          <w:sz w:val="24"/>
          <w:szCs w:val="24"/>
        </w:rPr>
        <w:t>Fis1-GFP signal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81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A816BB">
        <w:rPr>
          <w:rFonts w:ascii="Times New Roman" w:hAnsi="Times New Roman" w:cs="Times New Roman"/>
          <w:sz w:val="24"/>
          <w:szCs w:val="24"/>
        </w:rPr>
        <w:t xml:space="preserve"> the ONL of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816BB">
        <w:rPr>
          <w:rFonts w:ascii="Times New Roman" w:hAnsi="Times New Roman" w:cs="Times New Roman"/>
          <w:sz w:val="24"/>
          <w:szCs w:val="24"/>
        </w:rPr>
        <w:t xml:space="preserve">-month diabetic </w:t>
      </w:r>
      <w:r w:rsidRPr="00A816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mitophagy reporter mice (mitoQC Ins2</w:t>
      </w:r>
      <w:r w:rsidRPr="00A816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Akita</w:t>
      </w:r>
      <w:r w:rsidRPr="00A816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and age-matched non-diabetic siblings (mitoQC WT)</w:t>
      </w:r>
      <w:r w:rsidRPr="00A816BB">
        <w:rPr>
          <w:rFonts w:ascii="Times New Roman" w:hAnsi="Times New Roman" w:cs="Times New Roman"/>
          <w:sz w:val="24"/>
          <w:szCs w:val="24"/>
        </w:rPr>
        <w:t xml:space="preserve">. </w:t>
      </w:r>
      <w:r w:rsidR="009D206F" w:rsidRPr="009D206F">
        <w:rPr>
          <w:rFonts w:ascii="Times New Roman" w:hAnsi="Times New Roman" w:cs="Times New Roman"/>
          <w:sz w:val="24"/>
          <w:szCs w:val="24"/>
        </w:rPr>
        <w:t xml:space="preserve">The inset rectangle shows a high-magnification view </w:t>
      </w:r>
      <w:r w:rsidR="009D206F">
        <w:rPr>
          <w:rFonts w:ascii="Times New Roman" w:hAnsi="Times New Roman" w:cs="Times New Roman"/>
          <w:sz w:val="24"/>
          <w:szCs w:val="24"/>
        </w:rPr>
        <w:t>of mitochondrial morphology at the ONL,</w:t>
      </w:r>
      <w:r w:rsidR="009D206F" w:rsidRPr="009D206F">
        <w:rPr>
          <w:rFonts w:ascii="Times New Roman" w:hAnsi="Times New Roman" w:cs="Times New Roman"/>
          <w:sz w:val="24"/>
          <w:szCs w:val="24"/>
        </w:rPr>
        <w:t xml:space="preserve"> </w:t>
      </w:r>
      <w:r w:rsidR="00C94522" w:rsidRPr="00C9452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C94522">
        <w:rPr>
          <w:rFonts w:ascii="Times New Roman" w:hAnsi="Times New Roman" w:cs="Times New Roman"/>
          <w:sz w:val="24"/>
          <w:szCs w:val="24"/>
        </w:rPr>
        <w:t xml:space="preserve"> Mitochondrial interconnectivity index, average mitochondrial length and mitochondrial aspect ratio.</w:t>
      </w:r>
      <w:r w:rsidR="00C94522" w:rsidRPr="00C94522">
        <w:rPr>
          <w:rFonts w:ascii="Times New Roman" w:hAnsi="Times New Roman" w:cs="Times New Roman"/>
          <w:sz w:val="24"/>
          <w:szCs w:val="24"/>
        </w:rPr>
        <w:t xml:space="preserve"> </w:t>
      </w:r>
      <w:r w:rsidR="00C94522" w:rsidRPr="00A816BB">
        <w:rPr>
          <w:rFonts w:ascii="Times New Roman" w:hAnsi="Times New Roman" w:cs="Times New Roman"/>
          <w:sz w:val="24"/>
          <w:szCs w:val="24"/>
        </w:rPr>
        <w:t>Data are presented in box-and-whisker plots</w:t>
      </w:r>
      <w:r w:rsidR="00C94522">
        <w:rPr>
          <w:rFonts w:ascii="Times New Roman" w:hAnsi="Times New Roman" w:cs="Times New Roman"/>
          <w:sz w:val="24"/>
          <w:szCs w:val="24"/>
        </w:rPr>
        <w:t xml:space="preserve">. </w:t>
      </w:r>
      <w:r w:rsidR="006B195B" w:rsidRPr="00A816BB">
        <w:rPr>
          <w:rFonts w:ascii="Times New Roman" w:hAnsi="Times New Roman" w:cs="Times New Roman"/>
          <w:sz w:val="24"/>
          <w:szCs w:val="24"/>
        </w:rPr>
        <w:t>N ≥ 4, eyes/strain and condition</w:t>
      </w:r>
      <w:r w:rsidR="006B195B">
        <w:rPr>
          <w:rFonts w:ascii="Times New Roman" w:hAnsi="Times New Roman" w:cs="Times New Roman"/>
          <w:sz w:val="24"/>
          <w:szCs w:val="24"/>
        </w:rPr>
        <w:t xml:space="preserve">. </w:t>
      </w:r>
      <w:r w:rsidR="00C94522" w:rsidRPr="00A816BB">
        <w:rPr>
          <w:rFonts w:ascii="Times New Roman" w:hAnsi="Times New Roman" w:cs="Times New Roman"/>
          <w:sz w:val="24"/>
          <w:szCs w:val="24"/>
        </w:rPr>
        <w:t>IS, photoreceptor inner segments</w:t>
      </w:r>
      <w:r w:rsidR="00C94522">
        <w:rPr>
          <w:rFonts w:ascii="Times New Roman" w:hAnsi="Times New Roman" w:cs="Times New Roman"/>
          <w:sz w:val="24"/>
          <w:szCs w:val="24"/>
        </w:rPr>
        <w:t xml:space="preserve">; </w:t>
      </w:r>
      <w:r w:rsidR="00C94522" w:rsidRPr="00A816BB">
        <w:rPr>
          <w:rFonts w:ascii="Times New Roman" w:hAnsi="Times New Roman" w:cs="Times New Roman"/>
          <w:sz w:val="24"/>
          <w:szCs w:val="24"/>
        </w:rPr>
        <w:t>ONL, outer nuclear layer; OPL, outer plexiform layer</w:t>
      </w:r>
      <w:r w:rsidR="00C94522">
        <w:rPr>
          <w:rFonts w:ascii="Times New Roman" w:hAnsi="Times New Roman" w:cs="Times New Roman"/>
          <w:sz w:val="24"/>
          <w:szCs w:val="24"/>
        </w:rPr>
        <w:t xml:space="preserve">. </w:t>
      </w:r>
      <w:r w:rsidR="00C94522" w:rsidRPr="00A816BB">
        <w:rPr>
          <w:rFonts w:ascii="Times New Roman" w:hAnsi="Times New Roman" w:cs="Times New Roman"/>
          <w:sz w:val="24"/>
          <w:szCs w:val="24"/>
        </w:rPr>
        <w:t>Scale bars:</w:t>
      </w:r>
      <w:r w:rsidR="00F11494">
        <w:rPr>
          <w:rFonts w:ascii="Times New Roman" w:hAnsi="Times New Roman" w:cs="Times New Roman"/>
          <w:sz w:val="24"/>
          <w:szCs w:val="24"/>
        </w:rPr>
        <w:t xml:space="preserve"> 40 µm (</w:t>
      </w:r>
      <w:r w:rsidR="00F11494" w:rsidRPr="00F1149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11494">
        <w:rPr>
          <w:rFonts w:ascii="Times New Roman" w:hAnsi="Times New Roman" w:cs="Times New Roman"/>
          <w:sz w:val="24"/>
          <w:szCs w:val="24"/>
        </w:rPr>
        <w:t>), 20 µm</w:t>
      </w:r>
      <w:r w:rsidR="00C94522" w:rsidRPr="00A816BB">
        <w:rPr>
          <w:rFonts w:ascii="Times New Roman" w:hAnsi="Times New Roman" w:cs="Times New Roman"/>
          <w:sz w:val="24"/>
          <w:szCs w:val="24"/>
        </w:rPr>
        <w:t xml:space="preserve"> </w:t>
      </w:r>
      <w:r w:rsidR="00F11494">
        <w:rPr>
          <w:rFonts w:ascii="Times New Roman" w:hAnsi="Times New Roman" w:cs="Times New Roman"/>
          <w:sz w:val="24"/>
          <w:szCs w:val="24"/>
        </w:rPr>
        <w:t xml:space="preserve">(inset). </w:t>
      </w:r>
    </w:p>
    <w:p w14:paraId="27281DE8" w14:textId="77777777" w:rsidR="00E0712A" w:rsidRDefault="00E0712A" w:rsidP="00E0712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4542C" w14:textId="77777777" w:rsidR="00E0712A" w:rsidRDefault="00E0712A" w:rsidP="00E0712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69863" w14:textId="0CB39FA3" w:rsidR="00E0712A" w:rsidRDefault="00E0712A" w:rsidP="00E0712A">
      <w:pPr>
        <w:spacing w:line="480" w:lineRule="auto"/>
        <w:jc w:val="both"/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910A4B5" wp14:editId="7FA290B9">
            <wp:simplePos x="0" y="0"/>
            <wp:positionH relativeFrom="margin">
              <wp:posOffset>-137160</wp:posOffset>
            </wp:positionH>
            <wp:positionV relativeFrom="paragraph">
              <wp:posOffset>0</wp:posOffset>
            </wp:positionV>
            <wp:extent cx="6047105" cy="4435475"/>
            <wp:effectExtent l="0" t="0" r="0" b="3175"/>
            <wp:wrapThrough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072AB" w14:textId="46F65E8F" w:rsidR="00E0712A" w:rsidRPr="00F02354" w:rsidRDefault="00E0712A" w:rsidP="00E071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B17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Mitochondria</w:t>
      </w:r>
      <w:r w:rsidR="00852729">
        <w:rPr>
          <w:rFonts w:ascii="Times New Roman" w:hAnsi="Times New Roman" w:cs="Times New Roman"/>
          <w:b/>
          <w:bCs/>
          <w:sz w:val="24"/>
          <w:szCs w:val="24"/>
        </w:rPr>
        <w:t xml:space="preserve"> remodels towards </w:t>
      </w:r>
      <w:r>
        <w:rPr>
          <w:rFonts w:ascii="Times New Roman" w:hAnsi="Times New Roman" w:cs="Times New Roman"/>
          <w:b/>
          <w:bCs/>
          <w:sz w:val="24"/>
          <w:szCs w:val="24"/>
        </w:rPr>
        <w:t>hyperfus</w:t>
      </w:r>
      <w:r w:rsidR="00852729">
        <w:rPr>
          <w:rFonts w:ascii="Times New Roman" w:hAnsi="Times New Roman" w:cs="Times New Roman"/>
          <w:b/>
          <w:bCs/>
          <w:sz w:val="24"/>
          <w:szCs w:val="24"/>
        </w:rPr>
        <w:t>ion</w:t>
      </w:r>
      <w:r w:rsidR="00852729" w:rsidRPr="008527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2729" w:rsidRPr="00E0712A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="00852729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852729" w:rsidRPr="00E0712A">
        <w:rPr>
          <w:rFonts w:ascii="Times New Roman" w:hAnsi="Times New Roman" w:cs="Times New Roman"/>
          <w:b/>
          <w:bCs/>
          <w:sz w:val="24"/>
          <w:szCs w:val="24"/>
        </w:rPr>
        <w:t>Ins2</w:t>
      </w:r>
      <w:r w:rsidR="00852729" w:rsidRPr="00E0712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Akita</w:t>
      </w:r>
      <w:r w:rsidR="00852729" w:rsidRPr="00E071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2729">
        <w:rPr>
          <w:rFonts w:ascii="Times New Roman" w:hAnsi="Times New Roman" w:cs="Times New Roman"/>
          <w:b/>
          <w:bCs/>
          <w:sz w:val="24"/>
          <w:szCs w:val="24"/>
        </w:rPr>
        <w:t>outer retina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712A">
        <w:rPr>
          <w:rFonts w:ascii="Times New Roman" w:hAnsi="Times New Roman" w:cs="Times New Roman"/>
          <w:b/>
          <w:bCs/>
          <w:sz w:val="24"/>
          <w:szCs w:val="24"/>
        </w:rPr>
        <w:t>during the progression of diabetes</w:t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522">
        <w:rPr>
          <w:rFonts w:ascii="Times New Roman" w:hAnsi="Times New Roman" w:cs="Times New Roman"/>
          <w:b/>
          <w:bCs/>
          <w:sz w:val="24"/>
          <w:szCs w:val="24"/>
        </w:rPr>
        <w:t>(A-</w:t>
      </w:r>
      <w:r w:rsidR="00F0235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C94522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6BB">
        <w:rPr>
          <w:rFonts w:ascii="Times New Roman" w:hAnsi="Times New Roman" w:cs="Times New Roman"/>
          <w:sz w:val="24"/>
          <w:szCs w:val="24"/>
        </w:rPr>
        <w:t xml:space="preserve">Morphometric quantification of mitochondrial fusion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02354">
        <w:rPr>
          <w:rFonts w:ascii="Times New Roman" w:hAnsi="Times New Roman" w:cs="Times New Roman"/>
          <w:sz w:val="24"/>
          <w:szCs w:val="24"/>
        </w:rPr>
        <w:t>TOMM20 immunostaining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81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A816BB">
        <w:rPr>
          <w:rFonts w:ascii="Times New Roman" w:hAnsi="Times New Roman" w:cs="Times New Roman"/>
          <w:sz w:val="24"/>
          <w:szCs w:val="24"/>
        </w:rPr>
        <w:t xml:space="preserve"> the ONL of</w:t>
      </w:r>
      <w:r w:rsidR="00F023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816BB">
        <w:rPr>
          <w:rFonts w:ascii="Times New Roman" w:hAnsi="Times New Roman" w:cs="Times New Roman"/>
          <w:sz w:val="24"/>
          <w:szCs w:val="24"/>
        </w:rPr>
        <w:t xml:space="preserve">-month </w:t>
      </w:r>
      <w:r w:rsidR="00F02354">
        <w:rPr>
          <w:rFonts w:ascii="Times New Roman" w:hAnsi="Times New Roman" w:cs="Times New Roman"/>
          <w:sz w:val="24"/>
          <w:szCs w:val="24"/>
        </w:rPr>
        <w:t xml:space="preserve">and 8-month </w:t>
      </w:r>
      <w:r w:rsidR="00F02354" w:rsidRPr="00A816BB">
        <w:rPr>
          <w:rFonts w:ascii="Times New Roman" w:hAnsi="Times New Roman" w:cs="Times New Roman"/>
          <w:sz w:val="24"/>
          <w:szCs w:val="24"/>
        </w:rPr>
        <w:t>diabetic Ins2</w:t>
      </w:r>
      <w:r w:rsidR="00F02354" w:rsidRPr="00A816BB">
        <w:rPr>
          <w:rFonts w:ascii="Times New Roman" w:hAnsi="Times New Roman" w:cs="Times New Roman"/>
          <w:sz w:val="24"/>
          <w:szCs w:val="24"/>
          <w:vertAlign w:val="superscript"/>
        </w:rPr>
        <w:t>Akita</w:t>
      </w:r>
      <w:r w:rsidR="00F02354" w:rsidRPr="00A816BB">
        <w:rPr>
          <w:rFonts w:ascii="Times New Roman" w:hAnsi="Times New Roman" w:cs="Times New Roman"/>
          <w:sz w:val="24"/>
          <w:szCs w:val="24"/>
        </w:rPr>
        <w:t xml:space="preserve"> mice and age-matched WT siblings</w:t>
      </w:r>
      <w:r w:rsidRPr="00A816BB">
        <w:rPr>
          <w:rFonts w:ascii="Times New Roman" w:hAnsi="Times New Roman" w:cs="Times New Roman"/>
          <w:sz w:val="24"/>
          <w:szCs w:val="24"/>
        </w:rPr>
        <w:t>.</w:t>
      </w:r>
      <w:r w:rsidR="00F02354">
        <w:rPr>
          <w:rFonts w:ascii="Times New Roman" w:hAnsi="Times New Roman" w:cs="Times New Roman"/>
          <w:sz w:val="24"/>
          <w:szCs w:val="24"/>
        </w:rPr>
        <w:t xml:space="preserve"> </w:t>
      </w:r>
      <w:r w:rsidRPr="00C9452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0235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C94522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Mitochondrial interconnectivity index</w:t>
      </w:r>
      <w:r w:rsidR="00F02354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average mitochondrial length </w:t>
      </w:r>
      <w:r w:rsidR="00F02354">
        <w:rPr>
          <w:rFonts w:ascii="Times New Roman" w:hAnsi="Times New Roman" w:cs="Times New Roman"/>
          <w:sz w:val="24"/>
          <w:szCs w:val="24"/>
        </w:rPr>
        <w:t>in different treatment groups</w:t>
      </w:r>
      <w:r w:rsidR="00A94B8D">
        <w:rPr>
          <w:rFonts w:ascii="Times New Roman" w:hAnsi="Times New Roman" w:cs="Times New Roman"/>
          <w:sz w:val="24"/>
          <w:szCs w:val="24"/>
        </w:rPr>
        <w:t xml:space="preserve"> (</w:t>
      </w:r>
      <w:r w:rsidR="00A94B8D" w:rsidRPr="00A816BB">
        <w:rPr>
          <w:rFonts w:ascii="Times New Roman" w:hAnsi="Times New Roman" w:cs="Times New Roman"/>
          <w:sz w:val="24"/>
          <w:szCs w:val="24"/>
        </w:rPr>
        <w:t xml:space="preserve">N ≥ </w:t>
      </w:r>
      <w:r w:rsidR="00A94B8D">
        <w:rPr>
          <w:rFonts w:ascii="Times New Roman" w:hAnsi="Times New Roman" w:cs="Times New Roman"/>
          <w:sz w:val="24"/>
          <w:szCs w:val="24"/>
        </w:rPr>
        <w:t>6</w:t>
      </w:r>
      <w:r w:rsidR="00A94B8D" w:rsidRPr="00A816BB">
        <w:rPr>
          <w:rFonts w:ascii="Times New Roman" w:hAnsi="Times New Roman" w:cs="Times New Roman"/>
          <w:sz w:val="24"/>
          <w:szCs w:val="24"/>
        </w:rPr>
        <w:t xml:space="preserve"> eyes/strain and condition</w:t>
      </w:r>
      <w:r w:rsidR="00A94B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4522">
        <w:rPr>
          <w:rFonts w:ascii="Times New Roman" w:hAnsi="Times New Roman" w:cs="Times New Roman"/>
          <w:sz w:val="24"/>
          <w:szCs w:val="24"/>
        </w:rPr>
        <w:t xml:space="preserve"> </w:t>
      </w:r>
      <w:r w:rsidR="00F02354" w:rsidRPr="00C9452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0235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F02354" w:rsidRPr="00C9452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02354">
        <w:rPr>
          <w:rFonts w:ascii="Times New Roman" w:hAnsi="Times New Roman" w:cs="Times New Roman"/>
          <w:sz w:val="24"/>
          <w:szCs w:val="24"/>
        </w:rPr>
        <w:t xml:space="preserve"> </w:t>
      </w:r>
      <w:r w:rsidR="00F02354" w:rsidRPr="00F02354">
        <w:rPr>
          <w:rFonts w:ascii="Times New Roman" w:hAnsi="Times New Roman" w:cs="Times New Roman"/>
          <w:sz w:val="24"/>
          <w:szCs w:val="24"/>
        </w:rPr>
        <w:t xml:space="preserve">Example immunoblot of </w:t>
      </w:r>
      <w:r w:rsidR="00F02354">
        <w:rPr>
          <w:rFonts w:ascii="Times New Roman" w:hAnsi="Times New Roman" w:cs="Times New Roman"/>
          <w:sz w:val="24"/>
          <w:szCs w:val="24"/>
        </w:rPr>
        <w:t>Mitofusin-2 (Mfn2)</w:t>
      </w:r>
      <w:r w:rsidR="00F02354" w:rsidRPr="00F02354">
        <w:rPr>
          <w:rFonts w:ascii="Times New Roman" w:hAnsi="Times New Roman" w:cs="Times New Roman"/>
          <w:sz w:val="24"/>
          <w:szCs w:val="24"/>
        </w:rPr>
        <w:t xml:space="preserve"> and β-actin loading controls in retinal lysates of 8-month diabetic Ins2</w:t>
      </w:r>
      <w:r w:rsidR="00F02354" w:rsidRPr="00F02354">
        <w:rPr>
          <w:rFonts w:ascii="Times New Roman" w:hAnsi="Times New Roman" w:cs="Times New Roman"/>
          <w:sz w:val="24"/>
          <w:szCs w:val="24"/>
          <w:vertAlign w:val="superscript"/>
        </w:rPr>
        <w:t>Akita</w:t>
      </w:r>
      <w:r w:rsidR="00F02354" w:rsidRPr="00F02354">
        <w:rPr>
          <w:rFonts w:ascii="Times New Roman" w:hAnsi="Times New Roman" w:cs="Times New Roman"/>
          <w:sz w:val="24"/>
          <w:szCs w:val="24"/>
        </w:rPr>
        <w:t xml:space="preserve"> mice and age-matched WT siblings</w:t>
      </w:r>
      <w:r w:rsidR="00A94B8D">
        <w:rPr>
          <w:rFonts w:ascii="Times New Roman" w:hAnsi="Times New Roman" w:cs="Times New Roman"/>
          <w:sz w:val="24"/>
          <w:szCs w:val="24"/>
        </w:rPr>
        <w:t xml:space="preserve"> (</w:t>
      </w:r>
      <w:r w:rsidR="00A94B8D" w:rsidRPr="00A816BB">
        <w:rPr>
          <w:rFonts w:ascii="Times New Roman" w:hAnsi="Times New Roman" w:cs="Times New Roman"/>
          <w:sz w:val="24"/>
          <w:szCs w:val="24"/>
        </w:rPr>
        <w:t xml:space="preserve">N </w:t>
      </w:r>
      <w:r w:rsidR="00A94B8D">
        <w:rPr>
          <w:rFonts w:ascii="Times New Roman" w:hAnsi="Times New Roman" w:cs="Times New Roman"/>
          <w:sz w:val="24"/>
          <w:szCs w:val="24"/>
        </w:rPr>
        <w:t>= 2</w:t>
      </w:r>
      <w:r w:rsidR="00A94B8D" w:rsidRPr="00A816BB">
        <w:rPr>
          <w:rFonts w:ascii="Times New Roman" w:hAnsi="Times New Roman" w:cs="Times New Roman"/>
          <w:sz w:val="24"/>
          <w:szCs w:val="24"/>
        </w:rPr>
        <w:t xml:space="preserve"> </w:t>
      </w:r>
      <w:r w:rsidR="00A94B8D">
        <w:rPr>
          <w:rFonts w:ascii="Times New Roman" w:hAnsi="Times New Roman" w:cs="Times New Roman"/>
          <w:sz w:val="24"/>
          <w:szCs w:val="24"/>
        </w:rPr>
        <w:t>eyes/</w:t>
      </w:r>
      <w:r w:rsidR="00A94B8D" w:rsidRPr="00A816BB">
        <w:rPr>
          <w:rFonts w:ascii="Times New Roman" w:hAnsi="Times New Roman" w:cs="Times New Roman"/>
          <w:sz w:val="24"/>
          <w:szCs w:val="24"/>
        </w:rPr>
        <w:t>strain and condition</w:t>
      </w:r>
      <w:r w:rsidR="00A94B8D">
        <w:rPr>
          <w:rFonts w:ascii="Times New Roman" w:hAnsi="Times New Roman" w:cs="Times New Roman"/>
          <w:sz w:val="24"/>
          <w:szCs w:val="24"/>
        </w:rPr>
        <w:t>)</w:t>
      </w:r>
      <w:r w:rsidR="00F02354">
        <w:rPr>
          <w:rFonts w:ascii="Times New Roman" w:hAnsi="Times New Roman" w:cs="Times New Roman"/>
          <w:sz w:val="24"/>
          <w:szCs w:val="24"/>
        </w:rPr>
        <w:t xml:space="preserve">. </w:t>
      </w:r>
      <w:r w:rsidRPr="00A816BB">
        <w:rPr>
          <w:rFonts w:ascii="Times New Roman" w:hAnsi="Times New Roman" w:cs="Times New Roman"/>
          <w:sz w:val="24"/>
          <w:szCs w:val="24"/>
        </w:rPr>
        <w:t>Data are presented in box-and-whisker plots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2354" w:rsidRPr="00A816BB">
        <w:rPr>
          <w:rFonts w:ascii="Times New Roman" w:hAnsi="Times New Roman" w:cs="Times New Roman"/>
          <w:sz w:val="24"/>
          <w:szCs w:val="24"/>
        </w:rPr>
        <w:t xml:space="preserve"> 2-sided unpaired Student’s t-test</w:t>
      </w:r>
      <w:r w:rsidR="00F02354">
        <w:rPr>
          <w:rFonts w:ascii="Times New Roman" w:hAnsi="Times New Roman" w:cs="Times New Roman"/>
          <w:sz w:val="24"/>
          <w:szCs w:val="24"/>
        </w:rPr>
        <w:t xml:space="preserve"> between mice of same strain and age</w:t>
      </w:r>
      <w:r w:rsidR="00F02354" w:rsidRPr="00A816BB">
        <w:rPr>
          <w:rFonts w:ascii="Times New Roman" w:hAnsi="Times New Roman" w:cs="Times New Roman"/>
          <w:sz w:val="24"/>
          <w:szCs w:val="24"/>
        </w:rPr>
        <w:t>. *P&lt;0.0</w:t>
      </w:r>
      <w:r w:rsidR="00F02354">
        <w:rPr>
          <w:rFonts w:ascii="Times New Roman" w:hAnsi="Times New Roman" w:cs="Times New Roman"/>
          <w:sz w:val="24"/>
          <w:szCs w:val="24"/>
        </w:rPr>
        <w:t>5</w:t>
      </w:r>
      <w:r w:rsidR="00F02354" w:rsidRPr="00A816BB">
        <w:rPr>
          <w:rFonts w:ascii="Times New Roman" w:hAnsi="Times New Roman" w:cs="Times New Roman"/>
          <w:sz w:val="24"/>
          <w:szCs w:val="24"/>
        </w:rPr>
        <w:t>, **P&lt;0.01</w:t>
      </w:r>
      <w:r w:rsidR="00F02354">
        <w:rPr>
          <w:rFonts w:ascii="Times New Roman" w:hAnsi="Times New Roman" w:cs="Times New Roman"/>
          <w:sz w:val="24"/>
          <w:szCs w:val="24"/>
        </w:rPr>
        <w:t xml:space="preserve">. </w:t>
      </w:r>
      <w:r w:rsidRPr="00A816BB">
        <w:rPr>
          <w:rFonts w:ascii="Times New Roman" w:hAnsi="Times New Roman" w:cs="Times New Roman"/>
          <w:sz w:val="24"/>
          <w:szCs w:val="24"/>
        </w:rPr>
        <w:t>ONL, outer nuclear layer; OPL, outer plexiform layer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816BB">
        <w:rPr>
          <w:rFonts w:ascii="Times New Roman" w:hAnsi="Times New Roman" w:cs="Times New Roman"/>
          <w:sz w:val="24"/>
          <w:szCs w:val="24"/>
        </w:rPr>
        <w:t>Scale bar:</w:t>
      </w:r>
      <w:r w:rsidR="00EB7346">
        <w:rPr>
          <w:rFonts w:ascii="Times New Roman" w:hAnsi="Times New Roman" w:cs="Times New Roman"/>
          <w:sz w:val="24"/>
          <w:szCs w:val="24"/>
        </w:rPr>
        <w:t xml:space="preserve"> 40 µm.</w:t>
      </w:r>
      <w:r w:rsidRPr="00A816BB">
        <w:rPr>
          <w:rFonts w:ascii="Times New Roman" w:hAnsi="Times New Roman" w:cs="Times New Roman"/>
          <w:sz w:val="24"/>
          <w:szCs w:val="24"/>
        </w:rPr>
        <w:t xml:space="preserve">    </w:t>
      </w:r>
      <w:r w:rsidR="00F023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246BE" w14:textId="14F07C01" w:rsidR="00E0712A" w:rsidRDefault="00E0712A" w:rsidP="004B17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69AD4" w14:textId="1FE1B6C9" w:rsidR="006B195B" w:rsidRDefault="006B195B" w:rsidP="004B17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EE1A4" w14:textId="498E9519" w:rsidR="006B195B" w:rsidRDefault="0019731D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26199C8" wp14:editId="200AB859">
            <wp:simplePos x="0" y="0"/>
            <wp:positionH relativeFrom="margin">
              <wp:posOffset>-222250</wp:posOffset>
            </wp:positionH>
            <wp:positionV relativeFrom="paragraph">
              <wp:posOffset>0</wp:posOffset>
            </wp:positionV>
            <wp:extent cx="6332220" cy="2656840"/>
            <wp:effectExtent l="0" t="0" r="0" b="0"/>
            <wp:wrapThrough wrapText="bothSides">
              <wp:wrapPolygon edited="0">
                <wp:start x="0" y="0"/>
                <wp:lineTo x="0" y="21373"/>
                <wp:lineTo x="21509" y="21373"/>
                <wp:lineTo x="2150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5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B17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B17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Retinal</w:t>
      </w:r>
      <w:r w:rsidRPr="0019731D">
        <w:rPr>
          <w:rFonts w:ascii="Times New Roman" w:hAnsi="Times New Roman" w:cs="Times New Roman"/>
          <w:b/>
          <w:bCs/>
          <w:sz w:val="24"/>
          <w:szCs w:val="24"/>
        </w:rPr>
        <w:t xml:space="preserve"> Müller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glia are involved in the regulation of mitochondrial turnover </w:t>
      </w:r>
      <w:r w:rsidRPr="0019731D">
        <w:rPr>
          <w:rFonts w:ascii="Times New Roman" w:hAnsi="Times New Roman" w:cs="Times New Roman"/>
          <w:b/>
          <w:bCs/>
          <w:sz w:val="24"/>
          <w:szCs w:val="24"/>
        </w:rPr>
        <w:t>at the outer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731D">
        <w:rPr>
          <w:rFonts w:ascii="Times New Roman" w:hAnsi="Times New Roman" w:cs="Times New Roman"/>
          <w:b/>
          <w:bCs/>
          <w:sz w:val="24"/>
          <w:szCs w:val="24"/>
        </w:rPr>
        <w:t>retina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9731D">
        <w:rPr>
          <w:rFonts w:ascii="Times New Roman" w:hAnsi="Times New Roman" w:cs="Times New Roman"/>
          <w:sz w:val="24"/>
          <w:szCs w:val="24"/>
        </w:rPr>
        <w:t xml:space="preserve">Retinal micrographs of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9731D">
        <w:rPr>
          <w:rFonts w:ascii="Times New Roman" w:hAnsi="Times New Roman" w:cs="Times New Roman"/>
          <w:sz w:val="24"/>
          <w:szCs w:val="24"/>
        </w:rPr>
        <w:t xml:space="preserve">-month </w:t>
      </w:r>
      <w:r w:rsidRPr="00A816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mitophagy reporter mice (mitoQC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19731D">
        <w:rPr>
          <w:rFonts w:ascii="Times New Roman" w:hAnsi="Times New Roman" w:cs="Times New Roman"/>
          <w:sz w:val="24"/>
          <w:szCs w:val="24"/>
        </w:rPr>
        <w:t xml:space="preserve"> mice processed for glutamine synthase (GS) immunostaining</w:t>
      </w:r>
      <w:r w:rsidR="00F34DD1">
        <w:rPr>
          <w:rFonts w:ascii="Times New Roman" w:hAnsi="Times New Roman" w:cs="Times New Roman"/>
          <w:sz w:val="24"/>
          <w:szCs w:val="24"/>
        </w:rPr>
        <w:t xml:space="preserve">. A substantial </w:t>
      </w:r>
      <w:r w:rsidR="00F34DD1" w:rsidRPr="00F34DD1">
        <w:rPr>
          <w:rFonts w:ascii="Times New Roman" w:hAnsi="Times New Roman" w:cs="Times New Roman"/>
          <w:sz w:val="24"/>
          <w:szCs w:val="24"/>
        </w:rPr>
        <w:t xml:space="preserve">fraction of </w:t>
      </w:r>
      <w:r w:rsidR="0066581B">
        <w:rPr>
          <w:rFonts w:ascii="Times New Roman" w:hAnsi="Times New Roman" w:cs="Times New Roman"/>
          <w:sz w:val="24"/>
          <w:szCs w:val="24"/>
        </w:rPr>
        <w:t xml:space="preserve">filamentous </w:t>
      </w:r>
      <w:r w:rsidR="00F34DD1" w:rsidRPr="00F34DD1">
        <w:rPr>
          <w:rFonts w:ascii="Times New Roman" w:hAnsi="Times New Roman" w:cs="Times New Roman"/>
          <w:sz w:val="24"/>
          <w:szCs w:val="24"/>
        </w:rPr>
        <w:t>mitochondria</w:t>
      </w:r>
      <w:r w:rsidR="00F34DD1">
        <w:rPr>
          <w:rFonts w:ascii="Times New Roman" w:hAnsi="Times New Roman" w:cs="Times New Roman"/>
          <w:sz w:val="24"/>
          <w:szCs w:val="24"/>
        </w:rPr>
        <w:t xml:space="preserve"> (arrows)</w:t>
      </w:r>
      <w:r w:rsidR="00F34DD1" w:rsidRPr="00F34DD1">
        <w:rPr>
          <w:rFonts w:ascii="Times New Roman" w:hAnsi="Times New Roman" w:cs="Times New Roman"/>
          <w:sz w:val="24"/>
          <w:szCs w:val="24"/>
        </w:rPr>
        <w:t xml:space="preserve"> and mitolysosomes </w:t>
      </w:r>
      <w:r w:rsidR="00F34DD1">
        <w:rPr>
          <w:rFonts w:ascii="Times New Roman" w:hAnsi="Times New Roman" w:cs="Times New Roman"/>
          <w:sz w:val="24"/>
          <w:szCs w:val="24"/>
        </w:rPr>
        <w:t xml:space="preserve">(arrowheads) </w:t>
      </w:r>
      <w:r w:rsidR="00F34DD1" w:rsidRPr="00F34DD1">
        <w:rPr>
          <w:rFonts w:ascii="Times New Roman" w:hAnsi="Times New Roman" w:cs="Times New Roman"/>
          <w:sz w:val="24"/>
          <w:szCs w:val="24"/>
        </w:rPr>
        <w:t xml:space="preserve">are found within </w:t>
      </w:r>
      <w:r w:rsidR="00F34DD1">
        <w:rPr>
          <w:rFonts w:ascii="Times New Roman" w:hAnsi="Times New Roman" w:cs="Times New Roman"/>
          <w:sz w:val="24"/>
          <w:szCs w:val="24"/>
        </w:rPr>
        <w:t>GS</w:t>
      </w:r>
      <w:r w:rsidR="00F34DD1" w:rsidRPr="00F34DD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34DD1">
        <w:rPr>
          <w:rFonts w:ascii="Times New Roman" w:hAnsi="Times New Roman" w:cs="Times New Roman"/>
          <w:sz w:val="24"/>
          <w:szCs w:val="24"/>
        </w:rPr>
        <w:t xml:space="preserve"> </w:t>
      </w:r>
      <w:r w:rsidR="000859BC" w:rsidRPr="000859BC">
        <w:rPr>
          <w:rFonts w:ascii="Times New Roman" w:hAnsi="Times New Roman" w:cs="Times New Roman"/>
          <w:sz w:val="24"/>
          <w:szCs w:val="24"/>
        </w:rPr>
        <w:t>Müller</w:t>
      </w:r>
      <w:r w:rsidR="00F34DD1" w:rsidRPr="00F34DD1">
        <w:rPr>
          <w:rFonts w:ascii="Times New Roman" w:hAnsi="Times New Roman" w:cs="Times New Roman"/>
          <w:sz w:val="24"/>
          <w:szCs w:val="24"/>
        </w:rPr>
        <w:t xml:space="preserve"> </w:t>
      </w:r>
      <w:r w:rsidR="00F34DD1">
        <w:rPr>
          <w:rFonts w:ascii="Times New Roman" w:hAnsi="Times New Roman" w:cs="Times New Roman"/>
          <w:sz w:val="24"/>
          <w:szCs w:val="24"/>
        </w:rPr>
        <w:t xml:space="preserve">glia </w:t>
      </w:r>
      <w:r w:rsidR="00F34DD1" w:rsidRPr="00F34DD1">
        <w:rPr>
          <w:rFonts w:ascii="Times New Roman" w:hAnsi="Times New Roman" w:cs="Times New Roman"/>
          <w:sz w:val="24"/>
          <w:szCs w:val="24"/>
        </w:rPr>
        <w:t>processes</w:t>
      </w:r>
      <w:r w:rsidRPr="0019731D">
        <w:rPr>
          <w:rFonts w:ascii="Times New Roman" w:hAnsi="Times New Roman" w:cs="Times New Roman"/>
          <w:sz w:val="24"/>
          <w:szCs w:val="24"/>
        </w:rPr>
        <w:t xml:space="preserve"> at the outer nuclear layer (ONL). O</w:t>
      </w:r>
      <w:r w:rsidR="00F34DD1">
        <w:rPr>
          <w:rFonts w:ascii="Times New Roman" w:hAnsi="Times New Roman" w:cs="Times New Roman"/>
          <w:sz w:val="24"/>
          <w:szCs w:val="24"/>
        </w:rPr>
        <w:t>PL</w:t>
      </w:r>
      <w:r w:rsidRPr="0019731D">
        <w:rPr>
          <w:rFonts w:ascii="Times New Roman" w:hAnsi="Times New Roman" w:cs="Times New Roman"/>
          <w:sz w:val="24"/>
          <w:szCs w:val="24"/>
        </w:rPr>
        <w:t xml:space="preserve">, outer </w:t>
      </w:r>
      <w:r w:rsidR="00F34DD1">
        <w:rPr>
          <w:rFonts w:ascii="Times New Roman" w:hAnsi="Times New Roman" w:cs="Times New Roman"/>
          <w:sz w:val="24"/>
          <w:szCs w:val="24"/>
        </w:rPr>
        <w:t xml:space="preserve">plexiform layer. </w:t>
      </w:r>
      <w:r w:rsidR="00F34DD1" w:rsidRPr="00A816BB">
        <w:rPr>
          <w:rFonts w:ascii="Times New Roman" w:hAnsi="Times New Roman" w:cs="Times New Roman"/>
          <w:sz w:val="24"/>
          <w:szCs w:val="24"/>
        </w:rPr>
        <w:t>Scale bar</w:t>
      </w:r>
      <w:r w:rsidR="00750B81">
        <w:rPr>
          <w:rFonts w:ascii="Times New Roman" w:hAnsi="Times New Roman" w:cs="Times New Roman"/>
          <w:sz w:val="24"/>
          <w:szCs w:val="24"/>
        </w:rPr>
        <w:t xml:space="preserve">: 20 µm. </w:t>
      </w:r>
    </w:p>
    <w:p w14:paraId="0588BBBA" w14:textId="69969094" w:rsidR="0066581B" w:rsidRDefault="0066581B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57EF1" w14:textId="2F53C316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FED2C" w14:textId="4FEA8414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9DDF6" w14:textId="2B251962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B978C" w14:textId="7401B29E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E52A9" w14:textId="0C25C93B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599E1" w14:textId="0C0D0C7F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51E77" w14:textId="388EB7E0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0D92D" w14:textId="2B087428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CF014" w14:textId="4E732F64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E008C" w14:textId="4C97BFF1" w:rsidR="0066581B" w:rsidRDefault="0066581B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697F0" w14:textId="4158C680" w:rsidR="00C52AEA" w:rsidRDefault="00EE62C3" w:rsidP="001973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B61F7B4" wp14:editId="6F75493D">
            <wp:simplePos x="0" y="0"/>
            <wp:positionH relativeFrom="margin">
              <wp:posOffset>-175260</wp:posOffset>
            </wp:positionH>
            <wp:positionV relativeFrom="paragraph">
              <wp:posOffset>0</wp:posOffset>
            </wp:positionV>
            <wp:extent cx="6255385" cy="3324860"/>
            <wp:effectExtent l="0" t="0" r="0" b="8890"/>
            <wp:wrapThrough wrapText="bothSides">
              <wp:wrapPolygon edited="0">
                <wp:start x="0" y="0"/>
                <wp:lineTo x="0" y="21534"/>
                <wp:lineTo x="21510" y="21534"/>
                <wp:lineTo x="2151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D2F2" w14:textId="17C3D883" w:rsidR="00B60826" w:rsidRPr="00A816BB" w:rsidRDefault="0066581B" w:rsidP="00B608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52AE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8435E" w:rsidRPr="0068435E">
        <w:rPr>
          <w:rFonts w:ascii="Times New Roman" w:hAnsi="Times New Roman" w:cs="Times New Roman"/>
          <w:b/>
          <w:bCs/>
          <w:sz w:val="24"/>
          <w:szCs w:val="24"/>
        </w:rPr>
        <w:t xml:space="preserve">Exacerbated fusion </w:t>
      </w:r>
      <w:r w:rsidR="0068435E">
        <w:rPr>
          <w:rFonts w:ascii="Times New Roman" w:hAnsi="Times New Roman" w:cs="Times New Roman"/>
          <w:b/>
          <w:bCs/>
          <w:sz w:val="24"/>
          <w:szCs w:val="24"/>
        </w:rPr>
        <w:t xml:space="preserve">impairs biogenesis machinery </w:t>
      </w:r>
      <w:r w:rsidR="00C52AEA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68435E">
        <w:rPr>
          <w:rFonts w:ascii="Times New Roman" w:hAnsi="Times New Roman" w:cs="Times New Roman"/>
          <w:b/>
          <w:bCs/>
          <w:sz w:val="24"/>
          <w:szCs w:val="24"/>
        </w:rPr>
        <w:t xml:space="preserve"> human MIO-M1</w:t>
      </w:r>
      <w:r w:rsidR="00C52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59BC" w:rsidRPr="000859BC">
        <w:rPr>
          <w:rFonts w:ascii="Times New Roman" w:hAnsi="Times New Roman" w:cs="Times New Roman"/>
          <w:b/>
          <w:bCs/>
          <w:sz w:val="24"/>
          <w:szCs w:val="24"/>
        </w:rPr>
        <w:t>Müller</w:t>
      </w:r>
      <w:r w:rsidR="00C52AEA">
        <w:rPr>
          <w:rFonts w:ascii="Times New Roman" w:hAnsi="Times New Roman" w:cs="Times New Roman"/>
          <w:b/>
          <w:bCs/>
          <w:sz w:val="24"/>
          <w:szCs w:val="24"/>
        </w:rPr>
        <w:t xml:space="preserve"> glia under hyperglycaemia. </w:t>
      </w:r>
      <w:r w:rsidR="001E45BE" w:rsidRPr="001E45BE">
        <w:rPr>
          <w:rFonts w:ascii="Times New Roman" w:hAnsi="Times New Roman" w:cs="Times New Roman"/>
          <w:sz w:val="24"/>
          <w:szCs w:val="24"/>
        </w:rPr>
        <w:t xml:space="preserve">Human MIO-M1 Müller cells were antagonized for mitochondrial fission </w:t>
      </w:r>
      <w:r w:rsidR="001E45BE">
        <w:rPr>
          <w:rFonts w:ascii="Times New Roman" w:hAnsi="Times New Roman" w:cs="Times New Roman"/>
          <w:sz w:val="24"/>
          <w:szCs w:val="24"/>
        </w:rPr>
        <w:t xml:space="preserve">using a Drp1-inhibitor peptide </w:t>
      </w:r>
      <w:r w:rsidR="001E45BE" w:rsidRPr="001E45BE">
        <w:rPr>
          <w:rFonts w:ascii="Times New Roman" w:hAnsi="Times New Roman" w:cs="Times New Roman"/>
          <w:sz w:val="24"/>
          <w:szCs w:val="24"/>
        </w:rPr>
        <w:t>(P11</w:t>
      </w:r>
      <w:r w:rsidR="001E45BE">
        <w:rPr>
          <w:rFonts w:ascii="Times New Roman" w:hAnsi="Times New Roman" w:cs="Times New Roman"/>
          <w:sz w:val="24"/>
          <w:szCs w:val="24"/>
        </w:rPr>
        <w:t>0</w:t>
      </w:r>
      <w:r w:rsidR="001E45BE" w:rsidRPr="001E45BE">
        <w:rPr>
          <w:rFonts w:ascii="Times New Roman" w:hAnsi="Times New Roman" w:cs="Times New Roman"/>
          <w:sz w:val="24"/>
          <w:szCs w:val="24"/>
        </w:rPr>
        <w:t>) under physiological (NG; 5.5mM) or elevated glucose (HG; 30.5mM) conditions</w:t>
      </w:r>
      <w:r w:rsidR="001E45BE">
        <w:rPr>
          <w:rFonts w:ascii="Times New Roman" w:hAnsi="Times New Roman" w:cs="Times New Roman"/>
          <w:sz w:val="24"/>
          <w:szCs w:val="24"/>
        </w:rPr>
        <w:t xml:space="preserve">, and then evaluated for mitochondrial morphology (Fis1 immunostaining) or mitochondrial biogenesis adaptors (TFAM). </w:t>
      </w:r>
      <w:r w:rsidR="001E45BE" w:rsidRPr="001E45BE">
        <w:rPr>
          <w:rFonts w:ascii="Times New Roman" w:hAnsi="Times New Roman" w:cs="Times New Roman"/>
          <w:b/>
          <w:bCs/>
          <w:sz w:val="24"/>
          <w:szCs w:val="24"/>
        </w:rPr>
        <w:t>(A-B)</w:t>
      </w:r>
      <w:r w:rsidR="001E45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45BE" w:rsidRPr="001E45BE">
        <w:rPr>
          <w:rFonts w:ascii="Times New Roman" w:hAnsi="Times New Roman" w:cs="Times New Roman"/>
          <w:sz w:val="24"/>
          <w:szCs w:val="24"/>
        </w:rPr>
        <w:t>Repr</w:t>
      </w:r>
      <w:r w:rsidR="001E45BE">
        <w:rPr>
          <w:rFonts w:ascii="Times New Roman" w:hAnsi="Times New Roman" w:cs="Times New Roman"/>
          <w:sz w:val="24"/>
          <w:szCs w:val="24"/>
        </w:rPr>
        <w:t xml:space="preserve">esentative micrographs of </w:t>
      </w:r>
      <w:r w:rsidR="001E45BE" w:rsidRPr="001E45BE">
        <w:rPr>
          <w:rFonts w:ascii="Times New Roman" w:hAnsi="Times New Roman" w:cs="Times New Roman"/>
          <w:sz w:val="24"/>
          <w:szCs w:val="24"/>
        </w:rPr>
        <w:t xml:space="preserve">MIO-M1 Müller </w:t>
      </w:r>
      <w:r w:rsidR="001E45BE">
        <w:rPr>
          <w:rFonts w:ascii="Times New Roman" w:hAnsi="Times New Roman" w:cs="Times New Roman"/>
          <w:sz w:val="24"/>
          <w:szCs w:val="24"/>
        </w:rPr>
        <w:t xml:space="preserve">cultures immunostained and binarized for Fis1 or TFAM in different treatment groups. </w:t>
      </w:r>
      <w:r w:rsidR="001E45BE" w:rsidRPr="001E45BE">
        <w:rPr>
          <w:rFonts w:ascii="Times New Roman" w:hAnsi="Times New Roman" w:cs="Times New Roman"/>
          <w:b/>
          <w:bCs/>
          <w:sz w:val="24"/>
          <w:szCs w:val="24"/>
        </w:rPr>
        <w:t>(C-D)</w:t>
      </w:r>
      <w:r w:rsidR="001E45BE">
        <w:rPr>
          <w:rFonts w:ascii="Times New Roman" w:hAnsi="Times New Roman" w:cs="Times New Roman"/>
          <w:sz w:val="24"/>
          <w:szCs w:val="24"/>
        </w:rPr>
        <w:t xml:space="preserve"> Morphometric analysis of mitochondrial fusion (interconnectivity and average mitochondrial length). </w:t>
      </w:r>
      <w:r w:rsidR="001E45BE" w:rsidRPr="001E45BE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1E45BE">
        <w:rPr>
          <w:rFonts w:ascii="Times New Roman" w:hAnsi="Times New Roman" w:cs="Times New Roman"/>
          <w:sz w:val="24"/>
          <w:szCs w:val="24"/>
        </w:rPr>
        <w:t xml:space="preserve"> Mitochondrial mass (% of </w:t>
      </w:r>
      <w:r w:rsidR="001E45BE" w:rsidRPr="001E45BE">
        <w:rPr>
          <w:rFonts w:ascii="Times New Roman" w:hAnsi="Times New Roman" w:cs="Times New Roman"/>
          <w:sz w:val="24"/>
          <w:szCs w:val="24"/>
        </w:rPr>
        <w:t>Fis1</w:t>
      </w:r>
      <w:r w:rsidR="001E45BE" w:rsidRPr="001E45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E45BE" w:rsidRPr="001E45BE">
        <w:rPr>
          <w:rFonts w:ascii="Times New Roman" w:hAnsi="Times New Roman" w:cs="Times New Roman"/>
          <w:sz w:val="24"/>
          <w:szCs w:val="24"/>
        </w:rPr>
        <w:t xml:space="preserve"> signal</w:t>
      </w:r>
      <w:r w:rsidR="001E45BE">
        <w:rPr>
          <w:rFonts w:ascii="Times New Roman" w:hAnsi="Times New Roman" w:cs="Times New Roman"/>
          <w:sz w:val="24"/>
          <w:szCs w:val="24"/>
        </w:rPr>
        <w:t xml:space="preserve"> per cell</w:t>
      </w:r>
      <w:r w:rsidR="001E45BE" w:rsidRPr="001E45BE">
        <w:rPr>
          <w:rFonts w:ascii="Times New Roman" w:hAnsi="Times New Roman" w:cs="Times New Roman"/>
          <w:sz w:val="24"/>
          <w:szCs w:val="24"/>
        </w:rPr>
        <w:t>)</w:t>
      </w:r>
      <w:r w:rsidR="001E45BE">
        <w:rPr>
          <w:rFonts w:ascii="Times New Roman" w:hAnsi="Times New Roman" w:cs="Times New Roman"/>
          <w:sz w:val="24"/>
          <w:szCs w:val="24"/>
        </w:rPr>
        <w:t xml:space="preserve">. </w:t>
      </w:r>
      <w:r w:rsidR="001E45BE" w:rsidRPr="001E45BE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="001E45BE">
        <w:rPr>
          <w:rFonts w:ascii="Times New Roman" w:hAnsi="Times New Roman" w:cs="Times New Roman"/>
          <w:sz w:val="24"/>
          <w:szCs w:val="24"/>
        </w:rPr>
        <w:t xml:space="preserve"> TFAM expression</w:t>
      </w:r>
      <w:r w:rsidR="00E24119">
        <w:rPr>
          <w:rFonts w:ascii="Times New Roman" w:hAnsi="Times New Roman" w:cs="Times New Roman"/>
          <w:sz w:val="24"/>
          <w:szCs w:val="24"/>
        </w:rPr>
        <w:t xml:space="preserve"> </w:t>
      </w:r>
      <w:r w:rsidR="00E24119" w:rsidRPr="00A816BB">
        <w:rPr>
          <w:rFonts w:ascii="Times New Roman" w:hAnsi="Times New Roman" w:cs="Times New Roman"/>
          <w:sz w:val="24"/>
          <w:szCs w:val="24"/>
        </w:rPr>
        <w:t>(mean fluorescence intensity [MFI])</w:t>
      </w:r>
      <w:r w:rsidR="00E24119">
        <w:rPr>
          <w:rFonts w:ascii="Times New Roman" w:hAnsi="Times New Roman" w:cs="Times New Roman"/>
          <w:sz w:val="24"/>
          <w:szCs w:val="24"/>
        </w:rPr>
        <w:t xml:space="preserve">. </w:t>
      </w:r>
      <w:r w:rsidR="00B60826" w:rsidRPr="00A816BB">
        <w:rPr>
          <w:rFonts w:ascii="Times New Roman" w:hAnsi="Times New Roman" w:cs="Times New Roman"/>
          <w:sz w:val="24"/>
          <w:szCs w:val="24"/>
        </w:rPr>
        <w:t>N ≥ 6 technical replicates from at least 2 biological replicates per group</w:t>
      </w:r>
      <w:r w:rsidR="00B60826">
        <w:rPr>
          <w:rFonts w:ascii="Times New Roman" w:hAnsi="Times New Roman" w:cs="Times New Roman"/>
          <w:sz w:val="24"/>
          <w:szCs w:val="24"/>
        </w:rPr>
        <w:t xml:space="preserve">. </w:t>
      </w:r>
      <w:r w:rsidR="00B60826" w:rsidRPr="00A816BB">
        <w:rPr>
          <w:rFonts w:ascii="Times New Roman" w:hAnsi="Times New Roman" w:cs="Times New Roman"/>
          <w:sz w:val="24"/>
          <w:szCs w:val="24"/>
        </w:rPr>
        <w:t>Data are presented in box-and-whisker plots. **P&lt;0.01, ***P&lt;0.001, ****P&lt;0.0001. One-way ANOVA with Bonferroni’s correction for multiple comparisons.</w:t>
      </w:r>
      <w:r w:rsidR="00B60826" w:rsidRPr="00B60826">
        <w:rPr>
          <w:rFonts w:ascii="Times New Roman" w:hAnsi="Times New Roman" w:cs="Times New Roman"/>
          <w:sz w:val="24"/>
          <w:szCs w:val="24"/>
        </w:rPr>
        <w:t xml:space="preserve"> </w:t>
      </w:r>
      <w:r w:rsidR="00B60826" w:rsidRPr="00A816BB">
        <w:rPr>
          <w:rFonts w:ascii="Times New Roman" w:hAnsi="Times New Roman" w:cs="Times New Roman"/>
          <w:sz w:val="24"/>
          <w:szCs w:val="24"/>
        </w:rPr>
        <w:t>TFAM, mitochondrial transcription factor A. Scale bars:</w:t>
      </w:r>
      <w:r w:rsidR="00A728A3" w:rsidRPr="00A728A3">
        <w:rPr>
          <w:rFonts w:ascii="Times New Roman" w:hAnsi="Times New Roman" w:cs="Times New Roman"/>
          <w:sz w:val="24"/>
          <w:szCs w:val="24"/>
        </w:rPr>
        <w:t xml:space="preserve"> </w:t>
      </w:r>
      <w:r w:rsidR="00A728A3">
        <w:rPr>
          <w:rFonts w:ascii="Times New Roman" w:hAnsi="Times New Roman" w:cs="Times New Roman"/>
          <w:sz w:val="24"/>
          <w:szCs w:val="24"/>
        </w:rPr>
        <w:t>20 µm.</w:t>
      </w:r>
    </w:p>
    <w:p w14:paraId="66342413" w14:textId="1AD36D6E" w:rsidR="001E45BE" w:rsidRDefault="001E45BE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9DB8B" w14:textId="47084162" w:rsidR="003C0EEC" w:rsidRDefault="003C0EEC" w:rsidP="00197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660A6" w14:textId="2A3E6F83" w:rsidR="003C0EEC" w:rsidRDefault="003C0EEC" w:rsidP="001973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A6969D6" wp14:editId="3848C30A">
            <wp:simplePos x="0" y="0"/>
            <wp:positionH relativeFrom="margin">
              <wp:align>center</wp:align>
            </wp:positionH>
            <wp:positionV relativeFrom="paragraph">
              <wp:posOffset>148</wp:posOffset>
            </wp:positionV>
            <wp:extent cx="6315710" cy="4126865"/>
            <wp:effectExtent l="0" t="0" r="8890" b="6985"/>
            <wp:wrapThrough wrapText="bothSides">
              <wp:wrapPolygon edited="0">
                <wp:start x="0" y="0"/>
                <wp:lineTo x="0" y="21537"/>
                <wp:lineTo x="21565" y="21537"/>
                <wp:lineTo x="21565" y="0"/>
                <wp:lineTo x="0" y="0"/>
              </wp:wrapPolygon>
            </wp:wrapThrough>
            <wp:docPr id="5" name="Picture 5" descr="A picture containing text, diagram, plan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diagram, plan, 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30D2C" w14:textId="2A49CF9B" w:rsidR="00A86B05" w:rsidRDefault="003C0EEC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8435E">
        <w:rPr>
          <w:rFonts w:ascii="Times New Roman" w:hAnsi="Times New Roman" w:cs="Times New Roman"/>
          <w:b/>
          <w:bCs/>
          <w:sz w:val="24"/>
          <w:szCs w:val="24"/>
        </w:rPr>
        <w:t xml:space="preserve">Exacerbated fusion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impairs mitochondrial bioenergetics in mouse primary </w:t>
      </w:r>
      <w:r w:rsidR="000859BC" w:rsidRPr="000859BC">
        <w:rPr>
          <w:rFonts w:ascii="Times New Roman" w:hAnsi="Times New Roman" w:cs="Times New Roman"/>
          <w:b/>
          <w:bCs/>
          <w:sz w:val="24"/>
          <w:szCs w:val="24"/>
        </w:rPr>
        <w:t>Müller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glia under hyperglycaemia. </w:t>
      </w:r>
      <w:r w:rsidR="00EE62C3" w:rsidRPr="00EE62C3">
        <w:rPr>
          <w:rFonts w:ascii="Times New Roman" w:hAnsi="Times New Roman" w:cs="Times New Roman"/>
          <w:sz w:val="24"/>
          <w:szCs w:val="24"/>
        </w:rPr>
        <w:t>Mouse</w:t>
      </w:r>
      <w:r w:rsidRPr="00EE62C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E62C3">
        <w:rPr>
          <w:rFonts w:ascii="Times New Roman" w:hAnsi="Times New Roman" w:cs="Times New Roman"/>
          <w:sz w:val="24"/>
          <w:szCs w:val="24"/>
        </w:rPr>
        <w:t>p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rimary Müller cells </w:t>
      </w:r>
      <w:r w:rsidR="00EE62C3" w:rsidRPr="001E45BE">
        <w:rPr>
          <w:rFonts w:ascii="Times New Roman" w:hAnsi="Times New Roman" w:cs="Times New Roman"/>
          <w:sz w:val="24"/>
          <w:szCs w:val="24"/>
        </w:rPr>
        <w:t xml:space="preserve">were antagonized for mitochondrial fission </w:t>
      </w:r>
      <w:r w:rsidR="00EE62C3">
        <w:rPr>
          <w:rFonts w:ascii="Times New Roman" w:hAnsi="Times New Roman" w:cs="Times New Roman"/>
          <w:sz w:val="24"/>
          <w:szCs w:val="24"/>
        </w:rPr>
        <w:t xml:space="preserve">using a Drp1-inhibitor peptide </w:t>
      </w:r>
      <w:r w:rsidR="00EE62C3" w:rsidRPr="001E45BE">
        <w:rPr>
          <w:rFonts w:ascii="Times New Roman" w:hAnsi="Times New Roman" w:cs="Times New Roman"/>
          <w:sz w:val="24"/>
          <w:szCs w:val="24"/>
        </w:rPr>
        <w:t>(P11</w:t>
      </w:r>
      <w:r w:rsidR="00EE62C3">
        <w:rPr>
          <w:rFonts w:ascii="Times New Roman" w:hAnsi="Times New Roman" w:cs="Times New Roman"/>
          <w:sz w:val="24"/>
          <w:szCs w:val="24"/>
        </w:rPr>
        <w:t>0</w:t>
      </w:r>
      <w:r w:rsidR="00EE62C3" w:rsidRPr="001E45BE">
        <w:rPr>
          <w:rFonts w:ascii="Times New Roman" w:hAnsi="Times New Roman" w:cs="Times New Roman"/>
          <w:sz w:val="24"/>
          <w:szCs w:val="24"/>
        </w:rPr>
        <w:t>) under physiological (NG; 5.5mM) or elevated glucose (HG; 30.5mM) conditions</w:t>
      </w:r>
      <w:r w:rsidR="00EE62C3">
        <w:rPr>
          <w:rFonts w:ascii="Times New Roman" w:hAnsi="Times New Roman" w:cs="Times New Roman"/>
          <w:sz w:val="24"/>
          <w:szCs w:val="24"/>
        </w:rPr>
        <w:t xml:space="preserve">, and then evaluated for mitochondrial bioenergetics using Seahorse. 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Representative Seahorse assay of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metabolic flux and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metabolic potential using </w:t>
      </w:r>
      <w:r w:rsidR="00EE62C3" w:rsidRPr="00A816BB">
        <w:rPr>
          <w:rFonts w:ascii="Times New Roman" w:hAnsi="Times New Roman" w:cs="Times New Roman"/>
          <w:i/>
          <w:iCs/>
          <w:sz w:val="24"/>
          <w:szCs w:val="24"/>
        </w:rPr>
        <w:t>Cell Mito Stress Test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.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C-F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Quantification of oxygen consumption rate (OCR) indicative of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basal respiration,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ATP-linked respiration,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Maximum respiration and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metabolic potential. 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E62C3">
        <w:rPr>
          <w:rFonts w:ascii="Times New Roman" w:hAnsi="Times New Roman" w:cs="Times New Roman"/>
          <w:b/>
          <w:bCs/>
          <w:sz w:val="24"/>
          <w:szCs w:val="24"/>
        </w:rPr>
        <w:t>C-F</w:t>
      </w:r>
      <w:r w:rsidR="00EE62C3" w:rsidRPr="00A816B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E62C3" w:rsidRPr="00A816BB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38794185"/>
      <w:r w:rsidR="00EE62C3" w:rsidRPr="00A816BB">
        <w:rPr>
          <w:rFonts w:ascii="Times New Roman" w:hAnsi="Times New Roman" w:cs="Times New Roman"/>
          <w:sz w:val="24"/>
          <w:szCs w:val="24"/>
        </w:rPr>
        <w:t>N ≥ 6 technical replicates from at least 2 biological replicates per group</w:t>
      </w:r>
      <w:bookmarkEnd w:id="2"/>
      <w:r w:rsidR="00EE62C3" w:rsidRPr="00A816BB">
        <w:rPr>
          <w:rFonts w:ascii="Times New Roman" w:hAnsi="Times New Roman" w:cs="Times New Roman"/>
          <w:sz w:val="24"/>
          <w:szCs w:val="24"/>
        </w:rPr>
        <w:t>.</w:t>
      </w:r>
      <w:bookmarkStart w:id="3" w:name="_Hlk138794200"/>
      <w:r w:rsidR="00BC4E13" w:rsidRPr="00BC4E13">
        <w:rPr>
          <w:rFonts w:ascii="Times New Roman" w:hAnsi="Times New Roman" w:cs="Times New Roman"/>
          <w:sz w:val="24"/>
          <w:szCs w:val="24"/>
        </w:rPr>
        <w:t xml:space="preserve"> </w:t>
      </w:r>
      <w:r w:rsidR="00BC4E13" w:rsidRPr="00A816BB">
        <w:rPr>
          <w:rFonts w:ascii="Times New Roman" w:hAnsi="Times New Roman" w:cs="Times New Roman"/>
          <w:sz w:val="24"/>
          <w:szCs w:val="24"/>
        </w:rPr>
        <w:t>Data are presented in box-and-whisker plots. *P&lt;0.05, **P&lt;0.01. One-way ANOVA with Bonferroni’s correction for multiple comparisons.</w:t>
      </w:r>
      <w:bookmarkEnd w:id="3"/>
      <w:r w:rsidR="00BC4E13" w:rsidRPr="00A816BB">
        <w:rPr>
          <w:rFonts w:ascii="Times New Roman" w:hAnsi="Times New Roman" w:cs="Times New Roman"/>
          <w:sz w:val="24"/>
          <w:szCs w:val="24"/>
        </w:rPr>
        <w:t xml:space="preserve"> ECAR, extracellular acidification rate</w:t>
      </w:r>
      <w:r w:rsidR="00BC4E13">
        <w:rPr>
          <w:rFonts w:ascii="Times New Roman" w:hAnsi="Times New Roman" w:cs="Times New Roman"/>
          <w:sz w:val="24"/>
          <w:szCs w:val="24"/>
        </w:rPr>
        <w:t>.</w:t>
      </w:r>
    </w:p>
    <w:p w14:paraId="34AE8F39" w14:textId="77777777" w:rsidR="00A86B05" w:rsidRDefault="00A86B05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188AC5" w14:textId="77777777" w:rsidR="00A86B05" w:rsidRDefault="00A86B05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116EF" w14:textId="74C41049" w:rsidR="003C0EEC" w:rsidRDefault="00A86B05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2A913C5" wp14:editId="711164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57265" cy="4210050"/>
            <wp:effectExtent l="0" t="0" r="635" b="0"/>
            <wp:wrapThrough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hrough>
            <wp:docPr id="6" name="Picture 6" descr="A picture containing text, diagram, plan, technical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iagram, plan, technical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84"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5598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55984" w:rsidRPr="00855984">
        <w:rPr>
          <w:rFonts w:ascii="Times New Roman" w:hAnsi="Times New Roman" w:cs="Times New Roman"/>
          <w:b/>
          <w:bCs/>
          <w:sz w:val="24"/>
          <w:szCs w:val="24"/>
        </w:rPr>
        <w:t>Glycosylated N6-furfuryladenine (</w:t>
      </w:r>
      <w:r w:rsidR="00736D7F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855984" w:rsidRPr="00855984">
        <w:rPr>
          <w:rFonts w:ascii="Times New Roman" w:hAnsi="Times New Roman" w:cs="Times New Roman"/>
          <w:b/>
          <w:bCs/>
          <w:sz w:val="24"/>
          <w:szCs w:val="24"/>
        </w:rPr>
        <w:t xml:space="preserve">inetin </w:t>
      </w:r>
      <w:r w:rsidR="00736D7F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855984" w:rsidRPr="00855984">
        <w:rPr>
          <w:rFonts w:ascii="Times New Roman" w:hAnsi="Times New Roman" w:cs="Times New Roman"/>
          <w:b/>
          <w:bCs/>
          <w:sz w:val="24"/>
          <w:szCs w:val="24"/>
        </w:rPr>
        <w:t xml:space="preserve">iboside) </w:t>
      </w:r>
      <w:r w:rsidR="00855984">
        <w:rPr>
          <w:rFonts w:ascii="Times New Roman" w:hAnsi="Times New Roman" w:cs="Times New Roman"/>
          <w:b/>
          <w:bCs/>
          <w:sz w:val="24"/>
          <w:szCs w:val="24"/>
        </w:rPr>
        <w:t>but not its precursor (</w:t>
      </w:r>
      <w:r w:rsidR="00736D7F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855984">
        <w:rPr>
          <w:rFonts w:ascii="Times New Roman" w:hAnsi="Times New Roman" w:cs="Times New Roman"/>
          <w:b/>
          <w:bCs/>
          <w:sz w:val="24"/>
          <w:szCs w:val="24"/>
        </w:rPr>
        <w:t xml:space="preserve">inetin) </w:t>
      </w:r>
      <w:r w:rsidR="00E9411F">
        <w:rPr>
          <w:rFonts w:ascii="Times New Roman" w:hAnsi="Times New Roman" w:cs="Times New Roman"/>
          <w:b/>
          <w:bCs/>
          <w:sz w:val="24"/>
          <w:szCs w:val="24"/>
        </w:rPr>
        <w:t>amplifies</w:t>
      </w:r>
      <w:r w:rsidR="00855984">
        <w:rPr>
          <w:rFonts w:ascii="Times New Roman" w:hAnsi="Times New Roman" w:cs="Times New Roman"/>
          <w:b/>
          <w:bCs/>
          <w:sz w:val="24"/>
          <w:szCs w:val="24"/>
        </w:rPr>
        <w:t xml:space="preserve"> mitophagy</w:t>
      </w:r>
      <w:r w:rsidR="000D496A">
        <w:rPr>
          <w:rFonts w:ascii="Times New Roman" w:hAnsi="Times New Roman" w:cs="Times New Roman"/>
          <w:b/>
          <w:bCs/>
          <w:sz w:val="24"/>
          <w:szCs w:val="24"/>
        </w:rPr>
        <w:t xml:space="preserve"> in Muller glia</w:t>
      </w:r>
      <w:r w:rsidR="008559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496A">
        <w:rPr>
          <w:rFonts w:ascii="Times New Roman" w:hAnsi="Times New Roman" w:cs="Times New Roman"/>
          <w:b/>
          <w:bCs/>
          <w:sz w:val="24"/>
          <w:szCs w:val="24"/>
        </w:rPr>
        <w:t>independent of mitochondrial uncoupling</w:t>
      </w:r>
      <w:r w:rsidR="00E941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B5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57E2" w:rsidRPr="00F961A0">
        <w:rPr>
          <w:rFonts w:ascii="Times New Roman" w:hAnsi="Times New Roman" w:cs="Times New Roman"/>
          <w:sz w:val="24"/>
          <w:szCs w:val="24"/>
        </w:rPr>
        <w:t>Primary Müller cells isolated from mitoQC mice</w:t>
      </w:r>
      <w:r w:rsidR="004B57E2">
        <w:rPr>
          <w:rFonts w:ascii="Times New Roman" w:hAnsi="Times New Roman" w:cs="Times New Roman"/>
          <w:sz w:val="24"/>
          <w:szCs w:val="24"/>
        </w:rPr>
        <w:t xml:space="preserve"> (MitoQC PMCs) or human MIO-M1 cells were treated with putative activators of Pink1 mitophagy including</w:t>
      </w:r>
      <w:r w:rsidR="00E941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61A0" w:rsidRPr="00F961A0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F961A0" w:rsidRPr="00A816BB">
        <w:rPr>
          <w:rFonts w:ascii="Times New Roman" w:hAnsi="Times New Roman" w:cs="Times New Roman"/>
          <w:sz w:val="24"/>
          <w:szCs w:val="24"/>
        </w:rPr>
        <w:t xml:space="preserve"> kinetin and its </w:t>
      </w:r>
      <w:r w:rsidR="004B57E2">
        <w:rPr>
          <w:rFonts w:ascii="Times New Roman" w:hAnsi="Times New Roman" w:cs="Times New Roman"/>
          <w:sz w:val="24"/>
          <w:szCs w:val="24"/>
        </w:rPr>
        <w:t>glycosylated metabolite</w:t>
      </w:r>
      <w:r w:rsidR="00F961A0" w:rsidRPr="00A816BB">
        <w:rPr>
          <w:rFonts w:ascii="Times New Roman" w:hAnsi="Times New Roman" w:cs="Times New Roman"/>
          <w:sz w:val="24"/>
          <w:szCs w:val="24"/>
        </w:rPr>
        <w:t xml:space="preserve"> kinetin riboside </w:t>
      </w:r>
      <w:r w:rsidR="004B57E2">
        <w:rPr>
          <w:rFonts w:ascii="Times New Roman" w:hAnsi="Times New Roman" w:cs="Times New Roman"/>
          <w:sz w:val="24"/>
          <w:szCs w:val="24"/>
        </w:rPr>
        <w:t>(KR) or</w:t>
      </w:r>
      <w:r w:rsidR="00F961A0">
        <w:rPr>
          <w:rFonts w:ascii="Times New Roman" w:hAnsi="Times New Roman" w:cs="Times New Roman"/>
          <w:sz w:val="24"/>
          <w:szCs w:val="24"/>
        </w:rPr>
        <w:t xml:space="preserve"> </w:t>
      </w:r>
      <w:r w:rsidR="00F961A0" w:rsidRPr="00F961A0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F961A0">
        <w:rPr>
          <w:rFonts w:ascii="Times New Roman" w:hAnsi="Times New Roman" w:cs="Times New Roman"/>
          <w:sz w:val="24"/>
          <w:szCs w:val="24"/>
        </w:rPr>
        <w:t xml:space="preserve"> niclosamide</w:t>
      </w:r>
      <w:r w:rsidR="004B57E2">
        <w:rPr>
          <w:rFonts w:ascii="Times New Roman" w:hAnsi="Times New Roman" w:cs="Times New Roman"/>
          <w:sz w:val="24"/>
          <w:szCs w:val="24"/>
        </w:rPr>
        <w:t xml:space="preserve"> or</w:t>
      </w:r>
      <w:r w:rsidR="00F961A0">
        <w:rPr>
          <w:rFonts w:ascii="Times New Roman" w:hAnsi="Times New Roman" w:cs="Times New Roman"/>
          <w:sz w:val="24"/>
          <w:szCs w:val="24"/>
        </w:rPr>
        <w:t xml:space="preserve"> </w:t>
      </w:r>
      <w:r w:rsidR="00F961A0" w:rsidRPr="00F961A0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F961A0">
        <w:rPr>
          <w:rFonts w:ascii="Times New Roman" w:hAnsi="Times New Roman" w:cs="Times New Roman"/>
          <w:sz w:val="24"/>
          <w:szCs w:val="24"/>
        </w:rPr>
        <w:t xml:space="preserve"> urolithin-A (Uro-A). </w:t>
      </w:r>
      <w:r w:rsidR="00F961A0" w:rsidRPr="00F961A0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F961A0">
        <w:rPr>
          <w:rFonts w:ascii="Times New Roman" w:hAnsi="Times New Roman" w:cs="Times New Roman"/>
          <w:sz w:val="24"/>
          <w:szCs w:val="24"/>
        </w:rPr>
        <w:t xml:space="preserve"> Quantification of m</w:t>
      </w:r>
      <w:r w:rsidR="00F961A0" w:rsidRPr="00F961A0">
        <w:rPr>
          <w:rFonts w:ascii="Times New Roman" w:hAnsi="Times New Roman" w:cs="Times New Roman"/>
          <w:sz w:val="24"/>
          <w:szCs w:val="24"/>
        </w:rPr>
        <w:t xml:space="preserve">itophagy </w:t>
      </w:r>
      <w:r w:rsidR="004B57E2">
        <w:rPr>
          <w:rFonts w:ascii="Times New Roman" w:hAnsi="Times New Roman" w:cs="Times New Roman"/>
          <w:sz w:val="24"/>
          <w:szCs w:val="24"/>
        </w:rPr>
        <w:t>in MitoQC PMCs after</w:t>
      </w:r>
      <w:r w:rsidR="00E74B0D">
        <w:rPr>
          <w:rFonts w:ascii="Times New Roman" w:hAnsi="Times New Roman" w:cs="Times New Roman"/>
          <w:sz w:val="24"/>
          <w:szCs w:val="24"/>
        </w:rPr>
        <w:t xml:space="preserve"> 24h of</w:t>
      </w:r>
      <w:r w:rsidR="004B57E2">
        <w:rPr>
          <w:rFonts w:ascii="Times New Roman" w:hAnsi="Times New Roman" w:cs="Times New Roman"/>
          <w:sz w:val="24"/>
          <w:szCs w:val="24"/>
        </w:rPr>
        <w:t xml:space="preserve"> treatment. </w:t>
      </w:r>
      <w:r w:rsidR="004B57E2" w:rsidRPr="004B57E2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4B5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57E2" w:rsidRPr="00A816BB">
        <w:rPr>
          <w:rFonts w:ascii="Times New Roman" w:hAnsi="Times New Roman" w:cs="Times New Roman"/>
          <w:sz w:val="24"/>
          <w:szCs w:val="24"/>
        </w:rPr>
        <w:t xml:space="preserve">Evaluation of </w:t>
      </w:r>
      <w:r w:rsidR="000D496A">
        <w:rPr>
          <w:rFonts w:ascii="Times New Roman" w:hAnsi="Times New Roman" w:cs="Times New Roman"/>
          <w:sz w:val="24"/>
          <w:szCs w:val="24"/>
        </w:rPr>
        <w:t>mitochondrial membrane potential (</w:t>
      </w:r>
      <w:r w:rsidR="004B57E2" w:rsidRPr="00A816BB">
        <w:rPr>
          <w:rFonts w:ascii="Times New Roman" w:hAnsi="Times New Roman" w:cs="Times New Roman"/>
          <w:sz w:val="24"/>
          <w:szCs w:val="24"/>
        </w:rPr>
        <w:t>ψm</w:t>
      </w:r>
      <w:r w:rsidR="000D496A">
        <w:rPr>
          <w:rFonts w:ascii="Times New Roman" w:hAnsi="Times New Roman" w:cs="Times New Roman"/>
          <w:sz w:val="24"/>
          <w:szCs w:val="24"/>
        </w:rPr>
        <w:t>)</w:t>
      </w:r>
      <w:r w:rsidR="004B57E2" w:rsidRPr="00A816BB">
        <w:rPr>
          <w:rFonts w:ascii="Times New Roman" w:hAnsi="Times New Roman" w:cs="Times New Roman"/>
          <w:sz w:val="24"/>
          <w:szCs w:val="24"/>
        </w:rPr>
        <w:t xml:space="preserve"> by JC-1 dye (red, hyperpolarized; green, depolarized mitochondria)</w:t>
      </w:r>
      <w:r w:rsidR="004B57E2">
        <w:rPr>
          <w:rFonts w:ascii="Times New Roman" w:hAnsi="Times New Roman" w:cs="Times New Roman"/>
          <w:sz w:val="24"/>
          <w:szCs w:val="24"/>
        </w:rPr>
        <w:t xml:space="preserve"> in human MIO-M1 cells 24h after treatments</w:t>
      </w:r>
      <w:r w:rsidR="004B57E2" w:rsidRPr="00A816BB">
        <w:rPr>
          <w:rFonts w:ascii="Times New Roman" w:hAnsi="Times New Roman" w:cs="Times New Roman"/>
          <w:sz w:val="24"/>
          <w:szCs w:val="24"/>
        </w:rPr>
        <w:t>. CCCP (100 μM) was added as a mitochondrial uncoupler positive control (2 hours).</w:t>
      </w:r>
      <w:r w:rsidR="004B57E2">
        <w:rPr>
          <w:rFonts w:ascii="Times New Roman" w:hAnsi="Times New Roman" w:cs="Times New Roman"/>
          <w:sz w:val="24"/>
          <w:szCs w:val="24"/>
        </w:rPr>
        <w:t xml:space="preserve"> </w:t>
      </w:r>
      <w:r w:rsidR="004B57E2" w:rsidRPr="00A816BB">
        <w:rPr>
          <w:rFonts w:ascii="Times New Roman" w:hAnsi="Times New Roman" w:cs="Times New Roman"/>
          <w:sz w:val="24"/>
          <w:szCs w:val="24"/>
        </w:rPr>
        <w:t xml:space="preserve">N ≥ 6 technical replicates </w:t>
      </w:r>
      <w:r w:rsidR="004B57E2">
        <w:rPr>
          <w:rFonts w:ascii="Times New Roman" w:hAnsi="Times New Roman" w:cs="Times New Roman"/>
          <w:sz w:val="24"/>
          <w:szCs w:val="24"/>
        </w:rPr>
        <w:t xml:space="preserve">from </w:t>
      </w:r>
      <w:r w:rsidR="004B57E2" w:rsidRPr="00A816BB">
        <w:rPr>
          <w:rFonts w:ascii="Times New Roman" w:hAnsi="Times New Roman" w:cs="Times New Roman"/>
          <w:sz w:val="24"/>
          <w:szCs w:val="24"/>
        </w:rPr>
        <w:t>at least 2 biological replicates per group</w:t>
      </w:r>
      <w:r w:rsidR="004B57E2">
        <w:rPr>
          <w:rFonts w:ascii="Times New Roman" w:hAnsi="Times New Roman" w:cs="Times New Roman"/>
          <w:sz w:val="24"/>
          <w:szCs w:val="24"/>
        </w:rPr>
        <w:t xml:space="preserve">. </w:t>
      </w:r>
      <w:r w:rsidR="004B57E2" w:rsidRPr="00A816BB">
        <w:rPr>
          <w:rFonts w:ascii="Times New Roman" w:hAnsi="Times New Roman" w:cs="Times New Roman"/>
          <w:sz w:val="24"/>
          <w:szCs w:val="24"/>
        </w:rPr>
        <w:t xml:space="preserve">Data are presented in box-and-whisker plots. ***P&lt;0.001, ****P&lt;0.0001; </w:t>
      </w:r>
      <w:r w:rsidR="004B57E2" w:rsidRPr="00A816BB">
        <w:rPr>
          <w:rFonts w:ascii="Times New Roman" w:hAnsi="Times New Roman" w:cs="Times New Roman"/>
          <w:sz w:val="24"/>
          <w:szCs w:val="24"/>
          <w:vertAlign w:val="superscript"/>
        </w:rPr>
        <w:t>§§§</w:t>
      </w:r>
      <w:r w:rsidR="004B57E2" w:rsidRPr="00A816BB">
        <w:rPr>
          <w:rFonts w:ascii="Times New Roman" w:hAnsi="Times New Roman" w:cs="Times New Roman"/>
          <w:sz w:val="24"/>
          <w:szCs w:val="24"/>
        </w:rPr>
        <w:t>P&lt;0.001 (</w:t>
      </w:r>
      <w:r w:rsidR="00736D7F">
        <w:rPr>
          <w:rFonts w:ascii="Times New Roman" w:hAnsi="Times New Roman" w:cs="Times New Roman"/>
          <w:sz w:val="24"/>
          <w:szCs w:val="24"/>
        </w:rPr>
        <w:t>n</w:t>
      </w:r>
      <w:r w:rsidR="004B57E2" w:rsidRPr="00A816BB">
        <w:rPr>
          <w:rFonts w:ascii="Times New Roman" w:hAnsi="Times New Roman" w:cs="Times New Roman"/>
          <w:sz w:val="24"/>
          <w:szCs w:val="24"/>
        </w:rPr>
        <w:t xml:space="preserve">iclosamide or Uro-A compared with </w:t>
      </w:r>
      <w:r w:rsidR="00950735">
        <w:rPr>
          <w:rFonts w:ascii="Times New Roman" w:hAnsi="Times New Roman" w:cs="Times New Roman"/>
          <w:sz w:val="24"/>
          <w:szCs w:val="24"/>
        </w:rPr>
        <w:t xml:space="preserve">untreated </w:t>
      </w:r>
      <w:r w:rsidR="004B57E2" w:rsidRPr="00A816BB">
        <w:rPr>
          <w:rFonts w:ascii="Times New Roman" w:hAnsi="Times New Roman" w:cs="Times New Roman"/>
          <w:sz w:val="24"/>
          <w:szCs w:val="24"/>
        </w:rPr>
        <w:t>control</w:t>
      </w:r>
      <w:r w:rsidR="00950735">
        <w:rPr>
          <w:rFonts w:ascii="Times New Roman" w:hAnsi="Times New Roman" w:cs="Times New Roman"/>
          <w:sz w:val="24"/>
          <w:szCs w:val="24"/>
        </w:rPr>
        <w:t>s</w:t>
      </w:r>
      <w:r w:rsidR="004B57E2" w:rsidRPr="00A816BB">
        <w:rPr>
          <w:rFonts w:ascii="Times New Roman" w:hAnsi="Times New Roman" w:cs="Times New Roman"/>
          <w:sz w:val="24"/>
          <w:szCs w:val="24"/>
        </w:rPr>
        <w:t>). One-way ANOVA with Dunnett’s multiple comparisons.</w:t>
      </w:r>
    </w:p>
    <w:p w14:paraId="59A2D657" w14:textId="5705BF57" w:rsidR="00E0706B" w:rsidRDefault="00E0706B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A507D" w14:textId="6771B6B6" w:rsidR="00E0706B" w:rsidRDefault="00E0706B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DCC19" w14:textId="4EC7D54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34DDBA2" wp14:editId="26B0F4F2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4409440" cy="4183380"/>
            <wp:effectExtent l="0" t="0" r="0" b="7620"/>
            <wp:wrapThrough wrapText="bothSides">
              <wp:wrapPolygon edited="0">
                <wp:start x="0" y="0"/>
                <wp:lineTo x="0" y="21541"/>
                <wp:lineTo x="21463" y="21541"/>
                <wp:lineTo x="2146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08B21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83131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87D81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88C25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D1897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9650B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C6839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60381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39DE0" w14:textId="77777777" w:rsidR="0063391D" w:rsidRDefault="0063391D" w:rsidP="00E0706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D4786" w14:textId="5B4FEC94" w:rsidR="00EC3269" w:rsidRPr="00A816BB" w:rsidRDefault="00E0706B" w:rsidP="00EC326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 xml:space="preserve">Kinetin </w:t>
      </w:r>
      <w:r w:rsidR="00736D7F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>iboside but not its precursor (</w:t>
      </w:r>
      <w:r w:rsidR="00736D7F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>inetin) rescues mitochondrial</w:t>
      </w:r>
      <w:r w:rsidR="0063391D">
        <w:rPr>
          <w:rFonts w:ascii="Times New Roman" w:hAnsi="Times New Roman" w:cs="Times New Roman"/>
          <w:b/>
          <w:bCs/>
          <w:sz w:val="24"/>
          <w:szCs w:val="24"/>
        </w:rPr>
        <w:t xml:space="preserve"> biogenesis machinery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 xml:space="preserve"> in</w:t>
      </w:r>
      <w:r w:rsidR="00CF7F5C">
        <w:rPr>
          <w:rFonts w:ascii="Times New Roman" w:hAnsi="Times New Roman" w:cs="Times New Roman"/>
          <w:b/>
          <w:bCs/>
          <w:sz w:val="24"/>
          <w:szCs w:val="24"/>
        </w:rPr>
        <w:t xml:space="preserve"> Muller glia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7F5C">
        <w:rPr>
          <w:rFonts w:ascii="Times New Roman" w:hAnsi="Times New Roman" w:cs="Times New Roman"/>
          <w:b/>
          <w:bCs/>
          <w:sz w:val="24"/>
          <w:szCs w:val="24"/>
        </w:rPr>
        <w:t>under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 xml:space="preserve"> diabetes-</w:t>
      </w:r>
      <w:r w:rsidR="0063391D">
        <w:rPr>
          <w:rFonts w:ascii="Times New Roman" w:hAnsi="Times New Roman" w:cs="Times New Roman"/>
          <w:b/>
          <w:bCs/>
          <w:sz w:val="24"/>
          <w:szCs w:val="24"/>
        </w:rPr>
        <w:t>mitochondrial</w:t>
      </w:r>
      <w:r w:rsidR="0063391D" w:rsidRPr="0063391D">
        <w:rPr>
          <w:rFonts w:ascii="Times New Roman" w:hAnsi="Times New Roman" w:cs="Times New Roman"/>
          <w:b/>
          <w:bCs/>
          <w:sz w:val="24"/>
          <w:szCs w:val="24"/>
        </w:rPr>
        <w:t xml:space="preserve"> hyperfusion</w:t>
      </w:r>
      <w:r w:rsidR="006339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3391D" w:rsidRPr="0063391D">
        <w:rPr>
          <w:rFonts w:ascii="Times New Roman" w:hAnsi="Times New Roman" w:cs="Times New Roman"/>
          <w:sz w:val="24"/>
          <w:szCs w:val="24"/>
        </w:rPr>
        <w:t xml:space="preserve"> </w:t>
      </w:r>
      <w:r w:rsidR="0063391D">
        <w:rPr>
          <w:rFonts w:ascii="Times New Roman" w:hAnsi="Times New Roman" w:cs="Times New Roman"/>
          <w:sz w:val="24"/>
          <w:szCs w:val="24"/>
        </w:rPr>
        <w:t xml:space="preserve">Human MIO-M1 cells were antagonized for mitochondrial fission (P110 peptide) under elevated glucose (HG; 30.5mM) conditions, and treated with different concentrations of </w:t>
      </w:r>
      <w:r w:rsidR="00736D7F">
        <w:rPr>
          <w:rFonts w:ascii="Times New Roman" w:hAnsi="Times New Roman" w:cs="Times New Roman"/>
          <w:sz w:val="24"/>
          <w:szCs w:val="24"/>
        </w:rPr>
        <w:t>k</w:t>
      </w:r>
      <w:r w:rsidR="0063391D">
        <w:rPr>
          <w:rFonts w:ascii="Times New Roman" w:hAnsi="Times New Roman" w:cs="Times New Roman"/>
          <w:sz w:val="24"/>
          <w:szCs w:val="24"/>
        </w:rPr>
        <w:t xml:space="preserve">inetin, </w:t>
      </w:r>
      <w:r w:rsidR="00736D7F">
        <w:rPr>
          <w:rFonts w:ascii="Times New Roman" w:hAnsi="Times New Roman" w:cs="Times New Roman"/>
          <w:sz w:val="24"/>
          <w:szCs w:val="24"/>
        </w:rPr>
        <w:t>k</w:t>
      </w:r>
      <w:r w:rsidR="0063391D">
        <w:rPr>
          <w:rFonts w:ascii="Times New Roman" w:hAnsi="Times New Roman" w:cs="Times New Roman"/>
          <w:sz w:val="24"/>
          <w:szCs w:val="24"/>
        </w:rPr>
        <w:t xml:space="preserve">inetin </w:t>
      </w:r>
      <w:r w:rsidR="00736D7F">
        <w:rPr>
          <w:rFonts w:ascii="Times New Roman" w:hAnsi="Times New Roman" w:cs="Times New Roman"/>
          <w:sz w:val="24"/>
          <w:szCs w:val="24"/>
        </w:rPr>
        <w:t>r</w:t>
      </w:r>
      <w:r w:rsidR="0063391D">
        <w:rPr>
          <w:rFonts w:ascii="Times New Roman" w:hAnsi="Times New Roman" w:cs="Times New Roman"/>
          <w:sz w:val="24"/>
          <w:szCs w:val="24"/>
        </w:rPr>
        <w:t xml:space="preserve">iboside (KR), </w:t>
      </w:r>
      <w:r w:rsidR="00736D7F">
        <w:rPr>
          <w:rFonts w:ascii="Times New Roman" w:hAnsi="Times New Roman" w:cs="Times New Roman"/>
          <w:sz w:val="24"/>
          <w:szCs w:val="24"/>
        </w:rPr>
        <w:t>n</w:t>
      </w:r>
      <w:r w:rsidR="0063391D">
        <w:rPr>
          <w:rFonts w:ascii="Times New Roman" w:hAnsi="Times New Roman" w:cs="Times New Roman"/>
          <w:sz w:val="24"/>
          <w:szCs w:val="24"/>
        </w:rPr>
        <w:t xml:space="preserve">iclosamide, </w:t>
      </w:r>
      <w:r w:rsidR="00736D7F">
        <w:rPr>
          <w:rFonts w:ascii="Times New Roman" w:hAnsi="Times New Roman" w:cs="Times New Roman"/>
          <w:sz w:val="24"/>
          <w:szCs w:val="24"/>
        </w:rPr>
        <w:t>u</w:t>
      </w:r>
      <w:r w:rsidR="0063391D">
        <w:rPr>
          <w:rFonts w:ascii="Times New Roman" w:hAnsi="Times New Roman" w:cs="Times New Roman"/>
          <w:sz w:val="24"/>
          <w:szCs w:val="24"/>
        </w:rPr>
        <w:t xml:space="preserve">rolithin-A (Uro-A) or DMSO control (0.1%). </w:t>
      </w:r>
      <w:r w:rsidR="0063391D" w:rsidRPr="00A816BB">
        <w:rPr>
          <w:rFonts w:ascii="Times New Roman" w:hAnsi="Times New Roman" w:cs="Times New Roman"/>
          <w:sz w:val="24"/>
          <w:szCs w:val="24"/>
        </w:rPr>
        <w:t>Following treatment</w:t>
      </w:r>
      <w:r w:rsidR="0063391D">
        <w:rPr>
          <w:rFonts w:ascii="Times New Roman" w:hAnsi="Times New Roman" w:cs="Times New Roman"/>
          <w:sz w:val="24"/>
          <w:szCs w:val="24"/>
        </w:rPr>
        <w:t>, the expression levels of mitochondrial biogenesis adaptor TFAM</w:t>
      </w:r>
      <w:r w:rsidR="0063391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3391D">
        <w:rPr>
          <w:rFonts w:ascii="Times New Roman" w:hAnsi="Times New Roman" w:cs="Times New Roman"/>
          <w:sz w:val="24"/>
          <w:szCs w:val="24"/>
        </w:rPr>
        <w:t xml:space="preserve">was evaluated by immunocytochemistry. </w:t>
      </w:r>
      <w:r w:rsidR="0063391D" w:rsidRPr="00A816BB">
        <w:rPr>
          <w:rFonts w:ascii="Times New Roman" w:hAnsi="Times New Roman" w:cs="Times New Roman"/>
          <w:sz w:val="24"/>
          <w:szCs w:val="24"/>
        </w:rPr>
        <w:t xml:space="preserve">N ≥ 6 technical replicates </w:t>
      </w:r>
      <w:r w:rsidR="0063391D">
        <w:rPr>
          <w:rFonts w:ascii="Times New Roman" w:hAnsi="Times New Roman" w:cs="Times New Roman"/>
          <w:sz w:val="24"/>
          <w:szCs w:val="24"/>
        </w:rPr>
        <w:t xml:space="preserve">from </w:t>
      </w:r>
      <w:r w:rsidR="0063391D" w:rsidRPr="00A816BB">
        <w:rPr>
          <w:rFonts w:ascii="Times New Roman" w:hAnsi="Times New Roman" w:cs="Times New Roman"/>
          <w:sz w:val="24"/>
          <w:szCs w:val="24"/>
        </w:rPr>
        <w:t>at least 2 biological replicates per group</w:t>
      </w:r>
      <w:r w:rsidR="0063391D">
        <w:rPr>
          <w:rFonts w:ascii="Times New Roman" w:hAnsi="Times New Roman" w:cs="Times New Roman"/>
          <w:sz w:val="24"/>
          <w:szCs w:val="24"/>
        </w:rPr>
        <w:t xml:space="preserve">. </w:t>
      </w:r>
      <w:r w:rsidR="0063391D" w:rsidRPr="00A816BB">
        <w:rPr>
          <w:rFonts w:ascii="Times New Roman" w:hAnsi="Times New Roman" w:cs="Times New Roman"/>
          <w:sz w:val="24"/>
          <w:szCs w:val="24"/>
        </w:rPr>
        <w:t xml:space="preserve">Data are presented in box-and-whisker plots. *P&lt;0.001, ****P&lt;0.0001; </w:t>
      </w:r>
      <w:r w:rsidR="0063391D" w:rsidRPr="00A816BB">
        <w:rPr>
          <w:rFonts w:ascii="Times New Roman" w:hAnsi="Times New Roman" w:cs="Times New Roman"/>
          <w:sz w:val="24"/>
          <w:szCs w:val="24"/>
          <w:vertAlign w:val="superscript"/>
        </w:rPr>
        <w:t>§§§</w:t>
      </w:r>
      <w:r w:rsidR="0063391D" w:rsidRPr="00A816BB">
        <w:rPr>
          <w:rFonts w:ascii="Times New Roman" w:hAnsi="Times New Roman" w:cs="Times New Roman"/>
          <w:sz w:val="24"/>
          <w:szCs w:val="24"/>
        </w:rPr>
        <w:t>P&lt;0.001 (</w:t>
      </w:r>
      <w:r w:rsidR="00736D7F">
        <w:rPr>
          <w:rFonts w:ascii="Times New Roman" w:hAnsi="Times New Roman" w:cs="Times New Roman"/>
          <w:sz w:val="24"/>
          <w:szCs w:val="24"/>
        </w:rPr>
        <w:t>n</w:t>
      </w:r>
      <w:r w:rsidR="0063391D" w:rsidRPr="00A816BB">
        <w:rPr>
          <w:rFonts w:ascii="Times New Roman" w:hAnsi="Times New Roman" w:cs="Times New Roman"/>
          <w:sz w:val="24"/>
          <w:szCs w:val="24"/>
        </w:rPr>
        <w:t xml:space="preserve">iclosamide compared with </w:t>
      </w:r>
      <w:r w:rsidR="00EC3269">
        <w:rPr>
          <w:rFonts w:ascii="Times New Roman" w:hAnsi="Times New Roman" w:cs="Times New Roman"/>
          <w:sz w:val="24"/>
          <w:szCs w:val="24"/>
        </w:rPr>
        <w:t>vehicle-control</w:t>
      </w:r>
      <w:r w:rsidR="0063391D" w:rsidRPr="00A816BB">
        <w:rPr>
          <w:rFonts w:ascii="Times New Roman" w:hAnsi="Times New Roman" w:cs="Times New Roman"/>
          <w:sz w:val="24"/>
          <w:szCs w:val="24"/>
        </w:rPr>
        <w:t>). One-way ANOVA with Dunnett’s multiple comparisons.</w:t>
      </w:r>
      <w:r w:rsidR="00EC3269" w:rsidRPr="00EC3269">
        <w:rPr>
          <w:rFonts w:ascii="Times New Roman" w:hAnsi="Times New Roman" w:cs="Times New Roman"/>
          <w:sz w:val="24"/>
          <w:szCs w:val="24"/>
        </w:rPr>
        <w:t xml:space="preserve"> </w:t>
      </w:r>
      <w:r w:rsidR="00EC3269" w:rsidRPr="00A816BB">
        <w:rPr>
          <w:rFonts w:ascii="Times New Roman" w:hAnsi="Times New Roman" w:cs="Times New Roman"/>
          <w:sz w:val="24"/>
          <w:szCs w:val="24"/>
        </w:rPr>
        <w:t>TFAM, mitochondrial transcription factor A. Scale bar:</w:t>
      </w:r>
      <w:r w:rsidR="00C416E8">
        <w:rPr>
          <w:rFonts w:ascii="Times New Roman" w:hAnsi="Times New Roman" w:cs="Times New Roman"/>
          <w:sz w:val="24"/>
          <w:szCs w:val="24"/>
        </w:rPr>
        <w:t xml:space="preserve"> </w:t>
      </w:r>
      <w:r w:rsidR="003607CF">
        <w:rPr>
          <w:rFonts w:ascii="Times New Roman" w:hAnsi="Times New Roman" w:cs="Times New Roman"/>
          <w:sz w:val="24"/>
          <w:szCs w:val="24"/>
        </w:rPr>
        <w:t>20 µm</w:t>
      </w:r>
      <w:r w:rsidR="00C416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FD1876" w14:textId="22A063DA" w:rsidR="00E0706B" w:rsidRDefault="00E0706B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7362A" w14:textId="7B85AF16" w:rsidR="00E0706B" w:rsidRDefault="00E0706B" w:rsidP="00EE62C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0DF86" w14:textId="77777777" w:rsidR="00E0706B" w:rsidRDefault="00E0706B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C23A9BF" wp14:editId="69E16DC4">
            <wp:simplePos x="0" y="0"/>
            <wp:positionH relativeFrom="margin">
              <wp:posOffset>-137160</wp:posOffset>
            </wp:positionH>
            <wp:positionV relativeFrom="paragraph">
              <wp:posOffset>0</wp:posOffset>
            </wp:positionV>
            <wp:extent cx="6114415" cy="2134235"/>
            <wp:effectExtent l="0" t="0" r="635" b="0"/>
            <wp:wrapThrough wrapText="bothSides">
              <wp:wrapPolygon edited="0">
                <wp:start x="0" y="0"/>
                <wp:lineTo x="0" y="21401"/>
                <wp:lineTo x="21535" y="21401"/>
                <wp:lineTo x="2153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EA63E" w14:textId="71767C62" w:rsidR="00E0706B" w:rsidRPr="00A816BB" w:rsidRDefault="00E0706B" w:rsidP="00E070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71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 </w:t>
      </w:r>
      <w:r w:rsidR="005F5041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0706B">
        <w:rPr>
          <w:rFonts w:ascii="Times New Roman" w:hAnsi="Times New Roman" w:cs="Times New Roman"/>
          <w:b/>
          <w:bCs/>
          <w:sz w:val="24"/>
          <w:szCs w:val="24"/>
        </w:rPr>
        <w:t xml:space="preserve">Kinetin </w:t>
      </w:r>
      <w:r w:rsidR="00736D7F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E0706B">
        <w:rPr>
          <w:rFonts w:ascii="Times New Roman" w:hAnsi="Times New Roman" w:cs="Times New Roman"/>
          <w:b/>
          <w:bCs/>
          <w:sz w:val="24"/>
          <w:szCs w:val="24"/>
        </w:rPr>
        <w:t xml:space="preserve">iboside (KR) rescues mitochondrial </w:t>
      </w:r>
      <w:r>
        <w:rPr>
          <w:rFonts w:ascii="Times New Roman" w:hAnsi="Times New Roman" w:cs="Times New Roman"/>
          <w:b/>
          <w:bCs/>
          <w:sz w:val="24"/>
          <w:szCs w:val="24"/>
        </w:rPr>
        <w:t>biogenesis nucleoids</w:t>
      </w:r>
      <w:r w:rsidRPr="00E0706B">
        <w:rPr>
          <w:rFonts w:ascii="Times New Roman" w:hAnsi="Times New Roman" w:cs="Times New Roman"/>
          <w:b/>
          <w:bCs/>
          <w:sz w:val="24"/>
          <w:szCs w:val="24"/>
        </w:rPr>
        <w:t xml:space="preserve"> in diabetic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Ins2</w:t>
      </w:r>
      <w:r w:rsidRPr="00E0706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Akita</w:t>
      </w:r>
      <w:r w:rsidRPr="00E0706B">
        <w:rPr>
          <w:rFonts w:ascii="Times New Roman" w:hAnsi="Times New Roman" w:cs="Times New Roman"/>
          <w:b/>
          <w:bCs/>
          <w:sz w:val="24"/>
          <w:szCs w:val="24"/>
        </w:rPr>
        <w:t xml:space="preserve"> retina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s. </w:t>
      </w:r>
      <w:r w:rsidRPr="00A816BB">
        <w:rPr>
          <w:rFonts w:ascii="Times New Roman" w:hAnsi="Times New Roman" w:cs="Times New Roman"/>
          <w:sz w:val="24"/>
          <w:szCs w:val="24"/>
        </w:rPr>
        <w:t>KR (60 mg/L) or DMSO vehicle-control (0.1%) was supplemented in the drinking water from 4-months to 8-months of diabetes in Ins2</w:t>
      </w:r>
      <w:r w:rsidRPr="00A816BB">
        <w:rPr>
          <w:rFonts w:ascii="Times New Roman" w:hAnsi="Times New Roman" w:cs="Times New Roman"/>
          <w:sz w:val="24"/>
          <w:szCs w:val="24"/>
          <w:vertAlign w:val="superscript"/>
        </w:rPr>
        <w:t xml:space="preserve">Akita </w:t>
      </w:r>
      <w:r w:rsidRPr="00A816BB">
        <w:rPr>
          <w:rFonts w:ascii="Times New Roman" w:hAnsi="Times New Roman" w:cs="Times New Roman"/>
          <w:sz w:val="24"/>
          <w:szCs w:val="24"/>
        </w:rPr>
        <w:t>mice. Following treatment</w:t>
      </w:r>
      <w:r>
        <w:rPr>
          <w:rFonts w:ascii="Times New Roman" w:hAnsi="Times New Roman" w:cs="Times New Roman"/>
          <w:sz w:val="24"/>
          <w:szCs w:val="24"/>
        </w:rPr>
        <w:t>, the density of TFAM</w:t>
      </w:r>
      <w:r w:rsidRPr="00E0706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mitochondrial nucleoids at the outer retina (arrowheads) was evaluated via immunohistochemistry</w:t>
      </w:r>
      <w:r w:rsidR="00D722AE">
        <w:rPr>
          <w:rFonts w:ascii="Times New Roman" w:hAnsi="Times New Roman" w:cs="Times New Roman"/>
          <w:sz w:val="24"/>
          <w:szCs w:val="24"/>
        </w:rPr>
        <w:t xml:space="preserve"> and compared between diabetic and non-diabetic (WT) age-matched groups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4" w:name="_Hlk138786758"/>
      <w:r w:rsidRPr="00A816BB">
        <w:rPr>
          <w:rFonts w:ascii="Times New Roman" w:hAnsi="Times New Roman" w:cs="Times New Roman"/>
          <w:sz w:val="24"/>
          <w:szCs w:val="24"/>
        </w:rPr>
        <w:t>N ≥ 4, eyes/strain and condition</w:t>
      </w:r>
      <w:bookmarkEnd w:id="4"/>
      <w:r w:rsidRPr="00A816BB">
        <w:rPr>
          <w:rFonts w:ascii="Times New Roman" w:hAnsi="Times New Roman" w:cs="Times New Roman"/>
          <w:sz w:val="24"/>
          <w:szCs w:val="24"/>
        </w:rPr>
        <w:t xml:space="preserve">. *P&lt;0.05, ****P&lt;0.0001. One-way ANOVA with Dunnett’s multiple comparison. </w:t>
      </w:r>
      <w:bookmarkStart w:id="5" w:name="_Hlk138786438"/>
      <w:r w:rsidRPr="00A816BB">
        <w:rPr>
          <w:rFonts w:ascii="Times New Roman" w:hAnsi="Times New Roman" w:cs="Times New Roman"/>
          <w:sz w:val="24"/>
          <w:szCs w:val="24"/>
        </w:rPr>
        <w:t>IS, photoreceptor inner segments, ONL, outer nuclear layer; OPL, outer plexiform layer</w:t>
      </w:r>
      <w:r w:rsidR="00D722AE">
        <w:rPr>
          <w:rFonts w:ascii="Times New Roman" w:hAnsi="Times New Roman" w:cs="Times New Roman"/>
          <w:sz w:val="24"/>
          <w:szCs w:val="24"/>
        </w:rPr>
        <w:t xml:space="preserve">, TFAM, </w:t>
      </w:r>
      <w:r w:rsidR="00D722AE" w:rsidRPr="00A816BB">
        <w:rPr>
          <w:rFonts w:ascii="Times New Roman" w:hAnsi="Times New Roman" w:cs="Times New Roman"/>
          <w:sz w:val="24"/>
          <w:szCs w:val="24"/>
        </w:rPr>
        <w:t>mitochondrial transcription factor A</w:t>
      </w:r>
      <w:r w:rsidR="00D722AE">
        <w:rPr>
          <w:rFonts w:ascii="Times New Roman" w:hAnsi="Times New Roman" w:cs="Times New Roman"/>
          <w:sz w:val="24"/>
          <w:szCs w:val="24"/>
        </w:rPr>
        <w:t>.</w:t>
      </w:r>
      <w:r w:rsidR="00D722AE" w:rsidRPr="00A816BB">
        <w:rPr>
          <w:rFonts w:ascii="Times New Roman" w:hAnsi="Times New Roman" w:cs="Times New Roman"/>
          <w:sz w:val="24"/>
          <w:szCs w:val="24"/>
        </w:rPr>
        <w:t xml:space="preserve"> </w:t>
      </w:r>
      <w:r w:rsidRPr="00A816BB">
        <w:rPr>
          <w:rFonts w:ascii="Times New Roman" w:hAnsi="Times New Roman" w:cs="Times New Roman"/>
          <w:sz w:val="24"/>
          <w:szCs w:val="24"/>
        </w:rPr>
        <w:t>Scale bar:</w:t>
      </w:r>
      <w:r w:rsidR="003607CF">
        <w:rPr>
          <w:rFonts w:ascii="Times New Roman" w:hAnsi="Times New Roman" w:cs="Times New Roman"/>
          <w:sz w:val="24"/>
          <w:szCs w:val="24"/>
        </w:rPr>
        <w:t xml:space="preserve"> 40 µm. </w:t>
      </w:r>
      <w:r w:rsidRPr="00A816BB">
        <w:rPr>
          <w:rFonts w:ascii="Times New Roman" w:hAnsi="Times New Roman" w:cs="Times New Roman"/>
          <w:sz w:val="24"/>
          <w:szCs w:val="24"/>
        </w:rPr>
        <w:t xml:space="preserve">    </w:t>
      </w:r>
    </w:p>
    <w:bookmarkEnd w:id="5"/>
    <w:p w14:paraId="7C5173BA" w14:textId="1D605750" w:rsidR="00E0706B" w:rsidRDefault="00E0706B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26CF6" w14:textId="3C1AC520" w:rsidR="00AD379C" w:rsidRDefault="00AD379C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93975" w14:textId="7EEE3FBA" w:rsidR="00AD379C" w:rsidRDefault="00AD379C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FB6F0" w14:textId="16E9CC1D" w:rsidR="00AD379C" w:rsidRDefault="00AD379C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82D7C" w14:textId="4605A352" w:rsidR="00AD379C" w:rsidRDefault="00AD379C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57603F" w14:textId="70143A75" w:rsidR="00AD379C" w:rsidRDefault="00AD379C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95867" w14:textId="4EF16526" w:rsidR="00AD379C" w:rsidRDefault="00AD379C" w:rsidP="00EE62C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234DB" w14:textId="138551C6" w:rsidR="00AD379C" w:rsidRDefault="00AD379C" w:rsidP="00AD379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379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Table </w:t>
      </w:r>
      <w:r w:rsidR="0086281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D379C">
        <w:rPr>
          <w:rFonts w:ascii="Times New Roman" w:hAnsi="Times New Roman" w:cs="Times New Roman"/>
          <w:b/>
          <w:bCs/>
          <w:sz w:val="24"/>
          <w:szCs w:val="24"/>
        </w:rPr>
        <w:t>. Primary antibodies used for western blot (WB),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379C">
        <w:rPr>
          <w:rFonts w:ascii="Times New Roman" w:hAnsi="Times New Roman" w:cs="Times New Roman"/>
          <w:b/>
          <w:bCs/>
          <w:sz w:val="24"/>
          <w:szCs w:val="24"/>
        </w:rPr>
        <w:t>immunohistochemistry (IHC) and immunocytochemistry (IC)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B8BBCD4" w14:textId="1AD7F619" w:rsidR="00AD379C" w:rsidRDefault="00AD379C" w:rsidP="00AD379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2551"/>
        <w:gridCol w:w="3140"/>
      </w:tblGrid>
      <w:tr w:rsidR="00AD379C" w14:paraId="140194C4" w14:textId="77777777" w:rsidTr="00280120">
        <w:tc>
          <w:tcPr>
            <w:tcW w:w="2263" w:type="dxa"/>
          </w:tcPr>
          <w:p w14:paraId="49F6EC95" w14:textId="2DBF0F28" w:rsidR="00AD379C" w:rsidRDefault="00AD379C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Antigen</w:t>
            </w:r>
          </w:p>
        </w:tc>
        <w:tc>
          <w:tcPr>
            <w:tcW w:w="1560" w:type="dxa"/>
          </w:tcPr>
          <w:p w14:paraId="311194D1" w14:textId="77777777" w:rsidR="00AD379C" w:rsidRDefault="00AD379C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Antiserum</w:t>
            </w:r>
          </w:p>
          <w:p w14:paraId="20DEF296" w14:textId="6F6C8EFC" w:rsidR="00AD379C" w:rsidRDefault="00AD379C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(Host)</w:t>
            </w:r>
          </w:p>
        </w:tc>
        <w:tc>
          <w:tcPr>
            <w:tcW w:w="2551" w:type="dxa"/>
          </w:tcPr>
          <w:p w14:paraId="240D31E5" w14:textId="363CF92B" w:rsidR="00AD379C" w:rsidRDefault="00AD379C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Dilution</w:t>
            </w:r>
          </w:p>
        </w:tc>
        <w:tc>
          <w:tcPr>
            <w:tcW w:w="3140" w:type="dxa"/>
          </w:tcPr>
          <w:p w14:paraId="293FEA05" w14:textId="269BEB48" w:rsidR="00AD379C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 (catalogue number)</w:t>
            </w:r>
          </w:p>
        </w:tc>
      </w:tr>
      <w:tr w:rsidR="00280120" w14:paraId="435E00B6" w14:textId="77777777" w:rsidTr="00280120">
        <w:trPr>
          <w:trHeight w:val="481"/>
        </w:trPr>
        <w:tc>
          <w:tcPr>
            <w:tcW w:w="2263" w:type="dxa"/>
          </w:tcPr>
          <w:p w14:paraId="588E8131" w14:textId="4CCC14A2" w:rsidR="00280120" w:rsidRP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ATP Synthase (beta)</w:t>
            </w:r>
          </w:p>
        </w:tc>
        <w:tc>
          <w:tcPr>
            <w:tcW w:w="1560" w:type="dxa"/>
          </w:tcPr>
          <w:p w14:paraId="6DFF130F" w14:textId="228BC2A0" w:rsidR="00280120" w:rsidRP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mouse</w:t>
            </w:r>
          </w:p>
        </w:tc>
        <w:tc>
          <w:tcPr>
            <w:tcW w:w="2551" w:type="dxa"/>
          </w:tcPr>
          <w:p w14:paraId="6D8B139E" w14:textId="5E75ECD2" w:rsidR="00280120" w:rsidRP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WB</w:t>
            </w: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40" w:type="dxa"/>
          </w:tcPr>
          <w:p w14:paraId="0B7C8744" w14:textId="5DA523E2" w:rsidR="00280120" w:rsidRP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Thermo (A-21351)</w:t>
            </w:r>
          </w:p>
        </w:tc>
      </w:tr>
      <w:tr w:rsidR="00280120" w14:paraId="6C1F5774" w14:textId="77777777" w:rsidTr="00280120">
        <w:trPr>
          <w:trHeight w:val="481"/>
        </w:trPr>
        <w:tc>
          <w:tcPr>
            <w:tcW w:w="2263" w:type="dxa"/>
          </w:tcPr>
          <w:p w14:paraId="5ABE8721" w14:textId="34277005" w:rsidR="00280120" w:rsidRP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β-actin</w:t>
            </w:r>
          </w:p>
        </w:tc>
        <w:tc>
          <w:tcPr>
            <w:tcW w:w="1560" w:type="dxa"/>
          </w:tcPr>
          <w:p w14:paraId="5A52D481" w14:textId="3B11C820" w:rsid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mouse</w:t>
            </w:r>
          </w:p>
        </w:tc>
        <w:tc>
          <w:tcPr>
            <w:tcW w:w="2551" w:type="dxa"/>
          </w:tcPr>
          <w:p w14:paraId="36AF38B3" w14:textId="3C947D34" w:rsid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WB)</w:t>
            </w:r>
          </w:p>
        </w:tc>
        <w:tc>
          <w:tcPr>
            <w:tcW w:w="3140" w:type="dxa"/>
          </w:tcPr>
          <w:p w14:paraId="7B1EEAB7" w14:textId="6B401F37" w:rsidR="00280120" w:rsidRPr="00280120" w:rsidRDefault="00280120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120">
              <w:rPr>
                <w:rFonts w:ascii="Times New Roman" w:hAnsi="Times New Roman" w:cs="Times New Roman"/>
                <w:sz w:val="24"/>
                <w:szCs w:val="24"/>
              </w:rPr>
              <w:t>Santa Cruz (sc-47778)</w:t>
            </w:r>
          </w:p>
        </w:tc>
      </w:tr>
      <w:tr w:rsidR="00280120" w14:paraId="56373F78" w14:textId="77777777" w:rsidTr="00280120">
        <w:trPr>
          <w:trHeight w:val="481"/>
        </w:trPr>
        <w:tc>
          <w:tcPr>
            <w:tcW w:w="2263" w:type="dxa"/>
          </w:tcPr>
          <w:p w14:paraId="13C81398" w14:textId="12877ACE" w:rsidR="00280120" w:rsidRPr="00407CCA" w:rsidRDefault="006D325A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β-III tubulin</w:t>
            </w:r>
          </w:p>
        </w:tc>
        <w:tc>
          <w:tcPr>
            <w:tcW w:w="1560" w:type="dxa"/>
          </w:tcPr>
          <w:p w14:paraId="7DA471BA" w14:textId="181EC3D9" w:rsidR="00280120" w:rsidRPr="00407CCA" w:rsidRDefault="006D325A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28ABDFA9" w14:textId="329C7CB4" w:rsidR="00280120" w:rsidRPr="00407CCA" w:rsidRDefault="00E81E01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(IC)</w:t>
            </w:r>
          </w:p>
        </w:tc>
        <w:tc>
          <w:tcPr>
            <w:tcW w:w="3140" w:type="dxa"/>
          </w:tcPr>
          <w:p w14:paraId="64B0303B" w14:textId="07FEB741" w:rsidR="00280120" w:rsidRPr="00407CCA" w:rsidRDefault="001E6303" w:rsidP="00AD37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Abcam (</w:t>
            </w:r>
            <w:r w:rsidR="00940610" w:rsidRPr="00407CCA">
              <w:rPr>
                <w:rFonts w:ascii="Times New Roman" w:hAnsi="Times New Roman" w:cs="Times New Roman"/>
                <w:sz w:val="24"/>
                <w:szCs w:val="24"/>
              </w:rPr>
              <w:t>ab18207</w:t>
            </w: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D325A" w14:paraId="07647E42" w14:textId="77777777" w:rsidTr="00280120">
        <w:trPr>
          <w:trHeight w:val="481"/>
        </w:trPr>
        <w:tc>
          <w:tcPr>
            <w:tcW w:w="2263" w:type="dxa"/>
          </w:tcPr>
          <w:p w14:paraId="208AB7FC" w14:textId="3FBEB608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Calbindin</w:t>
            </w:r>
          </w:p>
        </w:tc>
        <w:tc>
          <w:tcPr>
            <w:tcW w:w="1560" w:type="dxa"/>
          </w:tcPr>
          <w:p w14:paraId="04C10CC7" w14:textId="125A2F05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7D13D3AE" w14:textId="6347AD92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1:1000 (IHC)</w:t>
            </w:r>
          </w:p>
        </w:tc>
        <w:tc>
          <w:tcPr>
            <w:tcW w:w="3140" w:type="dxa"/>
          </w:tcPr>
          <w:p w14:paraId="7CACAC8C" w14:textId="40E32C91" w:rsidR="006D325A" w:rsidRPr="00407CCA" w:rsidRDefault="00E81E01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Swant (CB-38a)</w:t>
            </w:r>
          </w:p>
        </w:tc>
      </w:tr>
      <w:tr w:rsidR="006D325A" w14:paraId="78A3DB20" w14:textId="77777777" w:rsidTr="00280120">
        <w:trPr>
          <w:trHeight w:val="481"/>
        </w:trPr>
        <w:tc>
          <w:tcPr>
            <w:tcW w:w="2263" w:type="dxa"/>
          </w:tcPr>
          <w:p w14:paraId="26A7DD35" w14:textId="28CA8BB0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Cone-arrestin</w:t>
            </w:r>
          </w:p>
        </w:tc>
        <w:tc>
          <w:tcPr>
            <w:tcW w:w="1560" w:type="dxa"/>
          </w:tcPr>
          <w:p w14:paraId="10DDFA9F" w14:textId="7D5DB39A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2EE45A5D" w14:textId="0EC024E4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1:10000 (IHC)</w:t>
            </w:r>
          </w:p>
        </w:tc>
        <w:tc>
          <w:tcPr>
            <w:tcW w:w="3140" w:type="dxa"/>
          </w:tcPr>
          <w:p w14:paraId="096B68E5" w14:textId="7C5401BC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Chemicon (ab15282)</w:t>
            </w:r>
          </w:p>
        </w:tc>
      </w:tr>
      <w:tr w:rsidR="006D325A" w14:paraId="76ECC475" w14:textId="77777777" w:rsidTr="00280120">
        <w:trPr>
          <w:trHeight w:val="481"/>
        </w:trPr>
        <w:tc>
          <w:tcPr>
            <w:tcW w:w="2263" w:type="dxa"/>
          </w:tcPr>
          <w:p w14:paraId="411A54D5" w14:textId="3DD3915E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Cox4</w:t>
            </w:r>
          </w:p>
        </w:tc>
        <w:tc>
          <w:tcPr>
            <w:tcW w:w="1560" w:type="dxa"/>
          </w:tcPr>
          <w:p w14:paraId="2A35531C" w14:textId="787C9797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goat</w:t>
            </w:r>
          </w:p>
        </w:tc>
        <w:tc>
          <w:tcPr>
            <w:tcW w:w="2551" w:type="dxa"/>
          </w:tcPr>
          <w:p w14:paraId="5AC229F1" w14:textId="5ED070E4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 (IHC)</w:t>
            </w:r>
          </w:p>
        </w:tc>
        <w:tc>
          <w:tcPr>
            <w:tcW w:w="3140" w:type="dxa"/>
          </w:tcPr>
          <w:p w14:paraId="65CFFB68" w14:textId="7D87D089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R&amp;D systems (AF5814)</w:t>
            </w:r>
          </w:p>
        </w:tc>
      </w:tr>
      <w:tr w:rsidR="006D325A" w14:paraId="2D46480D" w14:textId="77777777" w:rsidTr="00280120">
        <w:trPr>
          <w:trHeight w:val="481"/>
        </w:trPr>
        <w:tc>
          <w:tcPr>
            <w:tcW w:w="2263" w:type="dxa"/>
          </w:tcPr>
          <w:p w14:paraId="7439AA1F" w14:textId="5E5825AF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Fis1</w:t>
            </w:r>
          </w:p>
        </w:tc>
        <w:tc>
          <w:tcPr>
            <w:tcW w:w="1560" w:type="dxa"/>
          </w:tcPr>
          <w:p w14:paraId="63405D92" w14:textId="76AA859C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3752A30D" w14:textId="06D4A61D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 xml:space="preserve">1:500 (IHC and IC) </w:t>
            </w:r>
          </w:p>
        </w:tc>
        <w:tc>
          <w:tcPr>
            <w:tcW w:w="3140" w:type="dxa"/>
          </w:tcPr>
          <w:p w14:paraId="7845EA9C" w14:textId="26F56481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Genetex (GTX111010)</w:t>
            </w:r>
          </w:p>
        </w:tc>
      </w:tr>
      <w:tr w:rsidR="006D325A" w14:paraId="5401453E" w14:textId="77777777" w:rsidTr="00280120">
        <w:trPr>
          <w:trHeight w:val="481"/>
        </w:trPr>
        <w:tc>
          <w:tcPr>
            <w:tcW w:w="2263" w:type="dxa"/>
          </w:tcPr>
          <w:p w14:paraId="7C46EB6B" w14:textId="23C27F68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GABA</w:t>
            </w:r>
          </w:p>
        </w:tc>
        <w:tc>
          <w:tcPr>
            <w:tcW w:w="1560" w:type="dxa"/>
          </w:tcPr>
          <w:p w14:paraId="47C259C3" w14:textId="161BB596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05FA6B47" w14:textId="16CA1438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(IHC)</w:t>
            </w:r>
          </w:p>
        </w:tc>
        <w:tc>
          <w:tcPr>
            <w:tcW w:w="3140" w:type="dxa"/>
          </w:tcPr>
          <w:p w14:paraId="72F249AC" w14:textId="7C9C7388" w:rsidR="006D325A" w:rsidRPr="00407CCA" w:rsidRDefault="00E81E01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Sigma (A2052)</w:t>
            </w:r>
          </w:p>
        </w:tc>
      </w:tr>
      <w:tr w:rsidR="006D325A" w14:paraId="229860EB" w14:textId="77777777" w:rsidTr="00280120">
        <w:trPr>
          <w:trHeight w:val="481"/>
        </w:trPr>
        <w:tc>
          <w:tcPr>
            <w:tcW w:w="2263" w:type="dxa"/>
          </w:tcPr>
          <w:p w14:paraId="6C0AA481" w14:textId="660387A1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Glutamine synthase</w:t>
            </w:r>
          </w:p>
        </w:tc>
        <w:tc>
          <w:tcPr>
            <w:tcW w:w="1560" w:type="dxa"/>
          </w:tcPr>
          <w:p w14:paraId="6F55E1CC" w14:textId="3077227A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657266E1" w14:textId="77777777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1:10000 (IHC)</w:t>
            </w:r>
          </w:p>
          <w:p w14:paraId="70E1A74B" w14:textId="77777777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BDBD51F" w14:textId="77777777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(IC)</w:t>
            </w:r>
          </w:p>
          <w:p w14:paraId="4CC42F8B" w14:textId="1CE68120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14:paraId="1D60B8A5" w14:textId="5B8BB6E4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Sigma (G2781)</w:t>
            </w:r>
          </w:p>
        </w:tc>
      </w:tr>
      <w:tr w:rsidR="006D325A" w14:paraId="5BA2B7E0" w14:textId="77777777" w:rsidTr="00280120">
        <w:trPr>
          <w:trHeight w:val="481"/>
        </w:trPr>
        <w:tc>
          <w:tcPr>
            <w:tcW w:w="2263" w:type="dxa"/>
          </w:tcPr>
          <w:p w14:paraId="4ACADC14" w14:textId="19F41E40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Neurofilament (heavy chain)</w:t>
            </w:r>
          </w:p>
        </w:tc>
        <w:tc>
          <w:tcPr>
            <w:tcW w:w="1560" w:type="dxa"/>
          </w:tcPr>
          <w:p w14:paraId="6369DAC2" w14:textId="4539336C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0AE9BD05" w14:textId="77777777" w:rsidR="000E18EA" w:rsidRPr="00407CCA" w:rsidRDefault="000E18EA" w:rsidP="000E18E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(IC)</w:t>
            </w:r>
          </w:p>
          <w:p w14:paraId="6EFA291A" w14:textId="1E7FB972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14:paraId="0E07C87A" w14:textId="5A6C6D87" w:rsidR="006D325A" w:rsidRPr="00407CCA" w:rsidRDefault="00A83E15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 xml:space="preserve">Proteintech </w:t>
            </w:r>
            <w:r w:rsidR="00407C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07CCA" w:rsidRPr="00407CCA">
              <w:rPr>
                <w:rFonts w:ascii="Times New Roman" w:hAnsi="Times New Roman" w:cs="Times New Roman"/>
                <w:sz w:val="24"/>
                <w:szCs w:val="24"/>
              </w:rPr>
              <w:t>21471-1-AP</w:t>
            </w:r>
            <w:r w:rsidR="00407C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D325A" w14:paraId="0EED73CB" w14:textId="77777777" w:rsidTr="00280120">
        <w:trPr>
          <w:trHeight w:val="481"/>
        </w:trPr>
        <w:tc>
          <w:tcPr>
            <w:tcW w:w="2263" w:type="dxa"/>
          </w:tcPr>
          <w:p w14:paraId="0C74F820" w14:textId="3E769C96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Mitofusin-2</w:t>
            </w:r>
          </w:p>
        </w:tc>
        <w:tc>
          <w:tcPr>
            <w:tcW w:w="1560" w:type="dxa"/>
          </w:tcPr>
          <w:p w14:paraId="7E5F9EBD" w14:textId="676204FA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3559C4ED" w14:textId="629E408C" w:rsidR="006D325A" w:rsidRPr="00407CCA" w:rsidRDefault="00CB0FCF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1:1000 (WB)</w:t>
            </w:r>
          </w:p>
        </w:tc>
        <w:tc>
          <w:tcPr>
            <w:tcW w:w="3140" w:type="dxa"/>
          </w:tcPr>
          <w:p w14:paraId="4FE49323" w14:textId="59473F8F" w:rsidR="006D325A" w:rsidRPr="00407CCA" w:rsidRDefault="00A83E15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Cell Signaling</w:t>
            </w: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ab/>
              <w:t>(9482S)</w:t>
            </w:r>
          </w:p>
        </w:tc>
      </w:tr>
      <w:tr w:rsidR="006D325A" w14:paraId="72B44B4D" w14:textId="77777777" w:rsidTr="00280120">
        <w:trPr>
          <w:trHeight w:val="481"/>
        </w:trPr>
        <w:tc>
          <w:tcPr>
            <w:tcW w:w="2263" w:type="dxa"/>
          </w:tcPr>
          <w:p w14:paraId="467FF090" w14:textId="3665C689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M-opsin</w:t>
            </w:r>
          </w:p>
        </w:tc>
        <w:tc>
          <w:tcPr>
            <w:tcW w:w="1560" w:type="dxa"/>
          </w:tcPr>
          <w:p w14:paraId="353C9888" w14:textId="797E35D4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70B47989" w14:textId="62DE4765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1:1000 (IHC)</w:t>
            </w:r>
          </w:p>
        </w:tc>
        <w:tc>
          <w:tcPr>
            <w:tcW w:w="3140" w:type="dxa"/>
          </w:tcPr>
          <w:p w14:paraId="56A77EB2" w14:textId="3778C500" w:rsidR="006D325A" w:rsidRPr="00407CCA" w:rsidRDefault="00E81E01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Chemicon (AB5405)</w:t>
            </w:r>
          </w:p>
        </w:tc>
      </w:tr>
      <w:tr w:rsidR="006D325A" w14:paraId="3757F655" w14:textId="77777777" w:rsidTr="00280120">
        <w:trPr>
          <w:trHeight w:val="481"/>
        </w:trPr>
        <w:tc>
          <w:tcPr>
            <w:tcW w:w="2263" w:type="dxa"/>
          </w:tcPr>
          <w:p w14:paraId="09B9C49C" w14:textId="79E411D4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Synaptophysin</w:t>
            </w:r>
          </w:p>
        </w:tc>
        <w:tc>
          <w:tcPr>
            <w:tcW w:w="1560" w:type="dxa"/>
          </w:tcPr>
          <w:p w14:paraId="36B83D0F" w14:textId="3D8CF01F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550B3E9E" w14:textId="0258D738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(IHC)</w:t>
            </w:r>
          </w:p>
        </w:tc>
        <w:tc>
          <w:tcPr>
            <w:tcW w:w="3140" w:type="dxa"/>
          </w:tcPr>
          <w:p w14:paraId="2B6E08E5" w14:textId="1BC8B73A" w:rsidR="006D325A" w:rsidRPr="00407CCA" w:rsidRDefault="000E18E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Abcam</w:t>
            </w: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ab/>
              <w:t>(ab14692)</w:t>
            </w:r>
          </w:p>
        </w:tc>
      </w:tr>
      <w:tr w:rsidR="006D325A" w14:paraId="6E515A3E" w14:textId="77777777" w:rsidTr="00280120">
        <w:trPr>
          <w:trHeight w:val="481"/>
        </w:trPr>
        <w:tc>
          <w:tcPr>
            <w:tcW w:w="2263" w:type="dxa"/>
          </w:tcPr>
          <w:p w14:paraId="4491FD1C" w14:textId="62E4A3B6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TFAM</w:t>
            </w:r>
          </w:p>
        </w:tc>
        <w:tc>
          <w:tcPr>
            <w:tcW w:w="1560" w:type="dxa"/>
          </w:tcPr>
          <w:p w14:paraId="2FA7FA08" w14:textId="78695DC6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5A2FDD18" w14:textId="7D3F5AE7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(IHC and IC)</w:t>
            </w:r>
          </w:p>
        </w:tc>
        <w:tc>
          <w:tcPr>
            <w:tcW w:w="3140" w:type="dxa"/>
          </w:tcPr>
          <w:p w14:paraId="7941D9E7" w14:textId="028F585E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Genetex (GTX112760)</w:t>
            </w:r>
          </w:p>
        </w:tc>
      </w:tr>
      <w:tr w:rsidR="006D325A" w14:paraId="12AEAF57" w14:textId="77777777" w:rsidTr="00280120">
        <w:trPr>
          <w:trHeight w:val="481"/>
        </w:trPr>
        <w:tc>
          <w:tcPr>
            <w:tcW w:w="2263" w:type="dxa"/>
          </w:tcPr>
          <w:p w14:paraId="41FFE8F2" w14:textId="503DB8C8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TOMM20</w:t>
            </w:r>
          </w:p>
        </w:tc>
        <w:tc>
          <w:tcPr>
            <w:tcW w:w="1560" w:type="dxa"/>
          </w:tcPr>
          <w:p w14:paraId="11985F76" w14:textId="6AE6B80F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1D92F9A7" w14:textId="302FFB68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(IHC)</w:t>
            </w:r>
          </w:p>
        </w:tc>
        <w:tc>
          <w:tcPr>
            <w:tcW w:w="3140" w:type="dxa"/>
          </w:tcPr>
          <w:p w14:paraId="2A802F98" w14:textId="3BCC843F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Sigma (HPA011562)</w:t>
            </w:r>
          </w:p>
        </w:tc>
      </w:tr>
      <w:tr w:rsidR="006D325A" w14:paraId="555E13BB" w14:textId="77777777" w:rsidTr="00280120">
        <w:trPr>
          <w:trHeight w:val="481"/>
        </w:trPr>
        <w:tc>
          <w:tcPr>
            <w:tcW w:w="2263" w:type="dxa"/>
          </w:tcPr>
          <w:p w14:paraId="52895D45" w14:textId="2FFA38F5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Vimentin</w:t>
            </w:r>
          </w:p>
        </w:tc>
        <w:tc>
          <w:tcPr>
            <w:tcW w:w="1560" w:type="dxa"/>
          </w:tcPr>
          <w:p w14:paraId="7ACBF089" w14:textId="2D67E134" w:rsidR="006D325A" w:rsidRPr="00407CCA" w:rsidRDefault="006D325A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</w:p>
        </w:tc>
        <w:tc>
          <w:tcPr>
            <w:tcW w:w="2551" w:type="dxa"/>
          </w:tcPr>
          <w:p w14:paraId="7CD7BB1E" w14:textId="38DB8239" w:rsidR="006D325A" w:rsidRPr="00407CCA" w:rsidRDefault="00E81E01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1:500 (IHC)</w:t>
            </w:r>
          </w:p>
        </w:tc>
        <w:tc>
          <w:tcPr>
            <w:tcW w:w="3140" w:type="dxa"/>
          </w:tcPr>
          <w:p w14:paraId="7B3257C5" w14:textId="2A44DDE6" w:rsidR="006D325A" w:rsidRPr="00407CCA" w:rsidRDefault="00E81E01" w:rsidP="006D32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A">
              <w:rPr>
                <w:rFonts w:ascii="Times New Roman" w:hAnsi="Times New Roman" w:cs="Times New Roman"/>
                <w:sz w:val="24"/>
                <w:szCs w:val="24"/>
              </w:rPr>
              <w:t>Abcam (ab92547)</w:t>
            </w:r>
          </w:p>
        </w:tc>
      </w:tr>
    </w:tbl>
    <w:p w14:paraId="6A08D1D4" w14:textId="7D83C89F" w:rsidR="00AD379C" w:rsidRPr="004B57E2" w:rsidRDefault="00AD379C" w:rsidP="00AD379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D379C" w:rsidRPr="004B57E2" w:rsidSect="004B1714">
      <w:pgSz w:w="11906" w:h="16838"/>
      <w:pgMar w:top="1440" w:right="1191" w:bottom="144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5AF"/>
    <w:rsid w:val="000859BC"/>
    <w:rsid w:val="000D496A"/>
    <w:rsid w:val="000E18EA"/>
    <w:rsid w:val="001235E3"/>
    <w:rsid w:val="001955AF"/>
    <w:rsid w:val="0019731D"/>
    <w:rsid w:val="001A56CF"/>
    <w:rsid w:val="001C61A9"/>
    <w:rsid w:val="001D5AA4"/>
    <w:rsid w:val="001E45BE"/>
    <w:rsid w:val="001E6303"/>
    <w:rsid w:val="002062AD"/>
    <w:rsid w:val="00280120"/>
    <w:rsid w:val="0030450F"/>
    <w:rsid w:val="003607CF"/>
    <w:rsid w:val="003C0EEC"/>
    <w:rsid w:val="00407CCA"/>
    <w:rsid w:val="004B1714"/>
    <w:rsid w:val="004B57E2"/>
    <w:rsid w:val="004B7184"/>
    <w:rsid w:val="00523B6E"/>
    <w:rsid w:val="005F5041"/>
    <w:rsid w:val="0063391D"/>
    <w:rsid w:val="00647F19"/>
    <w:rsid w:val="0066581B"/>
    <w:rsid w:val="0068435E"/>
    <w:rsid w:val="006A4A6F"/>
    <w:rsid w:val="006A4AAE"/>
    <w:rsid w:val="006B195B"/>
    <w:rsid w:val="006D325A"/>
    <w:rsid w:val="00733638"/>
    <w:rsid w:val="00736D7F"/>
    <w:rsid w:val="00750B81"/>
    <w:rsid w:val="007B646E"/>
    <w:rsid w:val="007F1928"/>
    <w:rsid w:val="00852729"/>
    <w:rsid w:val="00855984"/>
    <w:rsid w:val="00862813"/>
    <w:rsid w:val="008E1FBC"/>
    <w:rsid w:val="008E36C1"/>
    <w:rsid w:val="00940610"/>
    <w:rsid w:val="00950735"/>
    <w:rsid w:val="00957AD4"/>
    <w:rsid w:val="009641DD"/>
    <w:rsid w:val="009A14D9"/>
    <w:rsid w:val="009D206F"/>
    <w:rsid w:val="00A06182"/>
    <w:rsid w:val="00A728A3"/>
    <w:rsid w:val="00A83E15"/>
    <w:rsid w:val="00A86B05"/>
    <w:rsid w:val="00A94B8D"/>
    <w:rsid w:val="00AD379C"/>
    <w:rsid w:val="00B367DF"/>
    <w:rsid w:val="00B60826"/>
    <w:rsid w:val="00BC4E13"/>
    <w:rsid w:val="00BC6200"/>
    <w:rsid w:val="00C3031E"/>
    <w:rsid w:val="00C416E8"/>
    <w:rsid w:val="00C52AEA"/>
    <w:rsid w:val="00C94522"/>
    <w:rsid w:val="00CB0FCF"/>
    <w:rsid w:val="00CD5D14"/>
    <w:rsid w:val="00CF7F5C"/>
    <w:rsid w:val="00D11BFD"/>
    <w:rsid w:val="00D722AE"/>
    <w:rsid w:val="00DE260E"/>
    <w:rsid w:val="00E0706B"/>
    <w:rsid w:val="00E0712A"/>
    <w:rsid w:val="00E24119"/>
    <w:rsid w:val="00E65169"/>
    <w:rsid w:val="00E74B0D"/>
    <w:rsid w:val="00E81E01"/>
    <w:rsid w:val="00E9411F"/>
    <w:rsid w:val="00EB7346"/>
    <w:rsid w:val="00EC3269"/>
    <w:rsid w:val="00EE62C3"/>
    <w:rsid w:val="00F02354"/>
    <w:rsid w:val="00F05587"/>
    <w:rsid w:val="00F11494"/>
    <w:rsid w:val="00F34DD1"/>
    <w:rsid w:val="00F8467C"/>
    <w:rsid w:val="00F927FF"/>
    <w:rsid w:val="00F961A0"/>
    <w:rsid w:val="00FA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7116E"/>
  <w15:chartTrackingRefBased/>
  <w15:docId w15:val="{81C99DAE-C0D0-4079-AD93-5CD4FFCE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955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5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55AF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55A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D3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6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hyperlink" Target="mailto:j.m.romero@bham.ac.uk" TargetMode="External"/><Relationship Id="rId9" Type="http://schemas.microsoft.com/office/2007/relationships/hdphoto" Target="media/hdphoto1.wdp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11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Romero (Inflammation and Ageing)</dc:creator>
  <cp:keywords/>
  <dc:description/>
  <cp:lastModifiedBy>Jose Romero (Inflammation and Ageing)</cp:lastModifiedBy>
  <cp:revision>59</cp:revision>
  <dcterms:created xsi:type="dcterms:W3CDTF">2023-06-27T17:45:00Z</dcterms:created>
  <dcterms:modified xsi:type="dcterms:W3CDTF">2023-07-18T09:56:00Z</dcterms:modified>
</cp:coreProperties>
</file>