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4BFFC" w14:textId="77777777" w:rsidR="006415F9" w:rsidRPr="002D4440" w:rsidRDefault="006415F9" w:rsidP="006415F9">
      <w:pPr>
        <w:spacing w:before="120" w:after="120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2D4440">
        <w:rPr>
          <w:rFonts w:asciiTheme="majorBidi" w:hAnsiTheme="majorBidi" w:cstheme="majorBidi"/>
          <w:b/>
          <w:bCs/>
          <w:sz w:val="24"/>
          <w:szCs w:val="24"/>
          <w:lang w:val="en-US"/>
        </w:rPr>
        <w:t>Appendix</w:t>
      </w:r>
    </w:p>
    <w:p w14:paraId="2755F599" w14:textId="77777777" w:rsidR="006415F9" w:rsidRPr="002D4440" w:rsidRDefault="006415F9" w:rsidP="006415F9">
      <w:pPr>
        <w:spacing w:before="120" w:after="120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2D4440">
        <w:rPr>
          <w:rFonts w:asciiTheme="majorBidi" w:hAnsiTheme="majorBidi" w:cstheme="majorBidi"/>
          <w:b/>
          <w:bCs/>
          <w:sz w:val="24"/>
          <w:szCs w:val="24"/>
          <w:lang w:val="en-US"/>
        </w:rPr>
        <w:t>Table1: Dashboard of literature review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1216"/>
        <w:gridCol w:w="1832"/>
        <w:gridCol w:w="3261"/>
        <w:gridCol w:w="1559"/>
        <w:gridCol w:w="1559"/>
        <w:gridCol w:w="3082"/>
      </w:tblGrid>
      <w:tr w:rsidR="006415F9" w:rsidRPr="009B79BC" w14:paraId="269E47CD" w14:textId="77777777" w:rsidTr="00EA244A">
        <w:tc>
          <w:tcPr>
            <w:tcW w:w="1483" w:type="dxa"/>
          </w:tcPr>
          <w:p w14:paraId="27BBBA4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9B79BC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Authors (years)</w:t>
            </w:r>
          </w:p>
        </w:tc>
        <w:tc>
          <w:tcPr>
            <w:tcW w:w="1216" w:type="dxa"/>
          </w:tcPr>
          <w:p w14:paraId="67E5615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9B79BC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Countries</w:t>
            </w:r>
          </w:p>
        </w:tc>
        <w:tc>
          <w:tcPr>
            <w:tcW w:w="1832" w:type="dxa"/>
          </w:tcPr>
          <w:p w14:paraId="65D4785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9B79BC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Periods</w:t>
            </w:r>
          </w:p>
        </w:tc>
        <w:tc>
          <w:tcPr>
            <w:tcW w:w="3261" w:type="dxa"/>
          </w:tcPr>
          <w:p w14:paraId="23194F6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9B79BC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Objectives</w:t>
            </w:r>
          </w:p>
        </w:tc>
        <w:tc>
          <w:tcPr>
            <w:tcW w:w="1559" w:type="dxa"/>
          </w:tcPr>
          <w:p w14:paraId="1D07622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9B79BC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Variables</w:t>
            </w:r>
          </w:p>
        </w:tc>
        <w:tc>
          <w:tcPr>
            <w:tcW w:w="1559" w:type="dxa"/>
          </w:tcPr>
          <w:p w14:paraId="3F4C6BA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9B79BC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Methods</w:t>
            </w:r>
          </w:p>
        </w:tc>
        <w:tc>
          <w:tcPr>
            <w:tcW w:w="3082" w:type="dxa"/>
          </w:tcPr>
          <w:p w14:paraId="71CB7D9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9B79BC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Results</w:t>
            </w:r>
          </w:p>
        </w:tc>
      </w:tr>
      <w:tr w:rsidR="006415F9" w:rsidRPr="0015388B" w14:paraId="16361645" w14:textId="77777777" w:rsidTr="00EA244A">
        <w:tc>
          <w:tcPr>
            <w:tcW w:w="1483" w:type="dxa"/>
          </w:tcPr>
          <w:p w14:paraId="213548A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Isaac Appiah-Otoo (2023)</w:t>
            </w:r>
          </w:p>
        </w:tc>
        <w:tc>
          <w:tcPr>
            <w:tcW w:w="1216" w:type="dxa"/>
          </w:tcPr>
          <w:p w14:paraId="14303B6E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20 countries</w:t>
            </w:r>
          </w:p>
        </w:tc>
        <w:tc>
          <w:tcPr>
            <w:tcW w:w="1832" w:type="dxa"/>
          </w:tcPr>
          <w:p w14:paraId="1964B6DE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January 23, 2022 - April 16, 2022.</w:t>
            </w:r>
          </w:p>
        </w:tc>
        <w:tc>
          <w:tcPr>
            <w:tcW w:w="3261" w:type="dxa"/>
          </w:tcPr>
          <w:p w14:paraId="47C8163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Impact of the war between Russia and Ukraine on trading volume and cryptocurrency returns.</w:t>
            </w:r>
          </w:p>
        </w:tc>
        <w:tc>
          <w:tcPr>
            <w:tcW w:w="1559" w:type="dxa"/>
          </w:tcPr>
          <w:p w14:paraId="62087B2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Bitcoin trading volume and performance.</w:t>
            </w:r>
          </w:p>
        </w:tc>
        <w:tc>
          <w:tcPr>
            <w:tcW w:w="1559" w:type="dxa"/>
          </w:tcPr>
          <w:p w14:paraId="7A69F5E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Panel data.</w:t>
            </w:r>
          </w:p>
        </w:tc>
        <w:tc>
          <w:tcPr>
            <w:tcW w:w="3082" w:type="dxa"/>
          </w:tcPr>
          <w:p w14:paraId="4E0AFA6D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The war between Russia and Ukraine is hampering bitcoin trading volumes.</w:t>
            </w:r>
          </w:p>
        </w:tc>
      </w:tr>
      <w:tr w:rsidR="006415F9" w:rsidRPr="0015388B" w14:paraId="7F5607DB" w14:textId="77777777" w:rsidTr="00EA244A">
        <w:tc>
          <w:tcPr>
            <w:tcW w:w="1483" w:type="dxa"/>
          </w:tcPr>
          <w:p w14:paraId="3401136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Boungou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and 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Yatié (2022)</w:t>
            </w:r>
          </w:p>
        </w:tc>
        <w:tc>
          <w:tcPr>
            <w:tcW w:w="1216" w:type="dxa"/>
          </w:tcPr>
          <w:p w14:paraId="28525B6B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94 countries</w:t>
            </w:r>
          </w:p>
        </w:tc>
        <w:tc>
          <w:tcPr>
            <w:tcW w:w="1832" w:type="dxa"/>
          </w:tcPr>
          <w:p w14:paraId="7A89DB2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January 22, 2022 - March 24, 2022.</w:t>
            </w:r>
          </w:p>
        </w:tc>
        <w:tc>
          <w:tcPr>
            <w:tcW w:w="3261" w:type="dxa"/>
          </w:tcPr>
          <w:p w14:paraId="15A96BB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Impact of the Russo-Ukrainian conflict on the global economy and financial markets.</w:t>
            </w:r>
          </w:p>
        </w:tc>
        <w:tc>
          <w:tcPr>
            <w:tcW w:w="1559" w:type="dxa"/>
          </w:tcPr>
          <w:p w14:paraId="1F9631C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Stock market indices.</w:t>
            </w:r>
          </w:p>
        </w:tc>
        <w:tc>
          <w:tcPr>
            <w:tcW w:w="1559" w:type="dxa"/>
          </w:tcPr>
          <w:p w14:paraId="5FFFB6FE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Panel data.</w:t>
            </w:r>
          </w:p>
        </w:tc>
        <w:tc>
          <w:tcPr>
            <w:tcW w:w="3082" w:type="dxa"/>
          </w:tcPr>
          <w:p w14:paraId="701C0E1B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Significant negative impact of the war between Ukraine and Russia on world stock market indices.</w:t>
            </w:r>
          </w:p>
        </w:tc>
      </w:tr>
      <w:tr w:rsidR="006415F9" w:rsidRPr="0015388B" w14:paraId="74C609ED" w14:textId="77777777" w:rsidTr="00EA244A">
        <w:tc>
          <w:tcPr>
            <w:tcW w:w="1483" w:type="dxa"/>
          </w:tcPr>
          <w:p w14:paraId="22786C0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Kamal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and 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al (2023)</w:t>
            </w:r>
          </w:p>
        </w:tc>
        <w:tc>
          <w:tcPr>
            <w:tcW w:w="1216" w:type="dxa"/>
          </w:tcPr>
          <w:p w14:paraId="00D5DC3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Australia</w:t>
            </w:r>
          </w:p>
        </w:tc>
        <w:tc>
          <w:tcPr>
            <w:tcW w:w="1832" w:type="dxa"/>
          </w:tcPr>
          <w:p w14:paraId="276D9A8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25 days before February 22, 2022, the event date, until 25 days after the event.</w:t>
            </w:r>
          </w:p>
        </w:tc>
        <w:tc>
          <w:tcPr>
            <w:tcW w:w="3261" w:type="dxa"/>
          </w:tcPr>
          <w:p w14:paraId="32CEB6AB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Effect of the Russo-Ukrainian crisis on the Australian stock market.</w:t>
            </w:r>
          </w:p>
        </w:tc>
        <w:tc>
          <w:tcPr>
            <w:tcW w:w="1559" w:type="dxa"/>
          </w:tcPr>
          <w:p w14:paraId="3F4279E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283 shares listed on the ASX 300 index.</w:t>
            </w:r>
          </w:p>
        </w:tc>
        <w:tc>
          <w:tcPr>
            <w:tcW w:w="1559" w:type="dxa"/>
          </w:tcPr>
          <w:p w14:paraId="744A6DF6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Event study.</w:t>
            </w:r>
          </w:p>
        </w:tc>
        <w:tc>
          <w:tcPr>
            <w:tcW w:w="3082" w:type="dxa"/>
          </w:tcPr>
          <w:p w14:paraId="666967F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Significantly negative abnormal returns on the Australian stock market at the time of the event.</w:t>
            </w:r>
          </w:p>
        </w:tc>
      </w:tr>
      <w:tr w:rsidR="006415F9" w:rsidRPr="0015388B" w14:paraId="32336D5F" w14:textId="77777777" w:rsidTr="00EA244A">
        <w:tc>
          <w:tcPr>
            <w:tcW w:w="1483" w:type="dxa"/>
          </w:tcPr>
          <w:p w14:paraId="6C77C6D3" w14:textId="77777777" w:rsidR="006415F9" w:rsidRPr="00C137E8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C137E8">
              <w:rPr>
                <w:rFonts w:asciiTheme="majorBidi" w:hAnsiTheme="majorBidi" w:cstheme="majorBidi"/>
                <w:sz w:val="18"/>
                <w:szCs w:val="18"/>
                <w:lang w:val="en-US"/>
              </w:rPr>
              <w:t>Yousaf and al (2022)</w:t>
            </w:r>
          </w:p>
        </w:tc>
        <w:tc>
          <w:tcPr>
            <w:tcW w:w="1216" w:type="dxa"/>
          </w:tcPr>
          <w:p w14:paraId="4A138510" w14:textId="77777777" w:rsidR="006415F9" w:rsidRPr="00C137E8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C137E8">
              <w:rPr>
                <w:rFonts w:asciiTheme="majorBidi" w:hAnsiTheme="majorBidi" w:cstheme="majorBidi"/>
                <w:sz w:val="18"/>
                <w:szCs w:val="18"/>
                <w:lang w:val="en-US"/>
              </w:rPr>
              <w:t>G20</w:t>
            </w:r>
          </w:p>
        </w:tc>
        <w:tc>
          <w:tcPr>
            <w:tcW w:w="1832" w:type="dxa"/>
          </w:tcPr>
          <w:p w14:paraId="69E48CC1" w14:textId="77777777" w:rsidR="006415F9" w:rsidRPr="00C137E8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C137E8">
              <w:rPr>
                <w:rFonts w:asciiTheme="majorBidi" w:hAnsiTheme="majorBidi" w:cstheme="majorBidi"/>
                <w:sz w:val="18"/>
                <w:szCs w:val="18"/>
                <w:lang w:val="en-US"/>
              </w:rPr>
              <w:t>120 days</w:t>
            </w:r>
          </w:p>
        </w:tc>
        <w:tc>
          <w:tcPr>
            <w:tcW w:w="3261" w:type="dxa"/>
          </w:tcPr>
          <w:p w14:paraId="7FF8AF10" w14:textId="77777777" w:rsidR="006415F9" w:rsidRPr="00C137E8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C137E8">
              <w:rPr>
                <w:rFonts w:asciiTheme="majorBidi" w:hAnsiTheme="majorBidi" w:cstheme="majorBidi"/>
                <w:sz w:val="18"/>
                <w:szCs w:val="18"/>
                <w:lang w:val="en-US"/>
              </w:rPr>
              <w:t>Impact of the war in Ukraine on G20 and other stock markets.</w:t>
            </w:r>
          </w:p>
        </w:tc>
        <w:tc>
          <w:tcPr>
            <w:tcW w:w="1559" w:type="dxa"/>
          </w:tcPr>
          <w:p w14:paraId="0260E8AF" w14:textId="77777777" w:rsidR="006415F9" w:rsidRPr="00C137E8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C137E8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Stock market indices.</w:t>
            </w:r>
          </w:p>
        </w:tc>
        <w:tc>
          <w:tcPr>
            <w:tcW w:w="1559" w:type="dxa"/>
          </w:tcPr>
          <w:p w14:paraId="5ACB3C64" w14:textId="77777777" w:rsidR="006415F9" w:rsidRPr="00C137E8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C137E8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Event study.</w:t>
            </w:r>
          </w:p>
        </w:tc>
        <w:tc>
          <w:tcPr>
            <w:tcW w:w="3082" w:type="dxa"/>
          </w:tcPr>
          <w:p w14:paraId="41D8B8B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C137E8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Significant negative impact of the conflict between Russia and Ukraine on the day of the event and afterwards.</w:t>
            </w:r>
          </w:p>
        </w:tc>
      </w:tr>
      <w:tr w:rsidR="006415F9" w:rsidRPr="0015388B" w14:paraId="011F0AC8" w14:textId="77777777" w:rsidTr="00EA244A">
        <w:tc>
          <w:tcPr>
            <w:tcW w:w="1483" w:type="dxa"/>
          </w:tcPr>
          <w:p w14:paraId="79F7990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Boubaker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al (2022)</w:t>
            </w:r>
          </w:p>
        </w:tc>
        <w:tc>
          <w:tcPr>
            <w:tcW w:w="1216" w:type="dxa"/>
          </w:tcPr>
          <w:p w14:paraId="2AB647E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23 developed markets and 24 emerging markets</w:t>
            </w:r>
          </w:p>
        </w:tc>
        <w:tc>
          <w:tcPr>
            <w:tcW w:w="1832" w:type="dxa"/>
          </w:tcPr>
          <w:p w14:paraId="2DF1691F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February 24, 2022 - March 7, 2022.</w:t>
            </w:r>
          </w:p>
        </w:tc>
        <w:tc>
          <w:tcPr>
            <w:tcW w:w="3261" w:type="dxa"/>
          </w:tcPr>
          <w:p w14:paraId="215A9BF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Impact of Russia's invasion of Ukraine in 2022.</w:t>
            </w:r>
          </w:p>
        </w:tc>
        <w:tc>
          <w:tcPr>
            <w:tcW w:w="1559" w:type="dxa"/>
          </w:tcPr>
          <w:p w14:paraId="2C1CF93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Stock market indices and trade.</w:t>
            </w:r>
          </w:p>
        </w:tc>
        <w:tc>
          <w:tcPr>
            <w:tcW w:w="1559" w:type="dxa"/>
          </w:tcPr>
          <w:p w14:paraId="6E91813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Event study.</w:t>
            </w:r>
          </w:p>
        </w:tc>
        <w:tc>
          <w:tcPr>
            <w:tcW w:w="3082" w:type="dxa"/>
          </w:tcPr>
          <w:p w14:paraId="5F169A01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The invasion generated negative cumulative abnormal returns for global stock indices associated with heterogeneous effects.</w:t>
            </w:r>
          </w:p>
        </w:tc>
      </w:tr>
      <w:tr w:rsidR="006415F9" w:rsidRPr="0015388B" w14:paraId="20EEAB0F" w14:textId="77777777" w:rsidTr="00EA244A">
        <w:tc>
          <w:tcPr>
            <w:tcW w:w="1483" w:type="dxa"/>
          </w:tcPr>
          <w:p w14:paraId="1EED5C2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Ahmed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al. (2022)</w:t>
            </w:r>
          </w:p>
        </w:tc>
        <w:tc>
          <w:tcPr>
            <w:tcW w:w="1216" w:type="dxa"/>
          </w:tcPr>
          <w:p w14:paraId="12F4C7D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587 European companies</w:t>
            </w:r>
          </w:p>
        </w:tc>
        <w:tc>
          <w:tcPr>
            <w:tcW w:w="1832" w:type="dxa"/>
          </w:tcPr>
          <w:p w14:paraId="53A364A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One year (February 2021-March 2022).</w:t>
            </w:r>
          </w:p>
        </w:tc>
        <w:tc>
          <w:tcPr>
            <w:tcW w:w="3261" w:type="dxa"/>
          </w:tcPr>
          <w:p w14:paraId="3E58245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Impact of the Russian-Ukrainian crisis on European stock markets.</w:t>
            </w:r>
          </w:p>
        </w:tc>
        <w:tc>
          <w:tcPr>
            <w:tcW w:w="1559" w:type="dxa"/>
          </w:tcPr>
          <w:p w14:paraId="567696B6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600 European STOXX indices</w:t>
            </w:r>
          </w:p>
        </w:tc>
        <w:tc>
          <w:tcPr>
            <w:tcW w:w="1559" w:type="dxa"/>
          </w:tcPr>
          <w:p w14:paraId="1E80A90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Event study.</w:t>
            </w:r>
          </w:p>
        </w:tc>
        <w:tc>
          <w:tcPr>
            <w:tcW w:w="3082" w:type="dxa"/>
          </w:tcPr>
          <w:p w14:paraId="48E1FE8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European equities recorded significant negative abnormal returns.</w:t>
            </w:r>
          </w:p>
        </w:tc>
      </w:tr>
      <w:tr w:rsidR="006415F9" w:rsidRPr="0015388B" w14:paraId="5A79FB8B" w14:textId="77777777" w:rsidTr="00EA244A">
        <w:tc>
          <w:tcPr>
            <w:tcW w:w="1483" w:type="dxa"/>
          </w:tcPr>
          <w:p w14:paraId="7F25176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Kapar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Buigut (2020)</w:t>
            </w:r>
          </w:p>
        </w:tc>
        <w:tc>
          <w:tcPr>
            <w:tcW w:w="1216" w:type="dxa"/>
          </w:tcPr>
          <w:p w14:paraId="4CFF595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Qatar</w:t>
            </w:r>
          </w:p>
        </w:tc>
        <w:tc>
          <w:tcPr>
            <w:tcW w:w="1832" w:type="dxa"/>
          </w:tcPr>
          <w:p w14:paraId="7B12CB0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300 observations on 5 windows.</w:t>
            </w:r>
          </w:p>
        </w:tc>
        <w:tc>
          <w:tcPr>
            <w:tcW w:w="3261" w:type="dxa"/>
          </w:tcPr>
          <w:p w14:paraId="1B047BE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Study the impact of Qatar's political and economic blockade on the volatility of Qatar's stock market.</w:t>
            </w:r>
          </w:p>
        </w:tc>
        <w:tc>
          <w:tcPr>
            <w:tcW w:w="1559" w:type="dxa"/>
          </w:tcPr>
          <w:p w14:paraId="1612202B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20 stock market indices</w:t>
            </w:r>
          </w:p>
        </w:tc>
        <w:tc>
          <w:tcPr>
            <w:tcW w:w="1559" w:type="dxa"/>
          </w:tcPr>
          <w:p w14:paraId="5068BD8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Event study.</w:t>
            </w:r>
          </w:p>
        </w:tc>
        <w:tc>
          <w:tcPr>
            <w:tcW w:w="3082" w:type="dxa"/>
          </w:tcPr>
          <w:p w14:paraId="5D3BCED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Stock market volatility reacted significantly to the blockade and other related events before and after the blockade.</w:t>
            </w:r>
          </w:p>
        </w:tc>
      </w:tr>
      <w:tr w:rsidR="006415F9" w:rsidRPr="0015388B" w14:paraId="3948BF79" w14:textId="77777777" w:rsidTr="00EA244A">
        <w:tc>
          <w:tcPr>
            <w:tcW w:w="1483" w:type="dxa"/>
          </w:tcPr>
          <w:p w14:paraId="14B3F89D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Bash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Alsaifi (2019)</w:t>
            </w:r>
          </w:p>
        </w:tc>
        <w:tc>
          <w:tcPr>
            <w:tcW w:w="1216" w:type="dxa"/>
          </w:tcPr>
          <w:p w14:paraId="57554ED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Saudi Arabia</w:t>
            </w:r>
          </w:p>
        </w:tc>
        <w:tc>
          <w:tcPr>
            <w:tcW w:w="1832" w:type="dxa"/>
          </w:tcPr>
          <w:p w14:paraId="7EBE639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October 2, 2018 - October 20, 2018.</w:t>
            </w:r>
          </w:p>
        </w:tc>
        <w:tc>
          <w:tcPr>
            <w:tcW w:w="3261" w:type="dxa"/>
          </w:tcPr>
          <w:p w14:paraId="68FFC816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Studies whether uncertain events affect stock market results.</w:t>
            </w:r>
          </w:p>
        </w:tc>
        <w:tc>
          <w:tcPr>
            <w:tcW w:w="1559" w:type="dxa"/>
          </w:tcPr>
          <w:p w14:paraId="37ABD63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Stock market index of Saudi companies</w:t>
            </w:r>
          </w:p>
        </w:tc>
        <w:tc>
          <w:tcPr>
            <w:tcW w:w="1559" w:type="dxa"/>
          </w:tcPr>
          <w:p w14:paraId="56462791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Event study.</w:t>
            </w:r>
          </w:p>
        </w:tc>
        <w:tc>
          <w:tcPr>
            <w:tcW w:w="3082" w:type="dxa"/>
          </w:tcPr>
          <w:p w14:paraId="5C68BDDD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Negative impact of uncertainty on equity returns.</w:t>
            </w:r>
          </w:p>
        </w:tc>
      </w:tr>
      <w:tr w:rsidR="006415F9" w:rsidRPr="0015388B" w14:paraId="655A7DD7" w14:textId="77777777" w:rsidTr="00EA244A">
        <w:tc>
          <w:tcPr>
            <w:tcW w:w="1483" w:type="dxa"/>
          </w:tcPr>
          <w:p w14:paraId="36E645E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Khalfaoui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al. (2023)</w:t>
            </w:r>
          </w:p>
        </w:tc>
        <w:tc>
          <w:tcPr>
            <w:tcW w:w="1216" w:type="dxa"/>
          </w:tcPr>
          <w:p w14:paraId="3B1534B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Russia-Ukraine</w:t>
            </w:r>
          </w:p>
        </w:tc>
        <w:tc>
          <w:tcPr>
            <w:tcW w:w="1832" w:type="dxa"/>
          </w:tcPr>
          <w:p w14:paraId="3794435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February 24, 2022 - June 21, 2022.</w:t>
            </w:r>
          </w:p>
        </w:tc>
        <w:tc>
          <w:tcPr>
            <w:tcW w:w="3261" w:type="dxa"/>
          </w:tcPr>
          <w:p w14:paraId="4DE8724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Study of the impact of war on digital and financial assets.</w:t>
            </w:r>
          </w:p>
        </w:tc>
        <w:tc>
          <w:tcPr>
            <w:tcW w:w="1559" w:type="dxa"/>
          </w:tcPr>
          <w:p w14:paraId="697478B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Bitcoin, Ripple, Ethereum, Litecoin and G7 stock market indices.</w:t>
            </w:r>
          </w:p>
        </w:tc>
        <w:tc>
          <w:tcPr>
            <w:tcW w:w="1559" w:type="dxa"/>
          </w:tcPr>
          <w:p w14:paraId="3448C2ED" w14:textId="77777777" w:rsidR="006415F9" w:rsidRPr="00C137E8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C137E8">
              <w:rPr>
                <w:rFonts w:asciiTheme="majorBidi" w:hAnsiTheme="majorBidi" w:cstheme="majorBidi"/>
                <w:sz w:val="18"/>
                <w:szCs w:val="18"/>
              </w:rPr>
              <w:t>Quantile cross spectral analysis.</w:t>
            </w:r>
          </w:p>
          <w:p w14:paraId="666AD6E3" w14:textId="77777777" w:rsidR="006415F9" w:rsidRPr="00C137E8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highlight w:val="yellow"/>
              </w:rPr>
            </w:pPr>
            <w:r w:rsidRPr="00C137E8">
              <w:rPr>
                <w:rFonts w:asciiTheme="majorBidi" w:hAnsiTheme="majorBidi" w:cstheme="majorBidi"/>
                <w:sz w:val="18"/>
                <w:szCs w:val="18"/>
              </w:rPr>
              <w:t>Quantile coherence matrix.</w:t>
            </w:r>
          </w:p>
        </w:tc>
        <w:tc>
          <w:tcPr>
            <w:tcW w:w="3082" w:type="dxa"/>
          </w:tcPr>
          <w:p w14:paraId="2BC2A5A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The focus on war has a negative (positive) impact on all crypto-currencies in the short term</w:t>
            </w:r>
          </w:p>
        </w:tc>
      </w:tr>
      <w:tr w:rsidR="006415F9" w:rsidRPr="0015388B" w14:paraId="6B1FCE30" w14:textId="77777777" w:rsidTr="00EA244A">
        <w:tc>
          <w:tcPr>
            <w:tcW w:w="1483" w:type="dxa"/>
          </w:tcPr>
          <w:p w14:paraId="5B9A907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Bossman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Mariya (2023)</w:t>
            </w:r>
          </w:p>
        </w:tc>
        <w:tc>
          <w:tcPr>
            <w:tcW w:w="1216" w:type="dxa"/>
          </w:tcPr>
          <w:p w14:paraId="53A4627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7 emerging countries (E7) and (G7).</w:t>
            </w:r>
          </w:p>
        </w:tc>
        <w:tc>
          <w:tcPr>
            <w:tcW w:w="1832" w:type="dxa"/>
          </w:tcPr>
          <w:p w14:paraId="6462758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February 24, 2022 - July 25, 2022.</w:t>
            </w:r>
          </w:p>
        </w:tc>
        <w:tc>
          <w:tcPr>
            <w:tcW w:w="3261" w:type="dxa"/>
          </w:tcPr>
          <w:p w14:paraId="30429C86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Analyze the asymmetrical financial impact of the geopolitical risk induced by the Russo-Ukrainian conflict.</w:t>
            </w:r>
          </w:p>
        </w:tc>
        <w:tc>
          <w:tcPr>
            <w:tcW w:w="1559" w:type="dxa"/>
          </w:tcPr>
          <w:p w14:paraId="067B7F2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Geopolitical risk and stock market indices.</w:t>
            </w:r>
          </w:p>
        </w:tc>
        <w:tc>
          <w:tcPr>
            <w:tcW w:w="1559" w:type="dxa"/>
          </w:tcPr>
          <w:p w14:paraId="4ACA8131" w14:textId="77777777" w:rsidR="006415F9" w:rsidRPr="00C137E8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C137E8">
              <w:rPr>
                <w:rFonts w:asciiTheme="majorBidi" w:hAnsiTheme="majorBidi" w:cstheme="majorBidi"/>
                <w:sz w:val="18"/>
                <w:szCs w:val="18"/>
              </w:rPr>
              <w:t>Non-parametric quantile-on-quantile regression model.</w:t>
            </w:r>
          </w:p>
        </w:tc>
        <w:tc>
          <w:tcPr>
            <w:tcW w:w="3082" w:type="dxa"/>
          </w:tcPr>
          <w:p w14:paraId="55CB163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With the exception of Russia and China, all E7 and G7 stock markets react positively to geopolitical risk under normal conditions.</w:t>
            </w:r>
          </w:p>
        </w:tc>
      </w:tr>
      <w:tr w:rsidR="006415F9" w:rsidRPr="0015388B" w14:paraId="0B9A6D68" w14:textId="77777777" w:rsidTr="00EA244A">
        <w:tc>
          <w:tcPr>
            <w:tcW w:w="1483" w:type="dxa"/>
          </w:tcPr>
          <w:p w14:paraId="3E35E69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Caldara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Iacoviello (2022)</w:t>
            </w:r>
          </w:p>
        </w:tc>
        <w:tc>
          <w:tcPr>
            <w:tcW w:w="1216" w:type="dxa"/>
          </w:tcPr>
          <w:p w14:paraId="34DC496F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N.A.</w:t>
            </w:r>
          </w:p>
        </w:tc>
        <w:tc>
          <w:tcPr>
            <w:tcW w:w="1832" w:type="dxa"/>
          </w:tcPr>
          <w:p w14:paraId="01F9F69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1985-2019</w:t>
            </w:r>
          </w:p>
        </w:tc>
        <w:tc>
          <w:tcPr>
            <w:tcW w:w="3261" w:type="dxa"/>
          </w:tcPr>
          <w:p w14:paraId="6D762C2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Study the macroeconomic effects of geopolitical risks.</w:t>
            </w:r>
          </w:p>
        </w:tc>
        <w:tc>
          <w:tcPr>
            <w:tcW w:w="1559" w:type="dxa"/>
          </w:tcPr>
          <w:p w14:paraId="6989264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Geopolitical risk index, GDP, Total 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lastRenderedPageBreak/>
              <w:t>Factor Productivity.</w:t>
            </w:r>
          </w:p>
        </w:tc>
        <w:tc>
          <w:tcPr>
            <w:tcW w:w="1559" w:type="dxa"/>
          </w:tcPr>
          <w:p w14:paraId="4D8DFBE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lastRenderedPageBreak/>
              <w:t>Quantile regression, VAR.</w:t>
            </w:r>
          </w:p>
        </w:tc>
        <w:tc>
          <w:tcPr>
            <w:tcW w:w="3082" w:type="dxa"/>
          </w:tcPr>
          <w:p w14:paraId="5B05E12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Newspaper coverage of geopolitical events is an accurate measure of the 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lastRenderedPageBreak/>
              <w:t>perceptions of investors, economic agents and political decision-makers.</w:t>
            </w:r>
          </w:p>
        </w:tc>
      </w:tr>
      <w:tr w:rsidR="006415F9" w:rsidRPr="0015388B" w14:paraId="69EA3952" w14:textId="77777777" w:rsidTr="00EA244A">
        <w:tc>
          <w:tcPr>
            <w:tcW w:w="1483" w:type="dxa"/>
          </w:tcPr>
          <w:p w14:paraId="3E63EE0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lastRenderedPageBreak/>
              <w:t xml:space="preserve">Ahmet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al (2019)</w:t>
            </w:r>
          </w:p>
        </w:tc>
        <w:tc>
          <w:tcPr>
            <w:tcW w:w="1216" w:type="dxa"/>
          </w:tcPr>
          <w:p w14:paraId="1AAF1B5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N.A.</w:t>
            </w:r>
          </w:p>
        </w:tc>
        <w:tc>
          <w:tcPr>
            <w:tcW w:w="1832" w:type="dxa"/>
          </w:tcPr>
          <w:p w14:paraId="4AB8DD8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July 18, 2010 - May 31, 2018.</w:t>
            </w:r>
          </w:p>
        </w:tc>
        <w:tc>
          <w:tcPr>
            <w:tcW w:w="3261" w:type="dxa"/>
          </w:tcPr>
          <w:p w14:paraId="311766B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Analyze the predictive power of geopolitical risk on Bitcoin returns and volatility.</w:t>
            </w:r>
          </w:p>
        </w:tc>
        <w:tc>
          <w:tcPr>
            <w:tcW w:w="1559" w:type="dxa"/>
          </w:tcPr>
          <w:p w14:paraId="69CCA98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Bitcoin and geopolitical risk.</w:t>
            </w:r>
          </w:p>
        </w:tc>
        <w:tc>
          <w:tcPr>
            <w:tcW w:w="1559" w:type="dxa"/>
          </w:tcPr>
          <w:p w14:paraId="6B8FEC6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Bayesian graphical structural vector autoregression.</w:t>
            </w:r>
          </w:p>
          <w:p w14:paraId="0B6D98F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OLS, Quantile on quantile.</w:t>
            </w:r>
          </w:p>
        </w:tc>
        <w:tc>
          <w:tcPr>
            <w:tcW w:w="3082" w:type="dxa"/>
          </w:tcPr>
          <w:p w14:paraId="069127E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Bitcoin's price volatility and returns are positively and negatively linked to geopolitical risk respectively.</w:t>
            </w:r>
          </w:p>
          <w:p w14:paraId="09B46DF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Bitcoin can be seen as a hedging tool against global geopolitical risks.</w:t>
            </w:r>
          </w:p>
        </w:tc>
      </w:tr>
      <w:tr w:rsidR="006415F9" w:rsidRPr="0015388B" w14:paraId="4A389368" w14:textId="77777777" w:rsidTr="00EA244A">
        <w:tc>
          <w:tcPr>
            <w:tcW w:w="1483" w:type="dxa"/>
          </w:tcPr>
          <w:p w14:paraId="59A5F446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Choi (2021)</w:t>
            </w:r>
          </w:p>
        </w:tc>
        <w:tc>
          <w:tcPr>
            <w:tcW w:w="1216" w:type="dxa"/>
          </w:tcPr>
          <w:p w14:paraId="4E991A7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USA</w:t>
            </w:r>
          </w:p>
        </w:tc>
        <w:tc>
          <w:tcPr>
            <w:tcW w:w="1832" w:type="dxa"/>
          </w:tcPr>
          <w:p w14:paraId="629821F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Period I: September 2008 - December 2009.</w:t>
            </w:r>
          </w:p>
          <w:p w14:paraId="015AD99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Period II: February 2020 - July 2020.</w:t>
            </w:r>
          </w:p>
        </w:tc>
        <w:tc>
          <w:tcPr>
            <w:tcW w:w="3261" w:type="dxa"/>
          </w:tcPr>
          <w:p w14:paraId="1559604D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Identify the effects of the COVID-19 pandemic on the US stock market.</w:t>
            </w:r>
          </w:p>
        </w:tc>
        <w:tc>
          <w:tcPr>
            <w:tcW w:w="1559" w:type="dxa"/>
          </w:tcPr>
          <w:p w14:paraId="20D02E8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S&amp;P 500 index.</w:t>
            </w:r>
          </w:p>
        </w:tc>
        <w:tc>
          <w:tcPr>
            <w:tcW w:w="1559" w:type="dxa"/>
          </w:tcPr>
          <w:p w14:paraId="6D960476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Multi-fractal analysis of trend fluctuations.</w:t>
            </w:r>
          </w:p>
        </w:tc>
        <w:tc>
          <w:tcPr>
            <w:tcW w:w="3082" w:type="dxa"/>
          </w:tcPr>
          <w:p w14:paraId="2F361E6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Persistent and non-persistent characteristics during the international financial crisis and the COVID-19 pandemic.</w:t>
            </w:r>
          </w:p>
        </w:tc>
      </w:tr>
      <w:tr w:rsidR="006415F9" w:rsidRPr="0015388B" w14:paraId="1D6E545C" w14:textId="77777777" w:rsidTr="00EA244A">
        <w:tc>
          <w:tcPr>
            <w:tcW w:w="1483" w:type="dxa"/>
          </w:tcPr>
          <w:p w14:paraId="777BD5A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Lyocsa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Plihal (2022)</w:t>
            </w:r>
          </w:p>
        </w:tc>
        <w:tc>
          <w:tcPr>
            <w:tcW w:w="1216" w:type="dxa"/>
          </w:tcPr>
          <w:p w14:paraId="64C0051D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Russie</w:t>
            </w:r>
          </w:p>
        </w:tc>
        <w:tc>
          <w:tcPr>
            <w:tcW w:w="1832" w:type="dxa"/>
          </w:tcPr>
          <w:p w14:paraId="35911236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December 1, 2021 - March 7, 2022.</w:t>
            </w:r>
          </w:p>
        </w:tc>
        <w:tc>
          <w:tcPr>
            <w:tcW w:w="3261" w:type="dxa"/>
          </w:tcPr>
          <w:p w14:paraId="197471F1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Modeling intraday fluctuations in the USD/RUB and EUR/RUB exchange rates.</w:t>
            </w:r>
          </w:p>
        </w:tc>
        <w:tc>
          <w:tcPr>
            <w:tcW w:w="1559" w:type="dxa"/>
          </w:tcPr>
          <w:p w14:paraId="2343F99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USD/RUB and EUR/RUB exchange rates</w:t>
            </w:r>
          </w:p>
        </w:tc>
        <w:tc>
          <w:tcPr>
            <w:tcW w:w="1559" w:type="dxa"/>
          </w:tcPr>
          <w:p w14:paraId="01CB54A1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HAR</w:t>
            </w:r>
          </w:p>
        </w:tc>
        <w:tc>
          <w:tcPr>
            <w:tcW w:w="3082" w:type="dxa"/>
          </w:tcPr>
          <w:p w14:paraId="707A432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During unexpected periods of crisis, such as the Russian-Ukrainian war, an accurate model of future price fluctuations should use high-frequency measures of implied volatility.</w:t>
            </w:r>
          </w:p>
        </w:tc>
      </w:tr>
      <w:tr w:rsidR="006415F9" w:rsidRPr="0015388B" w14:paraId="5C1EF082" w14:textId="77777777" w:rsidTr="00EA244A">
        <w:tc>
          <w:tcPr>
            <w:tcW w:w="1483" w:type="dxa"/>
          </w:tcPr>
          <w:p w14:paraId="2CA7124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US"/>
              </w:rPr>
              <w:t xml:space="preserve">Umar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US"/>
              </w:rPr>
              <w:t xml:space="preserve"> al (2023)</w:t>
            </w:r>
          </w:p>
        </w:tc>
        <w:tc>
          <w:tcPr>
            <w:tcW w:w="1216" w:type="dxa"/>
          </w:tcPr>
          <w:p w14:paraId="20752B3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US"/>
              </w:rPr>
              <w:t>N.A.</w:t>
            </w:r>
          </w:p>
        </w:tc>
        <w:tc>
          <w:tcPr>
            <w:tcW w:w="1832" w:type="dxa"/>
          </w:tcPr>
          <w:p w14:paraId="4A08061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February 02, 2022 - July 05, 2022.</w:t>
            </w:r>
          </w:p>
        </w:tc>
        <w:tc>
          <w:tcPr>
            <w:tcW w:w="3261" w:type="dxa"/>
          </w:tcPr>
          <w:p w14:paraId="30DE9F2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Examine the impact of the Russo-Ukrainian military conflict on various economic sectors.</w:t>
            </w:r>
          </w:p>
        </w:tc>
        <w:tc>
          <w:tcPr>
            <w:tcW w:w="1559" w:type="dxa"/>
          </w:tcPr>
          <w:p w14:paraId="678BC21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Seven stock market sector indices.</w:t>
            </w:r>
          </w:p>
        </w:tc>
        <w:tc>
          <w:tcPr>
            <w:tcW w:w="1559" w:type="dxa"/>
          </w:tcPr>
          <w:p w14:paraId="77A1543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Wavelet analysis</w:t>
            </w:r>
          </w:p>
        </w:tc>
        <w:tc>
          <w:tcPr>
            <w:tcW w:w="3082" w:type="dxa"/>
          </w:tcPr>
          <w:p w14:paraId="0329228B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Strong, high co-movements between stock market equities and geopolitical risk.</w:t>
            </w:r>
          </w:p>
        </w:tc>
      </w:tr>
      <w:tr w:rsidR="006415F9" w:rsidRPr="0015388B" w14:paraId="399E4576" w14:textId="77777777" w:rsidTr="00EA244A">
        <w:tc>
          <w:tcPr>
            <w:tcW w:w="1483" w:type="dxa"/>
          </w:tcPr>
          <w:p w14:paraId="29FD860B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Akhtaruzzaman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al (2021)</w:t>
            </w:r>
          </w:p>
        </w:tc>
        <w:tc>
          <w:tcPr>
            <w:tcW w:w="1216" w:type="dxa"/>
          </w:tcPr>
          <w:p w14:paraId="7E0C242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China and G7 countries.</w:t>
            </w:r>
          </w:p>
        </w:tc>
        <w:tc>
          <w:tcPr>
            <w:tcW w:w="1832" w:type="dxa"/>
          </w:tcPr>
          <w:p w14:paraId="32D46D1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January 1, 2013 - March 20, 2020.</w:t>
            </w:r>
          </w:p>
        </w:tc>
        <w:tc>
          <w:tcPr>
            <w:tcW w:w="3261" w:type="dxa"/>
          </w:tcPr>
          <w:p w14:paraId="1A6A2C1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Financial contagion between China and the G7 countries over the COVID-19 period.</w:t>
            </w:r>
          </w:p>
        </w:tc>
        <w:tc>
          <w:tcPr>
            <w:tcW w:w="1559" w:type="dxa"/>
          </w:tcPr>
          <w:p w14:paraId="7629C67E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Returns on financial and non-financial equities</w:t>
            </w:r>
          </w:p>
        </w:tc>
        <w:tc>
          <w:tcPr>
            <w:tcW w:w="1559" w:type="dxa"/>
          </w:tcPr>
          <w:p w14:paraId="3BB0B7B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DCC GARCH</w:t>
            </w:r>
          </w:p>
        </w:tc>
        <w:tc>
          <w:tcPr>
            <w:tcW w:w="3082" w:type="dxa"/>
          </w:tcPr>
          <w:p w14:paraId="0584257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Significant increase in conditional correlations between stock market returns over the COVID-19 period.</w:t>
            </w:r>
          </w:p>
        </w:tc>
      </w:tr>
      <w:tr w:rsidR="006415F9" w:rsidRPr="0015388B" w14:paraId="552876C0" w14:textId="77777777" w:rsidTr="00EA244A">
        <w:tc>
          <w:tcPr>
            <w:tcW w:w="1483" w:type="dxa"/>
          </w:tcPr>
          <w:p w14:paraId="07DB83AE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Kumar (2020)</w:t>
            </w:r>
          </w:p>
        </w:tc>
        <w:tc>
          <w:tcPr>
            <w:tcW w:w="1216" w:type="dxa"/>
          </w:tcPr>
          <w:p w14:paraId="0B576C7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N.A.</w:t>
            </w:r>
          </w:p>
        </w:tc>
        <w:tc>
          <w:tcPr>
            <w:tcW w:w="1832" w:type="dxa"/>
          </w:tcPr>
          <w:p w14:paraId="33E8412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January 05, 2015 - April 24, 2020.</w:t>
            </w:r>
          </w:p>
        </w:tc>
        <w:tc>
          <w:tcPr>
            <w:tcW w:w="3261" w:type="dxa"/>
          </w:tcPr>
          <w:p w14:paraId="7017888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Test the safe-haven value of gold and bitcoin against stock markets in the context of Covid-19.</w:t>
            </w:r>
          </w:p>
        </w:tc>
        <w:tc>
          <w:tcPr>
            <w:tcW w:w="1559" w:type="dxa"/>
          </w:tcPr>
          <w:p w14:paraId="51DD47FB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NSE50, DJIA, CAC40 and SSE; bitcoin and gold prices.</w:t>
            </w:r>
          </w:p>
        </w:tc>
        <w:tc>
          <w:tcPr>
            <w:tcW w:w="1559" w:type="dxa"/>
          </w:tcPr>
          <w:p w14:paraId="311F572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DCC GARCH and cDCC GARCH.</w:t>
            </w:r>
          </w:p>
        </w:tc>
        <w:tc>
          <w:tcPr>
            <w:tcW w:w="3082" w:type="dxa"/>
          </w:tcPr>
          <w:p w14:paraId="1A5F4D6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Gold and bitcoin are safe havens against the COVID-19 global health crisis.</w:t>
            </w:r>
          </w:p>
        </w:tc>
      </w:tr>
      <w:tr w:rsidR="006415F9" w:rsidRPr="0015388B" w14:paraId="15A45B0F" w14:textId="77777777" w:rsidTr="00EA244A">
        <w:tc>
          <w:tcPr>
            <w:tcW w:w="1483" w:type="dxa"/>
          </w:tcPr>
          <w:p w14:paraId="0C608EE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Gil-Alana (2020)</w:t>
            </w:r>
          </w:p>
        </w:tc>
        <w:tc>
          <w:tcPr>
            <w:tcW w:w="1216" w:type="dxa"/>
          </w:tcPr>
          <w:p w14:paraId="6F56DDA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N.A.</w:t>
            </w:r>
          </w:p>
        </w:tc>
        <w:tc>
          <w:tcPr>
            <w:tcW w:w="1832" w:type="dxa"/>
          </w:tcPr>
          <w:p w14:paraId="7282302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Daily data. Crypto currencies must have been traded on the market for at least 2 years.</w:t>
            </w:r>
          </w:p>
        </w:tc>
        <w:tc>
          <w:tcPr>
            <w:tcW w:w="3261" w:type="dxa"/>
          </w:tcPr>
          <w:p w14:paraId="077F066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Analysis of volatility persistence in 12 major crypto-currencies taking into account regime shifts.</w:t>
            </w:r>
          </w:p>
        </w:tc>
        <w:tc>
          <w:tcPr>
            <w:tcW w:w="1559" w:type="dxa"/>
          </w:tcPr>
          <w:p w14:paraId="2F24EE4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Bitcoin, Bitshare, Bytecoin, Dash, Ether, Litecoin, Monero, Nem, Ripple, Siacoin,</w:t>
            </w:r>
          </w:p>
          <w:p w14:paraId="36D65D0F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Stellar et Tether.</w:t>
            </w:r>
          </w:p>
        </w:tc>
        <w:tc>
          <w:tcPr>
            <w:tcW w:w="1559" w:type="dxa"/>
          </w:tcPr>
          <w:p w14:paraId="58BCC99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Fractional integration with long memory.</w:t>
            </w:r>
          </w:p>
        </w:tc>
        <w:tc>
          <w:tcPr>
            <w:tcW w:w="3082" w:type="dxa"/>
          </w:tcPr>
          <w:p w14:paraId="5D8D6D3B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Volatility implies that market actors need to take into consideration the persistency properties of crypto-currencies in their valuation and forecasting models.</w:t>
            </w:r>
          </w:p>
        </w:tc>
      </w:tr>
      <w:tr w:rsidR="006415F9" w:rsidRPr="0015388B" w14:paraId="49F3ED5D" w14:textId="77777777" w:rsidTr="00EA244A">
        <w:tc>
          <w:tcPr>
            <w:tcW w:w="1483" w:type="dxa"/>
          </w:tcPr>
          <w:p w14:paraId="5D46142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Ivanovski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Hailemariam (2021)</w:t>
            </w:r>
          </w:p>
        </w:tc>
        <w:tc>
          <w:tcPr>
            <w:tcW w:w="1216" w:type="dxa"/>
          </w:tcPr>
          <w:p w14:paraId="647F335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N.A.</w:t>
            </w:r>
          </w:p>
        </w:tc>
        <w:tc>
          <w:tcPr>
            <w:tcW w:w="1832" w:type="dxa"/>
          </w:tcPr>
          <w:p w14:paraId="7EE18C6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Monthly data: 1871:01 - 2020:10.</w:t>
            </w:r>
          </w:p>
        </w:tc>
        <w:tc>
          <w:tcPr>
            <w:tcW w:w="3261" w:type="dxa"/>
          </w:tcPr>
          <w:p w14:paraId="2DD38E81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Modeling and forecasting volatility and correlation between oil prices and equity returns.</w:t>
            </w:r>
          </w:p>
        </w:tc>
        <w:tc>
          <w:tcPr>
            <w:tcW w:w="1559" w:type="dxa"/>
          </w:tcPr>
          <w:p w14:paraId="280EAAEE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S&amp;P500 and oil prices.</w:t>
            </w:r>
          </w:p>
        </w:tc>
        <w:tc>
          <w:tcPr>
            <w:tcW w:w="1559" w:type="dxa"/>
          </w:tcPr>
          <w:p w14:paraId="55C02B8D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Generalized Autoregressive Score (GAS)</w:t>
            </w:r>
          </w:p>
        </w:tc>
        <w:tc>
          <w:tcPr>
            <w:tcW w:w="3082" w:type="dxa"/>
          </w:tcPr>
          <w:p w14:paraId="485397D0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Dynamic correlations between crude oil and stock market returns tend to increase significantly during periods of crisis.</w:t>
            </w:r>
          </w:p>
        </w:tc>
      </w:tr>
      <w:tr w:rsidR="006415F9" w:rsidRPr="0015388B" w14:paraId="2CCA3483" w14:textId="77777777" w:rsidTr="00EA244A">
        <w:tc>
          <w:tcPr>
            <w:tcW w:w="1483" w:type="dxa"/>
          </w:tcPr>
          <w:p w14:paraId="2DE5EAB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Ghorbel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al (2022)</w:t>
            </w:r>
          </w:p>
        </w:tc>
        <w:tc>
          <w:tcPr>
            <w:tcW w:w="1216" w:type="dxa"/>
          </w:tcPr>
          <w:p w14:paraId="686A57D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N.A.</w:t>
            </w:r>
          </w:p>
        </w:tc>
        <w:tc>
          <w:tcPr>
            <w:tcW w:w="1832" w:type="dxa"/>
          </w:tcPr>
          <w:p w14:paraId="52B848B1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January 01, 2019 - February 23, 2021.</w:t>
            </w:r>
          </w:p>
        </w:tc>
        <w:tc>
          <w:tcPr>
            <w:tcW w:w="3261" w:type="dxa"/>
          </w:tcPr>
          <w:p w14:paraId="02C97EA1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Examine the asymmetrical relationship between six crypto-currencies and seven stock prices, taking into account the effects of gold and oil prices.</w:t>
            </w:r>
          </w:p>
        </w:tc>
        <w:tc>
          <w:tcPr>
            <w:tcW w:w="1559" w:type="dxa"/>
          </w:tcPr>
          <w:p w14:paraId="070B8F2E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Six crypto-currencies and seven stock prices.</w:t>
            </w:r>
          </w:p>
        </w:tc>
        <w:tc>
          <w:tcPr>
            <w:tcW w:w="1559" w:type="dxa"/>
          </w:tcPr>
          <w:p w14:paraId="61807D0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NARDL</w:t>
            </w:r>
          </w:p>
        </w:tc>
        <w:tc>
          <w:tcPr>
            <w:tcW w:w="3082" w:type="dxa"/>
          </w:tcPr>
          <w:p w14:paraId="1949518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Gold can be a good hedging instrument or a safe haven against long-term equity prices.</w:t>
            </w:r>
          </w:p>
        </w:tc>
      </w:tr>
      <w:tr w:rsidR="006415F9" w:rsidRPr="0015388B" w14:paraId="085671CA" w14:textId="77777777" w:rsidTr="00EA244A">
        <w:tc>
          <w:tcPr>
            <w:tcW w:w="1483" w:type="dxa"/>
          </w:tcPr>
          <w:p w14:paraId="644D5875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lastRenderedPageBreak/>
              <w:t>Astrov (2022)</w:t>
            </w:r>
          </w:p>
        </w:tc>
        <w:tc>
          <w:tcPr>
            <w:tcW w:w="1216" w:type="dxa"/>
          </w:tcPr>
          <w:p w14:paraId="06477CA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Russia</w:t>
            </w:r>
          </w:p>
        </w:tc>
        <w:tc>
          <w:tcPr>
            <w:tcW w:w="1832" w:type="dxa"/>
          </w:tcPr>
          <w:p w14:paraId="7F86386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7 years: 2014 - 2020.</w:t>
            </w:r>
          </w:p>
        </w:tc>
        <w:tc>
          <w:tcPr>
            <w:tcW w:w="3261" w:type="dxa"/>
          </w:tcPr>
          <w:p w14:paraId="5B2EE5E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Study the impact of sanctions on the Russian economy.</w:t>
            </w:r>
          </w:p>
        </w:tc>
        <w:tc>
          <w:tcPr>
            <w:tcW w:w="1559" w:type="dxa"/>
          </w:tcPr>
          <w:p w14:paraId="31363C4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GDP, industrial production, goods exports, agricultural production, FDI stock.</w:t>
            </w:r>
          </w:p>
        </w:tc>
        <w:tc>
          <w:tcPr>
            <w:tcW w:w="1559" w:type="dxa"/>
          </w:tcPr>
          <w:p w14:paraId="08B2A76A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Stylized VARX.</w:t>
            </w:r>
          </w:p>
        </w:tc>
        <w:tc>
          <w:tcPr>
            <w:tcW w:w="3082" w:type="dxa"/>
          </w:tcPr>
          <w:p w14:paraId="48CD5584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Sanctions have had an impact on individuals and companies, with little effect on the global economy.</w:t>
            </w:r>
          </w:p>
        </w:tc>
      </w:tr>
      <w:tr w:rsidR="006415F9" w:rsidRPr="0015388B" w14:paraId="3566B034" w14:textId="77777777" w:rsidTr="00EA244A">
        <w:tc>
          <w:tcPr>
            <w:tcW w:w="1483" w:type="dxa"/>
          </w:tcPr>
          <w:p w14:paraId="7757F4C6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Ozili (2022)</w:t>
            </w:r>
          </w:p>
        </w:tc>
        <w:tc>
          <w:tcPr>
            <w:tcW w:w="1216" w:type="dxa"/>
          </w:tcPr>
          <w:p w14:paraId="04563816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Russia</w:t>
            </w:r>
          </w:p>
        </w:tc>
        <w:tc>
          <w:tcPr>
            <w:tcW w:w="1832" w:type="dxa"/>
          </w:tcPr>
          <w:p w14:paraId="7AB243AF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Monthly data: January 2004 - December 2021.</w:t>
            </w:r>
          </w:p>
        </w:tc>
        <w:tc>
          <w:tcPr>
            <w:tcW w:w="3261" w:type="dxa"/>
          </w:tcPr>
          <w:p w14:paraId="23DB8A69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Study the association between financial inclusion and sustainable development in a global context.</w:t>
            </w:r>
          </w:p>
        </w:tc>
        <w:tc>
          <w:tcPr>
            <w:tcW w:w="1559" w:type="dxa"/>
          </w:tcPr>
          <w:p w14:paraId="38599F1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CBB, CRW, ELC, IND, LIT, RNW, RNT, RDE, COE, COG, Google Trends data.</w:t>
            </w:r>
          </w:p>
        </w:tc>
        <w:tc>
          <w:tcPr>
            <w:tcW w:w="1559" w:type="dxa"/>
          </w:tcPr>
          <w:p w14:paraId="6139BB2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Correlation and causality in Granger's sense</w:t>
            </w:r>
          </w:p>
        </w:tc>
        <w:tc>
          <w:tcPr>
            <w:tcW w:w="3082" w:type="dxa"/>
          </w:tcPr>
          <w:p w14:paraId="7ECDBA08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The correlation between financial inclusion and sustainable development depends on the indicators used to measure financial inclusion and sustainable development.</w:t>
            </w:r>
          </w:p>
        </w:tc>
      </w:tr>
      <w:tr w:rsidR="006415F9" w:rsidRPr="0015388B" w14:paraId="178D0E5D" w14:textId="77777777" w:rsidTr="00EA244A">
        <w:tc>
          <w:tcPr>
            <w:tcW w:w="1483" w:type="dxa"/>
          </w:tcPr>
          <w:p w14:paraId="3F8298ED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Mbah </w:t>
            </w:r>
            <w:r>
              <w:rPr>
                <w:rFonts w:asciiTheme="majorBidi" w:hAnsiTheme="majorBidi" w:cstheme="majorBidi"/>
                <w:sz w:val="18"/>
                <w:szCs w:val="18"/>
                <w:lang w:val="en-US"/>
              </w:rPr>
              <w:t>and</w:t>
            </w: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al (2022)</w:t>
            </w:r>
          </w:p>
        </w:tc>
        <w:tc>
          <w:tcPr>
            <w:tcW w:w="1216" w:type="dxa"/>
          </w:tcPr>
          <w:p w14:paraId="1031945E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Russia, USA, Canada, UK and EU.</w:t>
            </w:r>
          </w:p>
        </w:tc>
        <w:tc>
          <w:tcPr>
            <w:tcW w:w="1832" w:type="dxa"/>
          </w:tcPr>
          <w:p w14:paraId="59158C93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N.A.</w:t>
            </w:r>
          </w:p>
        </w:tc>
        <w:tc>
          <w:tcPr>
            <w:tcW w:w="3261" w:type="dxa"/>
          </w:tcPr>
          <w:p w14:paraId="2ABEC69C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Examine the economic impact of the Russia-Ukraine war of 2022 on the world’s major economic actors.</w:t>
            </w:r>
          </w:p>
        </w:tc>
        <w:tc>
          <w:tcPr>
            <w:tcW w:w="1559" w:type="dxa"/>
          </w:tcPr>
          <w:p w14:paraId="73D61507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N.A.</w:t>
            </w:r>
          </w:p>
        </w:tc>
        <w:tc>
          <w:tcPr>
            <w:tcW w:w="1559" w:type="dxa"/>
          </w:tcPr>
          <w:p w14:paraId="76F19CE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N.A.</w:t>
            </w:r>
          </w:p>
        </w:tc>
        <w:tc>
          <w:tcPr>
            <w:tcW w:w="3082" w:type="dxa"/>
          </w:tcPr>
          <w:p w14:paraId="2E1C874F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This crisis would lead to higher inflation, reduced household consumption, supply chain disruptions, uncertainty, impediments to economic growth, reduced investment, and </w:t>
            </w:r>
          </w:p>
          <w:p w14:paraId="177FA942" w14:textId="77777777" w:rsidR="006415F9" w:rsidRPr="009B79BC" w:rsidRDefault="006415F9" w:rsidP="00EA244A">
            <w:pPr>
              <w:tabs>
                <w:tab w:val="left" w:pos="1276"/>
              </w:tabs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  <w:r w:rsidRPr="009B79BC">
              <w:rPr>
                <w:rFonts w:asciiTheme="majorBidi" w:hAnsiTheme="majorBidi" w:cstheme="majorBidi"/>
                <w:sz w:val="18"/>
                <w:szCs w:val="18"/>
                <w:lang w:val="en-US"/>
              </w:rPr>
              <w:t>stock market fluctuations worldwide and in Europe in particular.</w:t>
            </w:r>
          </w:p>
        </w:tc>
      </w:tr>
    </w:tbl>
    <w:p w14:paraId="196CC0E8" w14:textId="77777777" w:rsidR="006415F9" w:rsidRPr="002D4440" w:rsidRDefault="006415F9" w:rsidP="006415F9">
      <w:pPr>
        <w:spacing w:before="120" w:after="120"/>
        <w:rPr>
          <w:rFonts w:asciiTheme="majorBidi" w:hAnsiTheme="majorBidi" w:cstheme="majorBidi"/>
          <w:sz w:val="24"/>
          <w:szCs w:val="24"/>
          <w:lang w:val="en-US"/>
        </w:rPr>
      </w:pPr>
    </w:p>
    <w:p w14:paraId="375FDFE5" w14:textId="77777777" w:rsidR="00F553FF" w:rsidRDefault="00F553FF"/>
    <w:sectPr w:rsidR="00F553FF" w:rsidSect="002D4440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5F9"/>
    <w:rsid w:val="006415F9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D8BFA"/>
  <w15:chartTrackingRefBased/>
  <w15:docId w15:val="{6AD4B41D-D1F2-4648-BD5B-BF69665BF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15F9"/>
    <w:pPr>
      <w:spacing w:after="0" w:line="240" w:lineRule="auto"/>
      <w:jc w:val="both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15F9"/>
    <w:pPr>
      <w:spacing w:after="0" w:line="240" w:lineRule="auto"/>
      <w:jc w:val="both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1183</Words>
  <Characters>6744</Characters>
  <Application>Microsoft Office Word</Application>
  <DocSecurity>0</DocSecurity>
  <Lines>56</Lines>
  <Paragraphs>15</Paragraphs>
  <ScaleCrop>false</ScaleCrop>
  <Company>Springer Nature</Company>
  <LinksUpToDate>false</LinksUpToDate>
  <CharactersWithSpaces>7912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2023-07-25T09:53:00Z</dcterms:created>
  <dcterms:modified xsi:type="dcterms:W3CDTF">2023-07-25T09:53:00Z</dcterms:modified>
</cp:coreProperties>
</file>