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CEF" w:rsidRDefault="00566CEF" w:rsidP="00566CEF">
      <w:pPr>
        <w:jc w:val="center"/>
        <w:rPr>
          <w:b/>
        </w:rPr>
      </w:pPr>
      <w:r>
        <w:rPr>
          <w:b/>
        </w:rPr>
        <w:t>A</w:t>
      </w:r>
      <w:r w:rsidR="00A11773">
        <w:rPr>
          <w:b/>
        </w:rPr>
        <w:t xml:space="preserve">ppendix </w:t>
      </w:r>
      <w:r>
        <w:rPr>
          <w:rFonts w:hint="eastAsia"/>
          <w:b/>
          <w:lang w:eastAsia="ko-KR"/>
        </w:rPr>
        <w:t>T</w:t>
      </w:r>
      <w:r w:rsidR="00A11773">
        <w:rPr>
          <w:b/>
          <w:lang w:eastAsia="ko-KR"/>
        </w:rPr>
        <w:t>ables</w:t>
      </w:r>
    </w:p>
    <w:p w:rsidR="00566CEF" w:rsidRPr="00A47312" w:rsidRDefault="00566CEF" w:rsidP="00566CEF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Appendix </w:t>
      </w:r>
      <w:r w:rsidRPr="00A47312">
        <w:rPr>
          <w:rFonts w:cs="Times New Roman"/>
          <w:b/>
          <w:szCs w:val="24"/>
        </w:rPr>
        <w:t>Table</w:t>
      </w:r>
      <w:r>
        <w:rPr>
          <w:rFonts w:cs="Times New Roman"/>
          <w:b/>
          <w:szCs w:val="24"/>
        </w:rPr>
        <w:t xml:space="preserve"> </w:t>
      </w:r>
      <w:r w:rsidRPr="00A47312"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t>: Categories of Expenditure Derived from the Consumer Expenditure Survey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"/>
        <w:gridCol w:w="1629"/>
        <w:gridCol w:w="7188"/>
      </w:tblGrid>
      <w:tr w:rsidR="00566CEF" w:rsidRPr="003B3A6D" w:rsidTr="008D0C73">
        <w:trPr>
          <w:trHeight w:val="330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66CEF" w:rsidRPr="00B825F7" w:rsidRDefault="00566CEF" w:rsidP="008D0C73">
            <w:pPr>
              <w:spacing w:line="240" w:lineRule="auto"/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66CEF" w:rsidRPr="00B825F7" w:rsidRDefault="00566CEF" w:rsidP="008D0C73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825F7">
              <w:rPr>
                <w:rFonts w:cs="Times New Roman"/>
                <w:b/>
                <w:szCs w:val="24"/>
              </w:rPr>
              <w:t>Categories</w:t>
            </w:r>
          </w:p>
        </w:tc>
        <w:tc>
          <w:tcPr>
            <w:tcW w:w="7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66CEF" w:rsidRPr="00B825F7" w:rsidRDefault="00566CEF" w:rsidP="008D0C73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825F7">
              <w:rPr>
                <w:rFonts w:cs="Times New Roman"/>
                <w:b/>
                <w:szCs w:val="24"/>
              </w:rPr>
              <w:t>Description</w:t>
            </w:r>
          </w:p>
        </w:tc>
      </w:tr>
      <w:tr w:rsidR="00566CEF" w:rsidRPr="003B3A6D" w:rsidTr="008D0C73">
        <w:trPr>
          <w:trHeight w:val="955"/>
        </w:trPr>
        <w:tc>
          <w:tcPr>
            <w:tcW w:w="513" w:type="dxa"/>
            <w:tcBorders>
              <w:top w:val="single" w:sz="4" w:space="0" w:color="auto"/>
            </w:tcBorders>
            <w:noWrap/>
            <w:hideMark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B825F7">
              <w:rPr>
                <w:rFonts w:cs="Times New Roman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566CEF" w:rsidRPr="00067E26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067E26">
              <w:rPr>
                <w:rFonts w:cs="Times New Roman"/>
                <w:szCs w:val="24"/>
              </w:rPr>
              <w:t xml:space="preserve">Total Food Expenditure </w:t>
            </w:r>
          </w:p>
        </w:tc>
        <w:tc>
          <w:tcPr>
            <w:tcW w:w="7188" w:type="dxa"/>
            <w:tcBorders>
              <w:top w:val="single" w:sz="4" w:space="0" w:color="auto"/>
            </w:tcBorders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 w:rsidRPr="00B825F7">
              <w:rPr>
                <w:rFonts w:cs="Times New Roman"/>
                <w:sz w:val="20"/>
                <w:szCs w:val="24"/>
              </w:rPr>
              <w:t>Total expenditures on</w:t>
            </w:r>
            <w:r>
              <w:rPr>
                <w:rFonts w:cs="Times New Roman"/>
                <w:sz w:val="20"/>
                <w:szCs w:val="24"/>
              </w:rPr>
              <w:t xml:space="preserve"> f</w:t>
            </w:r>
            <w:r w:rsidRPr="00DF7D74">
              <w:rPr>
                <w:rFonts w:cs="Times New Roman"/>
                <w:sz w:val="20"/>
                <w:szCs w:val="24"/>
              </w:rPr>
              <w:t>ood (not including alcohol) purchased at grocery stores and convenience stores for home consumption. Food purchased at school (school meals) or employment; food at catered events; food during out of town trips; dining out at restaurants (including alcohol</w:t>
            </w:r>
            <w:r>
              <w:rPr>
                <w:rFonts w:cs="Times New Roman"/>
                <w:sz w:val="20"/>
                <w:szCs w:val="24"/>
              </w:rPr>
              <w:t xml:space="preserve"> and tobacco purchases</w:t>
            </w:r>
            <w:r w:rsidRPr="00DF7D74">
              <w:rPr>
                <w:rFonts w:cs="Times New Roman"/>
                <w:sz w:val="20"/>
                <w:szCs w:val="24"/>
              </w:rPr>
              <w:t xml:space="preserve">). </w:t>
            </w:r>
          </w:p>
        </w:tc>
      </w:tr>
      <w:tr w:rsidR="00566CEF" w:rsidRPr="003B3A6D" w:rsidTr="008D0C73">
        <w:trPr>
          <w:trHeight w:val="899"/>
        </w:trPr>
        <w:tc>
          <w:tcPr>
            <w:tcW w:w="513" w:type="dxa"/>
            <w:noWrap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B825F7">
              <w:rPr>
                <w:rFonts w:cs="Times New Roman"/>
                <w:szCs w:val="24"/>
              </w:rPr>
              <w:t>2</w:t>
            </w:r>
          </w:p>
        </w:tc>
        <w:tc>
          <w:tcPr>
            <w:tcW w:w="1629" w:type="dxa"/>
          </w:tcPr>
          <w:p w:rsidR="00566CEF" w:rsidRPr="00067E26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067E26">
              <w:rPr>
                <w:rFonts w:cs="Times New Roman"/>
                <w:szCs w:val="24"/>
              </w:rPr>
              <w:t>Total Non-Food Expenditure</w:t>
            </w:r>
          </w:p>
        </w:tc>
        <w:tc>
          <w:tcPr>
            <w:tcW w:w="7188" w:type="dxa"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 w:rsidRPr="00B825F7">
              <w:rPr>
                <w:rFonts w:cs="Times New Roman"/>
                <w:sz w:val="20"/>
                <w:szCs w:val="24"/>
              </w:rPr>
              <w:t>Total expenditures on all</w:t>
            </w:r>
            <w:r>
              <w:rPr>
                <w:rFonts w:cs="Times New Roman"/>
                <w:sz w:val="20"/>
                <w:szCs w:val="24"/>
              </w:rPr>
              <w:t xml:space="preserve"> non-food items including Education, Entertainment, Housing, Utilities, Transportation, Healthcare, and other household consumption items (e.g., furnishing and appliances, clothing, other personal items). </w:t>
            </w:r>
          </w:p>
        </w:tc>
      </w:tr>
      <w:tr w:rsidR="00566CEF" w:rsidRPr="003B3A6D" w:rsidTr="008D0C73">
        <w:trPr>
          <w:trHeight w:val="1083"/>
        </w:trPr>
        <w:tc>
          <w:tcPr>
            <w:tcW w:w="513" w:type="dxa"/>
            <w:noWrap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3</w:t>
            </w:r>
          </w:p>
        </w:tc>
        <w:tc>
          <w:tcPr>
            <w:tcW w:w="1629" w:type="dxa"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 xml:space="preserve">Education and Enrichment </w:t>
            </w:r>
          </w:p>
        </w:tc>
        <w:tc>
          <w:tcPr>
            <w:tcW w:w="7188" w:type="dxa"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 w:rsidRPr="00A86825">
              <w:rPr>
                <w:rFonts w:cs="Times New Roman"/>
                <w:sz w:val="20"/>
                <w:szCs w:val="24"/>
              </w:rPr>
              <w:t>Recreational lessons, tutoring, and other instruction. Babysitting, nursery school and daycare centers. School tuition. School-related books, supplies and equipment. Books and magazines (not related to school). Private school transportation.</w:t>
            </w:r>
            <w:r>
              <w:t xml:space="preserve"> </w:t>
            </w:r>
            <w:r w:rsidRPr="00A86825">
              <w:rPr>
                <w:rFonts w:cs="Times New Roman"/>
                <w:sz w:val="20"/>
                <w:szCs w:val="24"/>
              </w:rPr>
              <w:t>Admission fees for entertainment activities, (movie, theater, concert, sporting events); Sports-related items and general sports equipment; Personal electronic equipment. Membership fees for country clubs, health clubs, or other recreational organizations.</w:t>
            </w:r>
          </w:p>
        </w:tc>
      </w:tr>
      <w:tr w:rsidR="00566CEF" w:rsidRPr="003B3A6D" w:rsidTr="008D0C73">
        <w:trPr>
          <w:trHeight w:val="156"/>
        </w:trPr>
        <w:tc>
          <w:tcPr>
            <w:tcW w:w="513" w:type="dxa"/>
            <w:noWrap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4</w:t>
            </w:r>
          </w:p>
        </w:tc>
        <w:tc>
          <w:tcPr>
            <w:tcW w:w="1629" w:type="dxa"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Housing</w:t>
            </w:r>
          </w:p>
        </w:tc>
        <w:tc>
          <w:tcPr>
            <w:tcW w:w="7188" w:type="dxa"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 w:rsidRPr="00A86825">
              <w:rPr>
                <w:rFonts w:cs="Times New Roman"/>
                <w:sz w:val="20"/>
                <w:szCs w:val="24"/>
              </w:rPr>
              <w:t>Shelter expenditures in home city, including mortgage principle and interest for owned home and/or vacation home, rents, insurance, taxes, and maintenance.</w:t>
            </w:r>
          </w:p>
        </w:tc>
      </w:tr>
      <w:tr w:rsidR="00566CEF" w:rsidRPr="003B3A6D" w:rsidTr="008D0C73">
        <w:trPr>
          <w:trHeight w:val="156"/>
        </w:trPr>
        <w:tc>
          <w:tcPr>
            <w:tcW w:w="513" w:type="dxa"/>
            <w:noWrap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5</w:t>
            </w:r>
          </w:p>
        </w:tc>
        <w:tc>
          <w:tcPr>
            <w:tcW w:w="1629" w:type="dxa"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Utilities</w:t>
            </w:r>
          </w:p>
        </w:tc>
        <w:tc>
          <w:tcPr>
            <w:tcW w:w="7188" w:type="dxa"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 w:rsidRPr="00A86825">
              <w:rPr>
                <w:rFonts w:cs="Times New Roman"/>
                <w:sz w:val="20"/>
                <w:szCs w:val="24"/>
              </w:rPr>
              <w:t>Natural gas, electricity, telephone services, water and other public service, and fuel oil and other fuels.</w:t>
            </w:r>
          </w:p>
        </w:tc>
      </w:tr>
      <w:tr w:rsidR="00566CEF" w:rsidRPr="003B3A6D" w:rsidTr="008D0C73">
        <w:trPr>
          <w:trHeight w:val="156"/>
        </w:trPr>
        <w:tc>
          <w:tcPr>
            <w:tcW w:w="513" w:type="dxa"/>
            <w:noWrap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6</w:t>
            </w:r>
          </w:p>
        </w:tc>
        <w:tc>
          <w:tcPr>
            <w:tcW w:w="1629" w:type="dxa"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Transportation</w:t>
            </w:r>
          </w:p>
        </w:tc>
        <w:tc>
          <w:tcPr>
            <w:tcW w:w="7188" w:type="dxa"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 w:rsidRPr="00A86825">
              <w:rPr>
                <w:rFonts w:cs="Times New Roman"/>
                <w:sz w:val="20"/>
                <w:szCs w:val="24"/>
              </w:rPr>
              <w:t>Vehicle maintenance and repair, vehicle insurance, vehicle fee, public transportation, gasoline and other motor fuel.</w:t>
            </w:r>
          </w:p>
        </w:tc>
      </w:tr>
      <w:tr w:rsidR="00566CEF" w:rsidRPr="003B3A6D" w:rsidTr="008D0C73">
        <w:trPr>
          <w:trHeight w:val="156"/>
        </w:trPr>
        <w:tc>
          <w:tcPr>
            <w:tcW w:w="513" w:type="dxa"/>
            <w:noWrap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 w:rsidRPr="00557858">
              <w:rPr>
                <w:rFonts w:cs="Times New Roman"/>
                <w:szCs w:val="24"/>
              </w:rPr>
              <w:t>7</w:t>
            </w:r>
          </w:p>
        </w:tc>
        <w:tc>
          <w:tcPr>
            <w:tcW w:w="1629" w:type="dxa"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Healthc</w:t>
            </w:r>
            <w:r w:rsidRPr="00557858">
              <w:rPr>
                <w:rFonts w:cs="Times New Roman"/>
                <w:szCs w:val="24"/>
              </w:rPr>
              <w:t>are</w:t>
            </w:r>
          </w:p>
        </w:tc>
        <w:tc>
          <w:tcPr>
            <w:tcW w:w="7188" w:type="dxa"/>
          </w:tcPr>
          <w:p w:rsidR="00566CEF" w:rsidRPr="00B825F7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 w:rsidRPr="00A86825">
              <w:rPr>
                <w:rFonts w:cs="Times New Roman"/>
                <w:sz w:val="20"/>
                <w:szCs w:val="24"/>
              </w:rPr>
              <w:t xml:space="preserve">Health insurance, medical services (Physician, dental, eye-care etc.), and medical care (Lab tests, x-rays, hospital stay, etc.) </w:t>
            </w:r>
          </w:p>
        </w:tc>
      </w:tr>
      <w:tr w:rsidR="00566CEF" w:rsidRPr="003B3A6D" w:rsidTr="008D0C73">
        <w:trPr>
          <w:trHeight w:val="156"/>
        </w:trPr>
        <w:tc>
          <w:tcPr>
            <w:tcW w:w="513" w:type="dxa"/>
            <w:noWrap/>
          </w:tcPr>
          <w:p w:rsidR="00566CEF" w:rsidRPr="00557858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629" w:type="dxa"/>
          </w:tcPr>
          <w:p w:rsidR="00566CEF" w:rsidRDefault="00566CEF" w:rsidP="008D0C7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Other</w:t>
            </w:r>
          </w:p>
        </w:tc>
        <w:tc>
          <w:tcPr>
            <w:tcW w:w="7188" w:type="dxa"/>
          </w:tcPr>
          <w:p w:rsidR="00566CEF" w:rsidRPr="00A86825" w:rsidRDefault="00566CEF" w:rsidP="008D0C73">
            <w:pPr>
              <w:spacing w:line="240" w:lineRule="auto"/>
              <w:rPr>
                <w:rFonts w:cs="Times New Roman"/>
                <w:sz w:val="20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 xml:space="preserve">All other expenditures not included in categories 3-7 (Household operations, household furnishing and appliances, clothing, footwear, jewelry, personal care items, etc.) </w:t>
            </w:r>
          </w:p>
        </w:tc>
      </w:tr>
    </w:tbl>
    <w:p w:rsidR="00566CEF" w:rsidRDefault="00566CEF" w:rsidP="00566CEF">
      <w:pPr>
        <w:spacing w:after="160" w:line="259" w:lineRule="auto"/>
        <w:rPr>
          <w:b/>
        </w:rPr>
      </w:pPr>
      <w:r w:rsidRPr="00E6791A">
        <w:rPr>
          <w:sz w:val="20"/>
          <w:szCs w:val="20"/>
        </w:rPr>
        <w:t xml:space="preserve">Notes: </w:t>
      </w:r>
      <w:r>
        <w:rPr>
          <w:sz w:val="20"/>
          <w:szCs w:val="20"/>
        </w:rPr>
        <w:t xml:space="preserve">Rows 3-8 are sub-items from the Total Non-food Expenditure category.  </w:t>
      </w:r>
    </w:p>
    <w:p w:rsidR="00566CEF" w:rsidRDefault="00566CEF" w:rsidP="00566CEF">
      <w:pPr>
        <w:spacing w:after="160" w:line="259" w:lineRule="auto"/>
        <w:rPr>
          <w:b/>
        </w:rPr>
      </w:pPr>
    </w:p>
    <w:p w:rsidR="00566CEF" w:rsidRDefault="00566CEF" w:rsidP="00566CEF">
      <w:pPr>
        <w:spacing w:line="240" w:lineRule="auto"/>
        <w:rPr>
          <w:b/>
        </w:rPr>
      </w:pPr>
    </w:p>
    <w:p w:rsidR="00566CEF" w:rsidRDefault="00566CEF" w:rsidP="00566CEF">
      <w:pPr>
        <w:spacing w:after="160" w:line="259" w:lineRule="auto"/>
        <w:rPr>
          <w:b/>
        </w:rPr>
      </w:pPr>
      <w:r>
        <w:rPr>
          <w:b/>
        </w:rPr>
        <w:br/>
      </w:r>
    </w:p>
    <w:p w:rsidR="00566CEF" w:rsidRPr="00763B5A" w:rsidRDefault="00566CEF" w:rsidP="00566CEF">
      <w:pPr>
        <w:spacing w:after="160" w:line="259" w:lineRule="auto"/>
      </w:pPr>
      <w:r>
        <w:rPr>
          <w:b/>
        </w:rPr>
        <w:br w:type="page"/>
      </w:r>
    </w:p>
    <w:p w:rsidR="00566CEF" w:rsidRDefault="00566CEF" w:rsidP="00566CEF">
      <w:pPr>
        <w:spacing w:line="240" w:lineRule="auto"/>
      </w:pPr>
      <w:r>
        <w:rPr>
          <w:b/>
        </w:rPr>
        <w:lastRenderedPageBreak/>
        <w:t>Appendix Table 2</w:t>
      </w:r>
      <w:r>
        <w:rPr>
          <w:b/>
        </w:rPr>
        <w:tab/>
      </w:r>
      <w:r w:rsidRPr="00A5140F">
        <w:t xml:space="preserve">First </w:t>
      </w:r>
      <w:r>
        <w:t>s</w:t>
      </w:r>
      <w:r w:rsidRPr="00A5140F">
        <w:t xml:space="preserve">tage </w:t>
      </w:r>
      <w:r>
        <w:t>i</w:t>
      </w:r>
      <w:r w:rsidRPr="00A5140F">
        <w:t xml:space="preserve">nstrumental </w:t>
      </w:r>
      <w:r>
        <w:t>v</w:t>
      </w:r>
      <w:r w:rsidRPr="00A5140F">
        <w:t xml:space="preserve">ariable </w:t>
      </w:r>
      <w:r>
        <w:t>r</w:t>
      </w:r>
      <w:r w:rsidRPr="00A5140F">
        <w:t xml:space="preserve">esults by </w:t>
      </w:r>
      <w:r>
        <w:t>m</w:t>
      </w:r>
      <w:r w:rsidRPr="00A5140F">
        <w:t xml:space="preserve">odel and </w:t>
      </w:r>
      <w:r>
        <w:t>s</w:t>
      </w:r>
      <w:r w:rsidRPr="00A5140F">
        <w:t xml:space="preserve">ample </w:t>
      </w:r>
      <w:r>
        <w:t>s</w:t>
      </w:r>
      <w:r w:rsidRPr="00A5140F">
        <w:t>pecification</w:t>
      </w:r>
      <w:r>
        <w:t xml:space="preserve"> </w:t>
      </w:r>
      <w:r w:rsidRPr="00763B5A">
        <w:t xml:space="preserve">for </w:t>
      </w:r>
      <w:r>
        <w:t>h</w:t>
      </w:r>
      <w:r w:rsidRPr="00763B5A">
        <w:t xml:space="preserve">ouseholds </w:t>
      </w:r>
      <w:r w:rsidRPr="00763B5A">
        <w:rPr>
          <w:rFonts w:cs="Times New Roman"/>
        </w:rPr>
        <w:t>≤</w:t>
      </w:r>
      <w:r w:rsidRPr="00763B5A">
        <w:t xml:space="preserve"> 185% of FPL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944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566CEF" w:rsidTr="008D0C73">
        <w:tc>
          <w:tcPr>
            <w:tcW w:w="846" w:type="dxa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line="240" w:lineRule="auto"/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All households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Hs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with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26" style="width:0;height:1.5pt" o:hralign="center" o:hrstd="t" o:hr="t" fillcolor="#a0a0a0" stroked="f"/>
              </w:pic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Hs 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without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27" style="width:0;height:1.5pt" o:hralign="center" o:hrstd="t" o:hr="t" fillcolor="#a0a0a0" stroked="f"/>
              </w:pict>
            </w:r>
          </w:p>
        </w:tc>
      </w:tr>
      <w:tr w:rsidR="00566CEF" w:rsidTr="008D0C73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:rsidR="00566CEF" w:rsidRDefault="00566CEF" w:rsidP="008D0C73">
            <w:pPr>
              <w:spacing w:line="240" w:lineRule="auto"/>
            </w:pPr>
            <w:r>
              <w:rPr>
                <w:rFonts w:hint="eastAsia"/>
              </w:rPr>
              <w:t>I</w:t>
            </w:r>
            <w:r>
              <w:t>Vs</w:t>
            </w:r>
          </w:p>
        </w:tc>
        <w:tc>
          <w:tcPr>
            <w:tcW w:w="944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566CEF" w:rsidRPr="0003760D" w:rsidTr="008D0C73">
        <w:tc>
          <w:tcPr>
            <w:tcW w:w="846" w:type="dxa"/>
            <w:tcBorders>
              <w:top w:val="single" w:sz="4" w:space="0" w:color="auto"/>
            </w:tcBorders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BBCE</w:t>
            </w:r>
          </w:p>
        </w:tc>
        <w:tc>
          <w:tcPr>
            <w:tcW w:w="944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0.002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66CEF" w:rsidRPr="0003760D" w:rsidTr="008D0C73">
        <w:tc>
          <w:tcPr>
            <w:tcW w:w="846" w:type="dxa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(0.002)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(0.004)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(0.002)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66CEF" w:rsidRPr="0003760D" w:rsidTr="008D0C73">
        <w:tc>
          <w:tcPr>
            <w:tcW w:w="846" w:type="dxa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03760D">
              <w:rPr>
                <w:rFonts w:cs="Times New Roman" w:hint="eastAsia"/>
                <w:color w:val="000000"/>
                <w:sz w:val="20"/>
                <w:szCs w:val="20"/>
              </w:rPr>
              <w:t>C</w:t>
            </w:r>
            <w:r w:rsidRPr="0003760D">
              <w:rPr>
                <w:rFonts w:cs="Times New Roman"/>
                <w:color w:val="000000"/>
                <w:sz w:val="20"/>
                <w:szCs w:val="20"/>
              </w:rPr>
              <w:t>AP</w:t>
            </w: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0.024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0.026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0.008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0.010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0.020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0.021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66CEF" w:rsidRPr="0003760D" w:rsidTr="008D0C73">
        <w:tc>
          <w:tcPr>
            <w:tcW w:w="846" w:type="dxa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(0.010)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(0.011)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(0.013)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(0.013)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(0.012)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(0.013)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66CEF" w:rsidRPr="0003760D" w:rsidTr="008D0C73">
        <w:tc>
          <w:tcPr>
            <w:tcW w:w="846" w:type="dxa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BI</w:t>
            </w: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-0.039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-0.041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-0.046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-0.032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-0.035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-0.038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-0.043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-0.046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-0.050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566CEF" w:rsidRPr="0003760D" w:rsidTr="008D0C73">
        <w:tc>
          <w:tcPr>
            <w:tcW w:w="846" w:type="dxa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(0.008)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(0.007)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(0.006)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(0.014)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(0.012)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(0.012)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(0.010)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(0.010)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(0.010)</w:t>
            </w:r>
          </w:p>
        </w:tc>
      </w:tr>
      <w:tr w:rsidR="00566CEF" w:rsidRPr="0003760D" w:rsidTr="008D0C73">
        <w:tc>
          <w:tcPr>
            <w:tcW w:w="846" w:type="dxa"/>
            <w:vAlign w:val="bottom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03760D">
              <w:rPr>
                <w:rFonts w:cs="Times New Roman"/>
                <w:color w:val="000000"/>
                <w:sz w:val="20"/>
                <w:szCs w:val="20"/>
              </w:rPr>
              <w:t>Obs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43,484</w:t>
            </w:r>
          </w:p>
        </w:tc>
      </w:tr>
      <w:tr w:rsidR="00566CEF" w:rsidRPr="0003760D" w:rsidTr="008D0C73">
        <w:tc>
          <w:tcPr>
            <w:tcW w:w="846" w:type="dxa"/>
            <w:vAlign w:val="bottom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03760D">
              <w:rPr>
                <w:rFonts w:cs="Times New Roman"/>
                <w:color w:val="000000"/>
                <w:sz w:val="20"/>
                <w:szCs w:val="20"/>
              </w:rPr>
              <w:t>R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0.220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0.220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0.220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0.234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0.234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0.234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0.154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0.154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0.154</w:t>
            </w:r>
          </w:p>
        </w:tc>
      </w:tr>
      <w:tr w:rsidR="00566CEF" w:rsidRPr="0003760D" w:rsidTr="008D0C73">
        <w:tc>
          <w:tcPr>
            <w:tcW w:w="846" w:type="dxa"/>
            <w:vAlign w:val="bottom"/>
          </w:tcPr>
          <w:p w:rsidR="00566CEF" w:rsidRPr="0003760D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03760D">
              <w:rPr>
                <w:rFonts w:cs="Times New Roman"/>
                <w:color w:val="000000"/>
                <w:sz w:val="20"/>
                <w:szCs w:val="20"/>
              </w:rPr>
              <w:t>F-stat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44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16.45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25.39</w:t>
            </w:r>
          </w:p>
        </w:tc>
        <w:tc>
          <w:tcPr>
            <w:tcW w:w="945" w:type="dxa"/>
            <w:vAlign w:val="bottom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50.72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3.70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4.76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10.66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8.51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12.24</w:t>
            </w:r>
          </w:p>
        </w:tc>
        <w:tc>
          <w:tcPr>
            <w:tcW w:w="945" w:type="dxa"/>
          </w:tcPr>
          <w:p w:rsidR="00566CEF" w:rsidRPr="00763B5A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63B5A">
              <w:rPr>
                <w:rFonts w:cs="Times New Roman"/>
                <w:sz w:val="20"/>
                <w:szCs w:val="20"/>
              </w:rPr>
              <w:t>23.13</w:t>
            </w:r>
          </w:p>
        </w:tc>
      </w:tr>
    </w:tbl>
    <w:p w:rsidR="00566CEF" w:rsidRPr="00CC562A" w:rsidRDefault="00566CEF" w:rsidP="00566CEF">
      <w:pPr>
        <w:spacing w:after="0"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Notes: Each column is a separate regression predicting SNAP participation. Each includes household and state-level controls as well as state, month and year dummies. Robust standard errors clustered at the state level are reported in parenthesis. Sampling</w:t>
      </w:r>
      <w:r w:rsidRPr="00282D92">
        <w:rPr>
          <w:rFonts w:eastAsia="Times New Roman" w:cs="Times New Roman"/>
          <w:color w:val="000000"/>
          <w:sz w:val="22"/>
        </w:rPr>
        <w:t xml:space="preserve"> </w:t>
      </w:r>
      <w:r>
        <w:rPr>
          <w:rFonts w:eastAsia="Times New Roman" w:cs="Times New Roman"/>
          <w:color w:val="000000"/>
          <w:sz w:val="22"/>
        </w:rPr>
        <w:t xml:space="preserve">weights are applied. </w:t>
      </w:r>
      <w:r w:rsidRPr="00F92A51">
        <w:rPr>
          <w:rFonts w:eastAsia="Times New Roman" w:cs="Times New Roman"/>
          <w:color w:val="000000"/>
          <w:sz w:val="22"/>
        </w:rPr>
        <w:t>**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p&lt;0.0</w:t>
      </w:r>
      <w:r>
        <w:rPr>
          <w:rFonts w:eastAsia="Times New Roman" w:cs="Times New Roman"/>
          <w:color w:val="000000"/>
          <w:sz w:val="22"/>
        </w:rPr>
        <w:t>0</w:t>
      </w:r>
      <w:r w:rsidRPr="00F92A51">
        <w:rPr>
          <w:rFonts w:eastAsia="Times New Roman" w:cs="Times New Roman"/>
          <w:color w:val="000000"/>
          <w:sz w:val="22"/>
        </w:rPr>
        <w:t>1, *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p&lt;0.0</w:t>
      </w:r>
      <w:r>
        <w:rPr>
          <w:rFonts w:eastAsia="Times New Roman" w:cs="Times New Roman"/>
          <w:color w:val="000000"/>
          <w:sz w:val="22"/>
        </w:rPr>
        <w:t>1</w:t>
      </w:r>
      <w:r w:rsidRPr="00F92A51">
        <w:rPr>
          <w:rFonts w:eastAsia="Times New Roman" w:cs="Times New Roman"/>
          <w:color w:val="000000"/>
          <w:sz w:val="22"/>
        </w:rPr>
        <w:t xml:space="preserve">, 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</w:t>
      </w:r>
      <w:r>
        <w:rPr>
          <w:rFonts w:eastAsia="Times New Roman" w:cs="Times New Roman"/>
          <w:color w:val="000000"/>
          <w:sz w:val="22"/>
        </w:rPr>
        <w:t>05</w:t>
      </w:r>
    </w:p>
    <w:p w:rsidR="00566CEF" w:rsidRDefault="00566CEF" w:rsidP="00566CEF">
      <w:pPr>
        <w:spacing w:after="160" w:line="259" w:lineRule="auto"/>
        <w:rPr>
          <w:b/>
        </w:rPr>
      </w:pPr>
    </w:p>
    <w:p w:rsidR="00566CEF" w:rsidRDefault="00566CEF" w:rsidP="00566CEF">
      <w:pPr>
        <w:spacing w:line="240" w:lineRule="auto"/>
      </w:pPr>
      <w:r>
        <w:rPr>
          <w:b/>
        </w:rPr>
        <w:t>Appendix Table 3</w:t>
      </w:r>
      <w:r w:rsidRPr="009F01BF">
        <w:tab/>
        <w:t>The effects of SNAP on expenditure (logged) by household type and IV specification</w:t>
      </w:r>
      <w:r w:rsidRPr="00EC7A6E">
        <w:t xml:space="preserve"> </w:t>
      </w:r>
      <w:r w:rsidRPr="00763B5A">
        <w:t xml:space="preserve">for </w:t>
      </w:r>
      <w:r>
        <w:t>h</w:t>
      </w:r>
      <w:r w:rsidRPr="00763B5A">
        <w:t xml:space="preserve">ouseholds </w:t>
      </w:r>
      <w:r w:rsidRPr="00763B5A">
        <w:rPr>
          <w:rFonts w:cs="Times New Roman"/>
        </w:rPr>
        <w:t>≤</w:t>
      </w:r>
      <w:r w:rsidRPr="00763B5A">
        <w:t xml:space="preserve"> 185% of FPL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97"/>
        <w:gridCol w:w="897"/>
        <w:gridCol w:w="897"/>
        <w:gridCol w:w="897"/>
        <w:gridCol w:w="897"/>
        <w:gridCol w:w="897"/>
        <w:gridCol w:w="897"/>
        <w:gridCol w:w="897"/>
        <w:gridCol w:w="898"/>
      </w:tblGrid>
      <w:tr w:rsidR="00566CEF" w:rsidTr="008D0C73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line="240" w:lineRule="auto"/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All households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28" style="width:0;height:1.5pt" o:hralign="center" o:hrstd="t" o:hr="t" fillcolor="#a0a0a0" stroked="f"/>
              </w:pic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Hs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with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29" style="width:0;height:1.5pt" o:hralign="center" o:hrstd="t" o:hr="t" fillcolor="#a0a0a0" stroked="f"/>
              </w:pic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Hs 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without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30" style="width:0;height:1.5pt" o:hralign="center" o:hrstd="t" o:hr="t" fillcolor="#a0a0a0" stroked="f"/>
              </w:pict>
            </w:r>
          </w:p>
        </w:tc>
      </w:tr>
      <w:tr w:rsidR="00566CEF" w:rsidTr="008D0C73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66CEF" w:rsidRDefault="00566CEF" w:rsidP="008D0C73">
            <w:pPr>
              <w:spacing w:line="240" w:lineRule="auto"/>
            </w:pPr>
            <w:r>
              <w:t>DVs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566CEF" w:rsidRPr="0003760D" w:rsidTr="008D0C73">
        <w:tc>
          <w:tcPr>
            <w:tcW w:w="1276" w:type="dxa"/>
            <w:tcBorders>
              <w:top w:val="single" w:sz="4" w:space="0" w:color="auto"/>
            </w:tcBorders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F</w:t>
            </w:r>
            <w:r>
              <w:rPr>
                <w:rFonts w:cs="Times New Roman"/>
                <w:color w:val="000000"/>
                <w:sz w:val="20"/>
                <w:szCs w:val="20"/>
              </w:rPr>
              <w:t>ood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0.711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0.807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1.540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0.535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1.371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0.878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1.227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1.247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1.980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(0.496)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(0.501)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(0.339)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(0.666)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(0.747)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(0.520)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(0.633)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(0.655)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(0.362)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>on-food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0.816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0.651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0.261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0.081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0.316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0.019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0.986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0.539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0.298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(0.409)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(0.358)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(0.305)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(0.478)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(0.474)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(0.338)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(0.427)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(0.346)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(0.376)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Ed.&amp;enrich.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1.415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1.340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0.926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0.894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1.222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0.796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1.644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1.373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0.885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(0.582)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(0.578)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(0.415)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(0.889)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(0.984)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(0.602)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(0.994)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(0.967)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(0.801)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0.955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0.620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0.196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0.389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-0.328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-0.348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1.143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0.643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0.344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(0.713)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(0.629)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(0.297)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(0.981)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(1.171)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(1.243)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(0.618)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(0.475)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(0.468)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Util.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0.976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0.894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0.701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0.119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0.333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0.439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1.309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1.047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0.819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(0.383)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(0.357)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(0.369)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(0.663)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(0.769)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(0.650)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(0.538)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(0.496)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(0.306)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T</w:t>
            </w:r>
            <w:r>
              <w:rPr>
                <w:rFonts w:cs="Times New Roman"/>
                <w:color w:val="000000"/>
                <w:sz w:val="20"/>
                <w:szCs w:val="20"/>
              </w:rPr>
              <w:t>ransp.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-0.365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-0.491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-0.849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-1.178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-0.995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-2.210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0.139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-0.202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-0.103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(0.436)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(0.467)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(0.305)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(1.076)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(1.524)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(1.079)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(0.487)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(0.508)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(0.397)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-0.124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-0.455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-1.062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-0.172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-0.485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-1.396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0.716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-0.647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-1.040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(0.860)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(0.840)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(1.046)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(1.123)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(1.179)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(1.403)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(1.264)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(1.316)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(0.988)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O</w:t>
            </w:r>
            <w:r>
              <w:rPr>
                <w:rFonts w:cs="Times New Roman"/>
                <w:color w:val="000000"/>
                <w:sz w:val="20"/>
                <w:szCs w:val="20"/>
              </w:rPr>
              <w:t>ther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1.452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1.329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0.531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2.383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1.875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1.015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-0.722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0.056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-0.136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(0.664)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(0.693)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(0.792)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(0.787)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(0.799)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(0.733)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(0.986)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(1.056)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(1.108)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A109EA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O</w:t>
            </w:r>
            <w:r>
              <w:rPr>
                <w:rFonts w:cs="Times New Roman"/>
                <w:color w:val="000000"/>
                <w:sz w:val="20"/>
                <w:szCs w:val="20"/>
              </w:rPr>
              <w:t>bs.</w:t>
            </w:r>
          </w:p>
        </w:tc>
        <w:tc>
          <w:tcPr>
            <w:tcW w:w="897" w:type="dxa"/>
            <w:vAlign w:val="bottom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97" w:type="dxa"/>
            <w:vAlign w:val="bottom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97" w:type="dxa"/>
            <w:vAlign w:val="bottom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43,484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03760D">
              <w:rPr>
                <w:rFonts w:cs="Times New Roman"/>
                <w:color w:val="000000"/>
                <w:sz w:val="20"/>
                <w:szCs w:val="20"/>
              </w:rPr>
              <w:t>F-stat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97" w:type="dxa"/>
            <w:vAlign w:val="bottom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16.45</w:t>
            </w:r>
          </w:p>
        </w:tc>
        <w:tc>
          <w:tcPr>
            <w:tcW w:w="897" w:type="dxa"/>
            <w:vAlign w:val="bottom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25.39</w:t>
            </w:r>
          </w:p>
        </w:tc>
        <w:tc>
          <w:tcPr>
            <w:tcW w:w="897" w:type="dxa"/>
            <w:vAlign w:val="bottom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50.72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3.70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4.76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10.66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8.51</w:t>
            </w:r>
          </w:p>
        </w:tc>
        <w:tc>
          <w:tcPr>
            <w:tcW w:w="897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12.24</w:t>
            </w:r>
          </w:p>
        </w:tc>
        <w:tc>
          <w:tcPr>
            <w:tcW w:w="898" w:type="dxa"/>
          </w:tcPr>
          <w:p w:rsidR="00566CEF" w:rsidRPr="00EC7A6E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C7A6E">
              <w:rPr>
                <w:rFonts w:cs="Times New Roman"/>
                <w:sz w:val="20"/>
                <w:szCs w:val="20"/>
              </w:rPr>
              <w:t>23.13</w:t>
            </w:r>
          </w:p>
        </w:tc>
      </w:tr>
    </w:tbl>
    <w:p w:rsidR="00566CEF" w:rsidRDefault="00566CEF" w:rsidP="00566CEF">
      <w:pPr>
        <w:spacing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color w:val="000000"/>
          <w:sz w:val="22"/>
        </w:rPr>
        <w:t>Notes: Model 1 applies BI, CAP and BBCE as IVs. Model 2 applies BI and CAP. Model 3 applies BI as IV. Each cell comes from a separate regression that includes the full set of household and state-level controls as well as state, month, and year indicators. Robust standard errors clustered at the state level in parentheses. Sampling</w:t>
      </w:r>
      <w:r w:rsidRPr="00282D92">
        <w:rPr>
          <w:rFonts w:eastAsia="Times New Roman" w:cs="Times New Roman"/>
          <w:color w:val="000000"/>
          <w:sz w:val="22"/>
        </w:rPr>
        <w:t xml:space="preserve"> </w:t>
      </w:r>
      <w:r>
        <w:rPr>
          <w:rFonts w:eastAsia="Times New Roman" w:cs="Times New Roman"/>
          <w:color w:val="000000"/>
          <w:sz w:val="22"/>
        </w:rPr>
        <w:t xml:space="preserve">weights are applied.  </w:t>
      </w:r>
      <w:r w:rsidRPr="00F92A51">
        <w:rPr>
          <w:rFonts w:eastAsia="Times New Roman" w:cs="Times New Roman"/>
          <w:color w:val="000000"/>
          <w:sz w:val="22"/>
        </w:rPr>
        <w:t>**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p&lt;0.0</w:t>
      </w:r>
      <w:r>
        <w:rPr>
          <w:rFonts w:eastAsia="Times New Roman" w:cs="Times New Roman"/>
          <w:color w:val="000000"/>
          <w:sz w:val="22"/>
        </w:rPr>
        <w:t>0</w:t>
      </w:r>
      <w:r w:rsidRPr="00F92A51">
        <w:rPr>
          <w:rFonts w:eastAsia="Times New Roman" w:cs="Times New Roman"/>
          <w:color w:val="000000"/>
          <w:sz w:val="22"/>
        </w:rPr>
        <w:t>1, *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p&lt;0.0</w:t>
      </w:r>
      <w:r>
        <w:rPr>
          <w:rFonts w:eastAsia="Times New Roman" w:cs="Times New Roman"/>
          <w:color w:val="000000"/>
          <w:sz w:val="22"/>
        </w:rPr>
        <w:t>1</w:t>
      </w:r>
      <w:r w:rsidRPr="00F92A51">
        <w:rPr>
          <w:rFonts w:eastAsia="Times New Roman" w:cs="Times New Roman"/>
          <w:color w:val="000000"/>
          <w:sz w:val="22"/>
        </w:rPr>
        <w:t xml:space="preserve">, 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</w:t>
      </w:r>
      <w:r>
        <w:rPr>
          <w:rFonts w:eastAsia="Times New Roman" w:cs="Times New Roman"/>
          <w:color w:val="000000"/>
          <w:sz w:val="22"/>
        </w:rPr>
        <w:t>05</w:t>
      </w:r>
    </w:p>
    <w:p w:rsidR="00566CEF" w:rsidRDefault="00566CEF" w:rsidP="00566CEF">
      <w:pPr>
        <w:spacing w:line="240" w:lineRule="auto"/>
      </w:pPr>
    </w:p>
    <w:p w:rsidR="00566CEF" w:rsidRPr="00EC7A6E" w:rsidRDefault="00566CEF" w:rsidP="00566CEF">
      <w:pPr>
        <w:spacing w:line="240" w:lineRule="auto"/>
      </w:pPr>
    </w:p>
    <w:p w:rsidR="00566CEF" w:rsidRDefault="00566CEF" w:rsidP="00566CEF">
      <w:pPr>
        <w:spacing w:after="160" w:line="259" w:lineRule="auto"/>
      </w:pPr>
      <w:r>
        <w:rPr>
          <w:b/>
        </w:rPr>
        <w:lastRenderedPageBreak/>
        <w:t>Appendix Table 4</w:t>
      </w:r>
      <w:r>
        <w:rPr>
          <w:b/>
        </w:rPr>
        <w:tab/>
      </w:r>
      <w:r w:rsidRPr="00B71D68">
        <w:t xml:space="preserve">Misclassification of SNAP </w:t>
      </w:r>
      <w:r>
        <w:t>p</w:t>
      </w:r>
      <w:r w:rsidRPr="00B71D68">
        <w:t xml:space="preserve">articipation </w:t>
      </w:r>
      <w:r w:rsidRPr="00763B5A">
        <w:t xml:space="preserve">for </w:t>
      </w:r>
      <w:r>
        <w:t>h</w:t>
      </w:r>
      <w:r w:rsidRPr="00763B5A">
        <w:t xml:space="preserve">ouseholds </w:t>
      </w:r>
      <w:r w:rsidRPr="00763B5A">
        <w:rPr>
          <w:rFonts w:cs="Times New Roman"/>
        </w:rPr>
        <w:t>≤</w:t>
      </w:r>
      <w:r w:rsidRPr="00763B5A">
        <w:t xml:space="preserve"> 185% of FPL</w:t>
      </w:r>
    </w:p>
    <w:tbl>
      <w:tblPr>
        <w:tblStyle w:val="a3"/>
        <w:tblW w:w="93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825"/>
        <w:gridCol w:w="826"/>
        <w:gridCol w:w="814"/>
        <w:gridCol w:w="12"/>
        <w:gridCol w:w="826"/>
        <w:gridCol w:w="825"/>
        <w:gridCol w:w="802"/>
        <w:gridCol w:w="24"/>
        <w:gridCol w:w="826"/>
        <w:gridCol w:w="826"/>
        <w:gridCol w:w="790"/>
        <w:gridCol w:w="36"/>
      </w:tblGrid>
      <w:tr w:rsidR="00566CEF" w:rsidTr="008D0C73">
        <w:trPr>
          <w:gridAfter w:val="1"/>
          <w:wAfter w:w="36" w:type="dxa"/>
        </w:trPr>
        <w:tc>
          <w:tcPr>
            <w:tcW w:w="1954" w:type="dxa"/>
            <w:vMerge w:val="restart"/>
            <w:tcBorders>
              <w:top w:val="single" w:sz="4" w:space="0" w:color="auto"/>
            </w:tcBorders>
          </w:tcPr>
          <w:p w:rsidR="00566CEF" w:rsidRDefault="00566CEF" w:rsidP="008D0C7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  <w:p w:rsidR="00566CEF" w:rsidRDefault="00566CEF" w:rsidP="008D0C73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</w:rPr>
              <w:t>SNAP m</w:t>
            </w:r>
            <w:r w:rsidRPr="00290AD6">
              <w:rPr>
                <w:rFonts w:eastAsia="Times New Roman" w:cs="Times New Roman"/>
                <w:b/>
                <w:bCs/>
                <w:color w:val="000000"/>
                <w:sz w:val="22"/>
              </w:rPr>
              <w:t>isclassification</w:t>
            </w:r>
          </w:p>
        </w:tc>
        <w:tc>
          <w:tcPr>
            <w:tcW w:w="2465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All households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31" style="width:0;height:1.5pt" o:hralign="center" o:hrstd="t" o:hr="t" fillcolor="#a0a0a0" stroked="f"/>
              </w:pict>
            </w:r>
          </w:p>
        </w:tc>
        <w:tc>
          <w:tcPr>
            <w:tcW w:w="2465" w:type="dxa"/>
            <w:gridSpan w:val="4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Hs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with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32" style="width:0;height:1.5pt" o:hralign="center" o:hrstd="t" o:hr="t" fillcolor="#a0a0a0" stroked="f"/>
              </w:pict>
            </w:r>
          </w:p>
        </w:tc>
        <w:tc>
          <w:tcPr>
            <w:tcW w:w="2466" w:type="dxa"/>
            <w:gridSpan w:val="4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Hs 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without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33" style="width:0;height:1.5pt" o:hralign="center" o:hrstd="t" o:hr="t" fillcolor="#a0a0a0" stroked="f"/>
              </w:pict>
            </w:r>
          </w:p>
        </w:tc>
      </w:tr>
      <w:tr w:rsidR="00566CEF" w:rsidTr="008D0C73">
        <w:tc>
          <w:tcPr>
            <w:tcW w:w="1954" w:type="dxa"/>
            <w:vMerge/>
            <w:tcBorders>
              <w:bottom w:val="single" w:sz="4" w:space="0" w:color="auto"/>
            </w:tcBorders>
          </w:tcPr>
          <w:p w:rsidR="00566CEF" w:rsidRDefault="00566CEF" w:rsidP="008D0C73">
            <w:pPr>
              <w:spacing w:after="0" w:line="240" w:lineRule="auto"/>
            </w:pP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</w:t>
            </w: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 2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M3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</w:t>
            </w: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 2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M3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</w:t>
            </w: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 2</w:t>
            </w:r>
          </w:p>
        </w:tc>
        <w:tc>
          <w:tcPr>
            <w:tcW w:w="82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M3</w:t>
            </w:r>
          </w:p>
        </w:tc>
      </w:tr>
      <w:tr w:rsidR="00566CEF" w:rsidRPr="0003760D" w:rsidTr="008D0C73">
        <w:tc>
          <w:tcPr>
            <w:tcW w:w="1954" w:type="dxa"/>
            <w:tcBorders>
              <w:top w:val="single" w:sz="4" w:space="0" w:color="auto"/>
            </w:tcBorders>
          </w:tcPr>
          <w:p w:rsidR="00566CEF" w:rsidRPr="00BD0CBB" w:rsidRDefault="00566CEF" w:rsidP="008D0C73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2"/>
              </w:rPr>
            </w:pPr>
            <w:r w:rsidRPr="00BD0CBB">
              <w:rPr>
                <w:rFonts w:eastAsia="Times New Roman" w:cs="Times New Roman"/>
                <w:bCs/>
                <w:color w:val="000000"/>
                <w:sz w:val="22"/>
              </w:rPr>
              <w:t>Over-report α</w:t>
            </w:r>
            <w:r w:rsidRPr="00BD0CBB">
              <w:rPr>
                <w:rFonts w:eastAsia="Times New Roman" w:cs="Times New Roman"/>
                <w:bCs/>
                <w:color w:val="000000"/>
                <w:sz w:val="22"/>
                <w:vertAlign w:val="subscript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0.004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0.006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0.005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0.021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0.020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0.020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0.021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0.021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</w:tcBorders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0.021</w:t>
            </w:r>
          </w:p>
        </w:tc>
      </w:tr>
      <w:tr w:rsidR="00566CEF" w:rsidRPr="0003760D" w:rsidTr="008D0C73">
        <w:tc>
          <w:tcPr>
            <w:tcW w:w="1954" w:type="dxa"/>
          </w:tcPr>
          <w:p w:rsidR="00566CEF" w:rsidRPr="00BD0CBB" w:rsidRDefault="00566CEF" w:rsidP="008D0C73">
            <w:pPr>
              <w:spacing w:after="0"/>
              <w:rPr>
                <w:rFonts w:eastAsia="Times New Roman" w:cs="Times New Roman"/>
                <w:bCs/>
                <w:color w:val="000000"/>
                <w:sz w:val="22"/>
                <w:vertAlign w:val="subscript"/>
              </w:rPr>
            </w:pP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(0.006)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(0.004)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(0.004)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(0.009)</w:t>
            </w: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(0.009)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(0.009)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(0.002)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(0.002)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(0.002)</w:t>
            </w:r>
          </w:p>
        </w:tc>
      </w:tr>
      <w:tr w:rsidR="00566CEF" w:rsidRPr="0003760D" w:rsidTr="008D0C73">
        <w:tc>
          <w:tcPr>
            <w:tcW w:w="1954" w:type="dxa"/>
          </w:tcPr>
          <w:p w:rsidR="00566CEF" w:rsidRPr="00BD0CBB" w:rsidRDefault="00566CEF" w:rsidP="008D0C73">
            <w:pPr>
              <w:spacing w:after="0"/>
              <w:rPr>
                <w:rFonts w:eastAsia="Times New Roman" w:cs="Times New Roman"/>
                <w:bCs/>
                <w:color w:val="000000"/>
                <w:sz w:val="22"/>
              </w:rPr>
            </w:pPr>
            <w:r w:rsidRPr="00BD0CBB">
              <w:rPr>
                <w:rFonts w:eastAsia="Times New Roman" w:cs="Times New Roman"/>
                <w:bCs/>
                <w:color w:val="000000"/>
                <w:sz w:val="22"/>
              </w:rPr>
              <w:t>Under-report α</w:t>
            </w:r>
            <w:r w:rsidRPr="00BD0CBB">
              <w:rPr>
                <w:rFonts w:eastAsia="Times New Roman" w:cs="Times New Roman"/>
                <w:bCs/>
                <w:color w:val="000000"/>
                <w:sz w:val="22"/>
                <w:vertAlign w:val="subscript"/>
              </w:rPr>
              <w:t>1</w:t>
            </w: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0.107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0.106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0.106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0.068</w:t>
            </w: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0.068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0.066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0.248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0.258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0.258</w:t>
            </w:r>
          </w:p>
        </w:tc>
      </w:tr>
      <w:tr w:rsidR="00566CEF" w:rsidRPr="0003760D" w:rsidTr="008D0C73">
        <w:tc>
          <w:tcPr>
            <w:tcW w:w="1954" w:type="dxa"/>
          </w:tcPr>
          <w:p w:rsidR="00566CEF" w:rsidRPr="00BD0CBB" w:rsidRDefault="00566CEF" w:rsidP="008D0C73">
            <w:pPr>
              <w:spacing w:after="0"/>
              <w:rPr>
                <w:rFonts w:eastAsia="Times New Roman" w:cs="Times New Roman"/>
                <w:bCs/>
                <w:color w:val="000000"/>
                <w:sz w:val="22"/>
              </w:rPr>
            </w:pP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(0.011)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(0.011)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(0.011)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(0.015)</w:t>
            </w: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(0.015)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(0.015)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(0.018)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(0.018)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(0.018)</w:t>
            </w:r>
          </w:p>
        </w:tc>
      </w:tr>
      <w:tr w:rsidR="00566CEF" w:rsidRPr="0003760D" w:rsidTr="008D0C73">
        <w:tc>
          <w:tcPr>
            <w:tcW w:w="1954" w:type="dxa"/>
            <w:vAlign w:val="bottom"/>
          </w:tcPr>
          <w:p w:rsidR="00566CEF" w:rsidRPr="00BD0CBB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 w:rsidRPr="00BD0CBB">
              <w:rPr>
                <w:rFonts w:cs="Times New Roman"/>
                <w:color w:val="000000"/>
                <w:sz w:val="20"/>
                <w:szCs w:val="20"/>
              </w:rPr>
              <w:t>Obs.</w:t>
            </w: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25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826" w:type="dxa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826" w:type="dxa"/>
            <w:gridSpan w:val="2"/>
            <w:vAlign w:val="bottom"/>
          </w:tcPr>
          <w:p w:rsidR="00566CEF" w:rsidRPr="003E4E08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E4E08">
              <w:rPr>
                <w:rFonts w:cs="Times New Roman"/>
                <w:sz w:val="20"/>
                <w:szCs w:val="20"/>
              </w:rPr>
              <w:t>43,484</w:t>
            </w:r>
          </w:p>
        </w:tc>
      </w:tr>
    </w:tbl>
    <w:p w:rsidR="00566CEF" w:rsidRDefault="00566CEF" w:rsidP="00566CEF">
      <w:pPr>
        <w:spacing w:after="160" w:line="259" w:lineRule="auto"/>
        <w:rPr>
          <w:b/>
        </w:rPr>
      </w:pPr>
      <w:r>
        <w:rPr>
          <w:rFonts w:eastAsia="Times New Roman" w:cs="Times New Roman"/>
          <w:color w:val="000000"/>
          <w:sz w:val="22"/>
        </w:rPr>
        <w:t xml:space="preserve">Notes: Model 1 applies BI, CAP and BBCE as IVs. Model 2 applies BI and CAP. Model 3 applies BI as IV. Each cell comes from a separate regression that includes the full set of household and state-level controls as well as state, month, and year indicators. </w:t>
      </w:r>
      <w:r w:rsidRPr="00290AD6">
        <w:rPr>
          <w:rFonts w:eastAsia="Times New Roman" w:cs="Times New Roman"/>
          <w:b/>
          <w:bCs/>
          <w:color w:val="000000"/>
          <w:sz w:val="22"/>
        </w:rPr>
        <w:t>α</w:t>
      </w:r>
      <w:r w:rsidRPr="00290AD6">
        <w:rPr>
          <w:rFonts w:eastAsia="Times New Roman" w:cs="Times New Roman"/>
          <w:b/>
          <w:bCs/>
          <w:color w:val="000000"/>
          <w:sz w:val="22"/>
          <w:vertAlign w:val="subscript"/>
        </w:rPr>
        <w:t>0</w:t>
      </w:r>
      <w:r>
        <w:rPr>
          <w:rFonts w:eastAsia="Times New Roman" w:cs="Times New Roman"/>
          <w:color w:val="000000"/>
          <w:sz w:val="22"/>
        </w:rPr>
        <w:t xml:space="preserve"> represents the probability of false positive; </w:t>
      </w:r>
      <w:r w:rsidRPr="00290AD6">
        <w:rPr>
          <w:rFonts w:eastAsia="Times New Roman" w:cs="Times New Roman"/>
          <w:b/>
          <w:bCs/>
          <w:color w:val="000000"/>
          <w:sz w:val="22"/>
        </w:rPr>
        <w:t>α</w:t>
      </w:r>
      <w:r w:rsidRPr="00290AD6">
        <w:rPr>
          <w:rFonts w:eastAsia="Times New Roman" w:cs="Times New Roman"/>
          <w:b/>
          <w:bCs/>
          <w:color w:val="000000"/>
          <w:sz w:val="22"/>
          <w:vertAlign w:val="subscript"/>
        </w:rPr>
        <w:t>1</w:t>
      </w:r>
      <w:r>
        <w:rPr>
          <w:rFonts w:eastAsia="Times New Roman" w:cs="Times New Roman"/>
          <w:color w:val="000000"/>
          <w:sz w:val="22"/>
        </w:rPr>
        <w:t xml:space="preserve"> represents the probability of false negatives. Sampling</w:t>
      </w:r>
      <w:r w:rsidRPr="00282D92">
        <w:rPr>
          <w:rFonts w:eastAsia="Times New Roman" w:cs="Times New Roman"/>
          <w:color w:val="000000"/>
          <w:sz w:val="22"/>
        </w:rPr>
        <w:t xml:space="preserve"> </w:t>
      </w:r>
      <w:r>
        <w:rPr>
          <w:rFonts w:eastAsia="Times New Roman" w:cs="Times New Roman"/>
          <w:color w:val="000000"/>
          <w:sz w:val="22"/>
        </w:rPr>
        <w:t>weights are applied.</w:t>
      </w:r>
    </w:p>
    <w:p w:rsidR="00566CEF" w:rsidRDefault="00566CEF" w:rsidP="00566CEF"/>
    <w:p w:rsidR="00566CEF" w:rsidRDefault="00566CEF" w:rsidP="00566CEF"/>
    <w:p w:rsidR="00566CEF" w:rsidRDefault="00566CEF" w:rsidP="00566CEF">
      <w:pPr>
        <w:spacing w:after="160" w:line="259" w:lineRule="auto"/>
      </w:pPr>
      <w:r>
        <w:rPr>
          <w:b/>
        </w:rPr>
        <w:t>Appendix Table 5</w:t>
      </w:r>
      <w:r>
        <w:rPr>
          <w:b/>
        </w:rPr>
        <w:tab/>
      </w:r>
      <w:r w:rsidRPr="00B71D68">
        <w:t xml:space="preserve">The </w:t>
      </w:r>
      <w:r>
        <w:t>e</w:t>
      </w:r>
      <w:r w:rsidRPr="00B71D68">
        <w:t xml:space="preserve">ffects of SNAP on </w:t>
      </w:r>
      <w:r>
        <w:t>e</w:t>
      </w:r>
      <w:r w:rsidRPr="00B71D68">
        <w:t>xpenditure (</w:t>
      </w:r>
      <w:r>
        <w:t>l</w:t>
      </w:r>
      <w:r w:rsidRPr="00B71D68">
        <w:t xml:space="preserve">ogged) </w:t>
      </w:r>
      <w:r>
        <w:t>a</w:t>
      </w:r>
      <w:r w:rsidRPr="00B71D68">
        <w:t xml:space="preserve">djusted for </w:t>
      </w:r>
      <w:r>
        <w:t>m</w:t>
      </w:r>
      <w:r w:rsidRPr="00B71D68">
        <w:t xml:space="preserve">isreporting by </w:t>
      </w:r>
      <w:r>
        <w:t>h</w:t>
      </w:r>
      <w:r w:rsidRPr="00B71D68">
        <w:t xml:space="preserve">ousehold </w:t>
      </w:r>
      <w:r>
        <w:t>t</w:t>
      </w:r>
      <w:r w:rsidRPr="00B71D68">
        <w:t xml:space="preserve">ype and IV </w:t>
      </w:r>
      <w:r>
        <w:t>s</w:t>
      </w:r>
      <w:r w:rsidRPr="00B71D68">
        <w:t xml:space="preserve">pecification </w:t>
      </w:r>
      <w:r w:rsidRPr="00763B5A">
        <w:t xml:space="preserve">for </w:t>
      </w:r>
      <w:r>
        <w:t>h</w:t>
      </w:r>
      <w:r w:rsidRPr="00763B5A">
        <w:t xml:space="preserve">ouseholds </w:t>
      </w:r>
      <w:r w:rsidRPr="00763B5A">
        <w:rPr>
          <w:rFonts w:cs="Times New Roman"/>
        </w:rPr>
        <w:t>≤</w:t>
      </w:r>
      <w:r w:rsidRPr="00763B5A">
        <w:t xml:space="preserve"> 185% of FPL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97"/>
        <w:gridCol w:w="897"/>
        <w:gridCol w:w="897"/>
        <w:gridCol w:w="897"/>
        <w:gridCol w:w="897"/>
        <w:gridCol w:w="897"/>
        <w:gridCol w:w="897"/>
        <w:gridCol w:w="897"/>
        <w:gridCol w:w="898"/>
      </w:tblGrid>
      <w:tr w:rsidR="00566CEF" w:rsidTr="008D0C73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line="240" w:lineRule="auto"/>
            </w:pPr>
          </w:p>
        </w:tc>
        <w:tc>
          <w:tcPr>
            <w:tcW w:w="2691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All households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34" style="width:0;height:1.5pt" o:hralign="center" o:hrstd="t" o:hr="t" fillcolor="#a0a0a0" stroked="f"/>
              </w:pic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Hs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with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35" style="width:0;height:1.5pt" o:hralign="center" o:hrstd="t" o:hr="t" fillcolor="#a0a0a0" stroked="f"/>
              </w:pic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bottom w:val="nil"/>
            </w:tcBorders>
          </w:tcPr>
          <w:p w:rsidR="00566CEF" w:rsidRDefault="00566CEF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Hs </w:t>
            </w:r>
            <w:r w:rsidRPr="00656840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without children</w:t>
            </w:r>
          </w:p>
          <w:p w:rsidR="00566CEF" w:rsidRPr="00D063A3" w:rsidRDefault="00074014" w:rsidP="008D0C73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pict>
                <v:rect id="_x0000_i1036" style="width:0;height:1.5pt" o:hralign="center" o:hrstd="t" o:hr="t" fillcolor="#a0a0a0" stroked="f"/>
              </w:pict>
            </w:r>
          </w:p>
        </w:tc>
      </w:tr>
      <w:tr w:rsidR="00566CEF" w:rsidTr="008D0C73"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66CEF" w:rsidRDefault="00566CEF" w:rsidP="008D0C73">
            <w:pPr>
              <w:spacing w:line="240" w:lineRule="auto"/>
            </w:pPr>
            <w:r>
              <w:t>DVs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vAlign w:val="center"/>
          </w:tcPr>
          <w:p w:rsidR="00566CEF" w:rsidRPr="0003760D" w:rsidRDefault="00566CEF" w:rsidP="008D0C73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3760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Model 3</w:t>
            </w:r>
          </w:p>
        </w:tc>
      </w:tr>
      <w:tr w:rsidR="00566CEF" w:rsidRPr="0003760D" w:rsidTr="008D0C73">
        <w:tc>
          <w:tcPr>
            <w:tcW w:w="1276" w:type="dxa"/>
            <w:tcBorders>
              <w:top w:val="single" w:sz="4" w:space="0" w:color="auto"/>
            </w:tcBorders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F</w:t>
            </w:r>
            <w:r>
              <w:rPr>
                <w:rFonts w:cs="Times New Roman"/>
                <w:color w:val="000000"/>
                <w:sz w:val="20"/>
                <w:szCs w:val="20"/>
              </w:rPr>
              <w:t>ood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0.464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0.463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0.441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0.284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0.283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0.277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0.057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0.056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0.067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(0.073)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(0.073)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(0.072)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(0.089)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(0.089)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(0.089)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(0.097)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(0.096)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(0.096)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N</w:t>
            </w:r>
            <w:r>
              <w:rPr>
                <w:rFonts w:cs="Times New Roman"/>
                <w:color w:val="000000"/>
                <w:sz w:val="20"/>
                <w:szCs w:val="20"/>
              </w:rPr>
              <w:t>on-food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0.230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0.229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0.225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-0.015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-0.016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-0.003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-0.161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-0.162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-0.145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(0.055)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(0.055)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(0.052)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(0.058)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(0.059)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(0.060)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(0.056)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(0.056)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(0.055)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Ed.&amp;enrich.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0.275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0.275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0.284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0.337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0.336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0.339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0.052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0.051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0.067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(0.115)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(0.115)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(0.115)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(0.143)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(0.143)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(0.141)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(0.103)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(0.098)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Housing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0.393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0.393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0.391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0.167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0.167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0.179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0.089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0.088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0.097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(0.119)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(0.119)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(0.124)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(0.122)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(0.121)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(0.121)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(0.090)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(0.089)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(0.097)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Util.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0.764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0.764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0.723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0.288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0.287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0.277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0.288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0.286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0.279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566CEF" w:rsidRPr="0003760D" w:rsidTr="008D0C73">
        <w:tc>
          <w:tcPr>
            <w:tcW w:w="1276" w:type="dxa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(0.102)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(0.102)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(0.104)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(0.107)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(0.107)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(0.108)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(0.100)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(0.100)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(0.101)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T</w:t>
            </w:r>
            <w:r>
              <w:rPr>
                <w:rFonts w:cs="Times New Roman"/>
                <w:color w:val="000000"/>
                <w:sz w:val="20"/>
                <w:szCs w:val="20"/>
              </w:rPr>
              <w:t>ransp.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0.228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0.227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0.241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0.034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-0.436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-0.436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-0.385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(0.105)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(0.105)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(0.108)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(0.108)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(0.106)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(0.187)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(0.187)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(0.189)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-0.284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-0.283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-0.299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-0.151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-0.147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-0.125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-0.414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-0.412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-0.408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(0.160)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(0.160)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(0.156)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(0.301)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(0.301)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(0.297)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(0.153)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(0.153)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(0.144)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775F4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O</w:t>
            </w:r>
            <w:r>
              <w:rPr>
                <w:rFonts w:cs="Times New Roman"/>
                <w:color w:val="000000"/>
                <w:sz w:val="20"/>
                <w:szCs w:val="20"/>
              </w:rPr>
              <w:t>ther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0.337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0.336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0.340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-0.467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-0.467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-0.442</w:t>
            </w:r>
            <w:r>
              <w:rPr>
                <w:rFonts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-0.301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-0.301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-0.263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656840" w:rsidRDefault="00566CEF" w:rsidP="008D0C73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(0.137)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(0.137)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(0.132)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(0.114)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(0.114)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(0.113)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(0.223)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(0.223)</w:t>
            </w:r>
          </w:p>
        </w:tc>
        <w:tc>
          <w:tcPr>
            <w:tcW w:w="898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(0.214)</w:t>
            </w:r>
          </w:p>
        </w:tc>
      </w:tr>
      <w:tr w:rsidR="00566CEF" w:rsidRPr="0003760D" w:rsidTr="008D0C73">
        <w:tc>
          <w:tcPr>
            <w:tcW w:w="1276" w:type="dxa"/>
            <w:vAlign w:val="bottom"/>
          </w:tcPr>
          <w:p w:rsidR="00566CEF" w:rsidRPr="00A109EA" w:rsidRDefault="00566CEF" w:rsidP="008D0C73">
            <w:pPr>
              <w:spacing w:after="0" w:line="240" w:lineRule="auto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 w:hint="eastAsia"/>
                <w:color w:val="000000"/>
                <w:sz w:val="20"/>
                <w:szCs w:val="20"/>
              </w:rPr>
              <w:t>O</w:t>
            </w:r>
            <w:r>
              <w:rPr>
                <w:rFonts w:cs="Times New Roman"/>
                <w:color w:val="000000"/>
                <w:sz w:val="20"/>
                <w:szCs w:val="20"/>
              </w:rPr>
              <w:t>bs.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97" w:type="dxa"/>
            <w:vAlign w:val="bottom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71,476</w:t>
            </w:r>
          </w:p>
        </w:tc>
        <w:tc>
          <w:tcPr>
            <w:tcW w:w="897" w:type="dxa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97" w:type="dxa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97" w:type="dxa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27,992</w:t>
            </w:r>
          </w:p>
        </w:tc>
        <w:tc>
          <w:tcPr>
            <w:tcW w:w="897" w:type="dxa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897" w:type="dxa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43,484</w:t>
            </w:r>
          </w:p>
        </w:tc>
        <w:tc>
          <w:tcPr>
            <w:tcW w:w="898" w:type="dxa"/>
          </w:tcPr>
          <w:p w:rsidR="00566CEF" w:rsidRPr="0072767F" w:rsidRDefault="00566CEF" w:rsidP="008D0C73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2767F">
              <w:rPr>
                <w:rFonts w:cs="Times New Roman"/>
                <w:sz w:val="20"/>
                <w:szCs w:val="20"/>
              </w:rPr>
              <w:t>43,484</w:t>
            </w:r>
          </w:p>
        </w:tc>
      </w:tr>
    </w:tbl>
    <w:p w:rsidR="00566CEF" w:rsidRDefault="00566CEF" w:rsidP="00566CEF">
      <w:pPr>
        <w:spacing w:after="160" w:line="259" w:lineRule="auto"/>
      </w:pPr>
      <w:r>
        <w:rPr>
          <w:rFonts w:eastAsia="Times New Roman" w:cs="Times New Roman"/>
          <w:color w:val="000000"/>
          <w:sz w:val="22"/>
        </w:rPr>
        <w:t>Notes: Model 1 applies BI, CAP and BBCE as IVs. Model 2 applies BI and CAP. Model 3 applies BI as IV. Each cell comes from a separate regression that includes the full set of household and state-level controls as well as state, month, and year indicators. Robust standard errors clustered at the state level in parentheses. Sampling</w:t>
      </w:r>
      <w:r w:rsidRPr="00282D92">
        <w:rPr>
          <w:rFonts w:eastAsia="Times New Roman" w:cs="Times New Roman"/>
          <w:color w:val="000000"/>
          <w:sz w:val="22"/>
        </w:rPr>
        <w:t xml:space="preserve"> </w:t>
      </w:r>
      <w:r>
        <w:rPr>
          <w:rFonts w:eastAsia="Times New Roman" w:cs="Times New Roman"/>
          <w:color w:val="000000"/>
          <w:sz w:val="22"/>
        </w:rPr>
        <w:t xml:space="preserve">weights are applied.  </w:t>
      </w:r>
      <w:r w:rsidRPr="00F92A51">
        <w:rPr>
          <w:rFonts w:eastAsia="Times New Roman" w:cs="Times New Roman"/>
          <w:color w:val="000000"/>
          <w:sz w:val="22"/>
        </w:rPr>
        <w:t>**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p&lt;0.0</w:t>
      </w:r>
      <w:r>
        <w:rPr>
          <w:rFonts w:eastAsia="Times New Roman" w:cs="Times New Roman"/>
          <w:color w:val="000000"/>
          <w:sz w:val="22"/>
        </w:rPr>
        <w:t>0</w:t>
      </w:r>
      <w:r w:rsidRPr="00F92A51">
        <w:rPr>
          <w:rFonts w:eastAsia="Times New Roman" w:cs="Times New Roman"/>
          <w:color w:val="000000"/>
          <w:sz w:val="22"/>
        </w:rPr>
        <w:t>1, *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p&lt;0.0</w:t>
      </w:r>
      <w:r>
        <w:rPr>
          <w:rFonts w:eastAsia="Times New Roman" w:cs="Times New Roman"/>
          <w:color w:val="000000"/>
          <w:sz w:val="22"/>
        </w:rPr>
        <w:t>1</w:t>
      </w:r>
      <w:r w:rsidRPr="00F92A51">
        <w:rPr>
          <w:rFonts w:eastAsia="Times New Roman" w:cs="Times New Roman"/>
          <w:color w:val="000000"/>
          <w:sz w:val="22"/>
        </w:rPr>
        <w:t xml:space="preserve">, </w:t>
      </w:r>
      <w:r>
        <w:rPr>
          <w:rFonts w:eastAsia="Times New Roman" w:cs="Times New Roman"/>
          <w:color w:val="000000"/>
          <w:sz w:val="22"/>
        </w:rPr>
        <w:t>*</w:t>
      </w:r>
      <w:r w:rsidRPr="00F92A51">
        <w:rPr>
          <w:rFonts w:eastAsia="Times New Roman" w:cs="Times New Roman"/>
          <w:color w:val="000000"/>
          <w:sz w:val="22"/>
        </w:rPr>
        <w:t xml:space="preserve"> p&lt;0.</w:t>
      </w:r>
      <w:r>
        <w:rPr>
          <w:rFonts w:eastAsia="Times New Roman" w:cs="Times New Roman"/>
          <w:color w:val="000000"/>
          <w:sz w:val="22"/>
        </w:rPr>
        <w:t>05</w:t>
      </w:r>
    </w:p>
    <w:p w:rsidR="00566CEF" w:rsidRDefault="00566CEF" w:rsidP="00566CEF"/>
    <w:p w:rsidR="00566CEF" w:rsidRDefault="00566CEF" w:rsidP="00566CEF">
      <w:pPr>
        <w:spacing w:after="0"/>
        <w:jc w:val="center"/>
      </w:pPr>
    </w:p>
    <w:p w:rsidR="00566CEF" w:rsidRDefault="00566CEF" w:rsidP="00566CEF">
      <w:pPr>
        <w:spacing w:after="160" w:line="259" w:lineRule="auto"/>
        <w:sectPr w:rsidR="00566CEF" w:rsidSect="00923823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66CEF" w:rsidRDefault="00566CEF" w:rsidP="00566CEF">
      <w:pPr>
        <w:jc w:val="center"/>
        <w:rPr>
          <w:b/>
          <w:lang w:eastAsia="ko-KR"/>
        </w:rPr>
      </w:pPr>
      <w:bookmarkStart w:id="0" w:name="_Hlk126589716"/>
      <w:r>
        <w:rPr>
          <w:b/>
          <w:lang w:eastAsia="ko-KR"/>
        </w:rPr>
        <w:lastRenderedPageBreak/>
        <w:t>A</w:t>
      </w:r>
      <w:r w:rsidR="00A11773">
        <w:rPr>
          <w:b/>
          <w:lang w:eastAsia="ko-KR"/>
        </w:rPr>
        <w:t>ppendix</w:t>
      </w:r>
      <w:r>
        <w:rPr>
          <w:b/>
          <w:lang w:eastAsia="ko-KR"/>
        </w:rPr>
        <w:t xml:space="preserve"> </w:t>
      </w:r>
      <w:r>
        <w:rPr>
          <w:rFonts w:hint="eastAsia"/>
          <w:b/>
          <w:lang w:eastAsia="ko-KR"/>
        </w:rPr>
        <w:t>F</w:t>
      </w:r>
      <w:r w:rsidR="00A11773">
        <w:rPr>
          <w:b/>
          <w:lang w:eastAsia="ko-KR"/>
        </w:rPr>
        <w:t>igures</w:t>
      </w:r>
      <w:bookmarkStart w:id="1" w:name="_GoBack"/>
      <w:bookmarkEnd w:id="1"/>
    </w:p>
    <w:p w:rsidR="00566CEF" w:rsidRDefault="00566CEF" w:rsidP="00566CEF">
      <w:pPr>
        <w:spacing w:line="240" w:lineRule="auto"/>
      </w:pPr>
      <w:r>
        <w:rPr>
          <w:b/>
        </w:rPr>
        <w:t xml:space="preserve">Appendix Figure 1 </w:t>
      </w:r>
      <w:r w:rsidRPr="00FA0844">
        <w:t>Number of states that operate CAP, BBCE, and BI between 2000 and 2011 sampled in the CE Survey</w:t>
      </w:r>
    </w:p>
    <w:p w:rsidR="00566CEF" w:rsidRDefault="00566CEF" w:rsidP="00566CEF">
      <w:pPr>
        <w:spacing w:line="240" w:lineRule="auto"/>
      </w:pPr>
      <w:r w:rsidRPr="002D42D8">
        <w:rPr>
          <w:b/>
          <w:noProof/>
          <w:lang w:eastAsia="ko-KR"/>
        </w:rPr>
        <w:drawing>
          <wp:inline distT="0" distB="0" distL="0" distR="0" wp14:anchorId="04859432" wp14:editId="1392F472">
            <wp:extent cx="4320000" cy="2596167"/>
            <wp:effectExtent l="0" t="0" r="4445" b="0"/>
            <wp:docPr id="4" name="Picture 4" descr="C:\Users\Jaehyun Nam\Dropbox\Projects\SNAP's effects\CE Survey\1 Documents\output\Graphs\Grap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ehyun Nam\Dropbox\Projects\SNAP's effects\CE Survey\1 Documents\output\Graphs\Graph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EF" w:rsidRDefault="00566CEF" w:rsidP="00566CEF">
      <w:pPr>
        <w:spacing w:line="240" w:lineRule="auto"/>
        <w:rPr>
          <w:b/>
        </w:rPr>
      </w:pPr>
      <w:r w:rsidRPr="00E6791A">
        <w:rPr>
          <w:sz w:val="20"/>
          <w:szCs w:val="20"/>
        </w:rPr>
        <w:t>Notes: Eight states that are never represented in our CE sample include</w:t>
      </w:r>
      <w:r>
        <w:rPr>
          <w:sz w:val="20"/>
          <w:szCs w:val="20"/>
        </w:rPr>
        <w:t xml:space="preserve"> </w:t>
      </w:r>
      <w:r w:rsidRPr="00E6791A">
        <w:rPr>
          <w:sz w:val="20"/>
          <w:szCs w:val="20"/>
        </w:rPr>
        <w:t xml:space="preserve">Arkansas, Iowa, Mississippi, Montana, New Mexico, North Dakota, South Dakota, and Wyoming. </w:t>
      </w:r>
      <w:r>
        <w:rPr>
          <w:sz w:val="20"/>
          <w:szCs w:val="20"/>
        </w:rPr>
        <w:t xml:space="preserve">In addition, five states that are </w:t>
      </w:r>
      <w:r w:rsidRPr="00624C3E">
        <w:rPr>
          <w:sz w:val="20"/>
          <w:szCs w:val="20"/>
        </w:rPr>
        <w:t xml:space="preserve">irregurarly </w:t>
      </w:r>
      <w:r>
        <w:rPr>
          <w:sz w:val="20"/>
          <w:szCs w:val="20"/>
        </w:rPr>
        <w:t xml:space="preserve">presented in our CE sample includes Maine, Oklahoma, North Carolina, Vermont, and Rhode Island. </w:t>
      </w:r>
      <w:r w:rsidRPr="00E6791A">
        <w:rPr>
          <w:sz w:val="20"/>
          <w:szCs w:val="20"/>
        </w:rPr>
        <w:t xml:space="preserve">Maine is observed </w:t>
      </w:r>
      <w:r>
        <w:rPr>
          <w:sz w:val="20"/>
          <w:szCs w:val="20"/>
        </w:rPr>
        <w:t xml:space="preserve">only </w:t>
      </w:r>
      <w:r w:rsidRPr="00E6791A">
        <w:rPr>
          <w:sz w:val="20"/>
          <w:szCs w:val="20"/>
        </w:rPr>
        <w:t xml:space="preserve">from 2005-2011, Oklahoma </w:t>
      </w:r>
      <w:r>
        <w:rPr>
          <w:sz w:val="20"/>
          <w:szCs w:val="20"/>
        </w:rPr>
        <w:t>2000</w:t>
      </w:r>
      <w:r w:rsidRPr="00E6791A">
        <w:rPr>
          <w:sz w:val="20"/>
          <w:szCs w:val="20"/>
        </w:rPr>
        <w:t xml:space="preserve">-2006, North Carolina </w:t>
      </w:r>
      <w:r>
        <w:rPr>
          <w:sz w:val="20"/>
          <w:szCs w:val="20"/>
        </w:rPr>
        <w:t>2000</w:t>
      </w:r>
      <w:r w:rsidRPr="00E6791A">
        <w:rPr>
          <w:sz w:val="20"/>
          <w:szCs w:val="20"/>
        </w:rPr>
        <w:t xml:space="preserve">-2005, Vermont </w:t>
      </w:r>
      <w:r>
        <w:rPr>
          <w:sz w:val="20"/>
          <w:szCs w:val="20"/>
        </w:rPr>
        <w:t>2000</w:t>
      </w:r>
      <w:r w:rsidRPr="00E6791A">
        <w:rPr>
          <w:sz w:val="20"/>
          <w:szCs w:val="20"/>
        </w:rPr>
        <w:t>-2004, and Rhode Island is only observed in 2005.</w:t>
      </w:r>
      <w:r>
        <w:rPr>
          <w:sz w:val="20"/>
          <w:szCs w:val="20"/>
        </w:rPr>
        <w:t xml:space="preserve"> So, base count varies over time—the base count is 40 states for 2000-2004; 41 states for 2005; 39 states for 2006-2011.   </w:t>
      </w:r>
    </w:p>
    <w:p w:rsidR="00566CEF" w:rsidRDefault="00566CEF" w:rsidP="00566CEF">
      <w:pPr>
        <w:spacing w:line="240" w:lineRule="auto"/>
      </w:pPr>
      <w:r>
        <w:rPr>
          <w:b/>
        </w:rPr>
        <w:t xml:space="preserve">Appendix Figure 2 </w:t>
      </w:r>
      <w:r w:rsidRPr="00FA0844">
        <w:t xml:space="preserve">Percentage of CE </w:t>
      </w:r>
      <w:r>
        <w:t>o</w:t>
      </w:r>
      <w:r w:rsidRPr="00FA0844">
        <w:t>bservations residing in states with CAP, BBCE, and BI between 2000 and 2011 sampled in the CE Survey</w:t>
      </w:r>
    </w:p>
    <w:p w:rsidR="00566CEF" w:rsidRDefault="00566CEF" w:rsidP="00566CEF">
      <w:pPr>
        <w:spacing w:line="240" w:lineRule="auto"/>
      </w:pPr>
      <w:r w:rsidRPr="00C456F5">
        <w:rPr>
          <w:b/>
          <w:noProof/>
          <w:lang w:eastAsia="ko-KR"/>
        </w:rPr>
        <w:drawing>
          <wp:inline distT="0" distB="0" distL="0" distR="0" wp14:anchorId="07B86853" wp14:editId="4886E063">
            <wp:extent cx="4320000" cy="2596166"/>
            <wp:effectExtent l="0" t="0" r="4445" b="0"/>
            <wp:docPr id="1" name="Picture 5" descr="C:\Users\Jaehyun Nam\Dropbox\Projects\SNAP's effects\CE Survey\1 Documents\output\Graphs\Graph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ehyun Nam\Dropbox\Projects\SNAP's effects\CE Survey\1 Documents\output\Graphs\Graph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9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CEF" w:rsidRPr="00606B8C" w:rsidRDefault="00566CEF" w:rsidP="00566CEF">
      <w:pPr>
        <w:spacing w:line="240" w:lineRule="auto"/>
        <w:rPr>
          <w:b/>
        </w:rPr>
      </w:pPr>
      <w:r w:rsidRPr="00E6791A">
        <w:rPr>
          <w:sz w:val="20"/>
          <w:szCs w:val="20"/>
        </w:rPr>
        <w:t>Notes:</w:t>
      </w:r>
      <w:r w:rsidRPr="00F6460B">
        <w:rPr>
          <w:sz w:val="20"/>
          <w:szCs w:val="20"/>
        </w:rPr>
        <w:t xml:space="preserve"> </w:t>
      </w:r>
      <w:r>
        <w:rPr>
          <w:sz w:val="20"/>
          <w:szCs w:val="20"/>
        </w:rPr>
        <w:t>Same as above.</w:t>
      </w:r>
      <w:bookmarkEnd w:id="0"/>
    </w:p>
    <w:p w:rsidR="00422EC5" w:rsidRDefault="00422EC5"/>
    <w:sectPr w:rsidR="00422EC5" w:rsidSect="00C456F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014" w:rsidRDefault="00074014">
      <w:pPr>
        <w:spacing w:after="0" w:line="240" w:lineRule="auto"/>
      </w:pPr>
      <w:r>
        <w:separator/>
      </w:r>
    </w:p>
  </w:endnote>
  <w:endnote w:type="continuationSeparator" w:id="0">
    <w:p w:rsidR="00074014" w:rsidRDefault="00074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2123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3823" w:rsidRDefault="00566CE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923823" w:rsidRDefault="0007401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29412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3823" w:rsidRDefault="00566CE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923823" w:rsidRDefault="0007401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014" w:rsidRDefault="00074014">
      <w:pPr>
        <w:spacing w:after="0" w:line="240" w:lineRule="auto"/>
      </w:pPr>
      <w:r>
        <w:separator/>
      </w:r>
    </w:p>
  </w:footnote>
  <w:footnote w:type="continuationSeparator" w:id="0">
    <w:p w:rsidR="00074014" w:rsidRDefault="000740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EF"/>
    <w:rsid w:val="00074014"/>
    <w:rsid w:val="00422EC5"/>
    <w:rsid w:val="00566CEF"/>
    <w:rsid w:val="00A1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4C14D"/>
  <w15:chartTrackingRefBased/>
  <w15:docId w15:val="{C58009E6-97C4-4FC6-BF3F-5487F9D0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6CEF"/>
    <w:pPr>
      <w:spacing w:after="200" w:line="276" w:lineRule="auto"/>
      <w:jc w:val="left"/>
    </w:pPr>
    <w:rPr>
      <w:rFonts w:ascii="Times New Roman" w:eastAsia="바탕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CEF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566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바닥글 Char"/>
    <w:basedOn w:val="a0"/>
    <w:link w:val="a4"/>
    <w:uiPriority w:val="99"/>
    <w:rsid w:val="00566CEF"/>
    <w:rPr>
      <w:rFonts w:ascii="Times New Roman" w:eastAsia="바탕" w:hAnsi="Times New Roman"/>
      <w:kern w:val="0"/>
      <w:sz w:val="24"/>
      <w:lang w:eastAsia="en-US"/>
    </w:rPr>
  </w:style>
  <w:style w:type="paragraph" w:styleId="a5">
    <w:name w:val="header"/>
    <w:basedOn w:val="a"/>
    <w:link w:val="Char0"/>
    <w:uiPriority w:val="99"/>
    <w:unhideWhenUsed/>
    <w:rsid w:val="00A1177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11773"/>
    <w:rPr>
      <w:rFonts w:ascii="Times New Roman" w:eastAsia="바탕" w:hAnsi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1330</Words>
  <Characters>7587</Characters>
  <Application>Microsoft Office Word</Application>
  <DocSecurity>0</DocSecurity>
  <Lines>63</Lines>
  <Paragraphs>17</Paragraphs>
  <ScaleCrop>false</ScaleCrop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2023-06-07T15:18:00Z</dcterms:created>
  <dcterms:modified xsi:type="dcterms:W3CDTF">2023-07-18T03:35:00Z</dcterms:modified>
</cp:coreProperties>
</file>