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8EEA" w14:textId="1A105FC9" w:rsidR="001F3C00" w:rsidRPr="003968B9" w:rsidRDefault="001F3C00" w:rsidP="001F3C00">
      <w:pPr>
        <w:pStyle w:val="Title1"/>
        <w:jc w:val="center"/>
        <w:rPr>
          <w:sz w:val="40"/>
          <w:szCs w:val="40"/>
        </w:rPr>
      </w:pPr>
      <w:bookmarkStart w:id="0" w:name="_Hlk134781942"/>
      <w:r w:rsidRPr="003968B9">
        <w:rPr>
          <w:sz w:val="40"/>
          <w:szCs w:val="40"/>
        </w:rPr>
        <w:t>Supporting Information</w:t>
      </w:r>
    </w:p>
    <w:p w14:paraId="56EB5246" w14:textId="77777777" w:rsidR="001F3C00" w:rsidRPr="003968B9" w:rsidRDefault="001F3C00" w:rsidP="001F3C00">
      <w:pPr>
        <w:pStyle w:val="Title1"/>
        <w:rPr>
          <w:sz w:val="40"/>
          <w:szCs w:val="40"/>
        </w:rPr>
      </w:pPr>
    </w:p>
    <w:p w14:paraId="6E9E8330" w14:textId="033D04BC" w:rsidR="001F3C00" w:rsidRPr="003968B9" w:rsidRDefault="001F3C00" w:rsidP="001F3C00">
      <w:pPr>
        <w:pStyle w:val="Title1"/>
        <w:jc w:val="center"/>
        <w:rPr>
          <w:color w:val="000000"/>
          <w:sz w:val="36"/>
          <w:szCs w:val="36"/>
        </w:rPr>
      </w:pPr>
      <w:r w:rsidRPr="003968B9">
        <w:rPr>
          <w:sz w:val="36"/>
          <w:szCs w:val="36"/>
        </w:rPr>
        <w:t>Catalytic pyrolysis of cellulose using acidic ionic liquids at low temperatures and explanation of the catalytic mechanism and product evolution model</w:t>
      </w:r>
    </w:p>
    <w:p w14:paraId="391824EF" w14:textId="77777777" w:rsidR="001F3C00" w:rsidRPr="003968B9" w:rsidRDefault="001F3C00" w:rsidP="001F3C00">
      <w:pPr>
        <w:keepLines/>
        <w:wordWrap w:val="0"/>
        <w:ind w:firstLineChars="0" w:firstLine="0"/>
        <w:jc w:val="both"/>
        <w:rPr>
          <w:rFonts w:ascii="Times New Roman" w:eastAsia="MS Mincho" w:hAnsi="Times New Roman"/>
          <w:i/>
          <w:iCs/>
          <w:kern w:val="0"/>
          <w:sz w:val="24"/>
          <w:szCs w:val="24"/>
          <w:lang w:val="de-DE" w:eastAsia="ja-JP"/>
        </w:rPr>
      </w:pPr>
      <w:bookmarkStart w:id="1" w:name="OLE_LINK3"/>
      <w:bookmarkStart w:id="2" w:name="OLE_LINK4"/>
    </w:p>
    <w:p w14:paraId="521BAC51" w14:textId="33936861" w:rsidR="001F3C00" w:rsidRPr="001F3C00" w:rsidRDefault="001F3C00" w:rsidP="001F3C00">
      <w:pPr>
        <w:keepLines/>
        <w:wordWrap w:val="0"/>
        <w:ind w:firstLineChars="0" w:firstLine="0"/>
        <w:jc w:val="both"/>
        <w:rPr>
          <w:rFonts w:ascii="Times New Roman" w:eastAsia="MS Mincho" w:hAnsi="Times New Roman"/>
          <w:i/>
          <w:iCs/>
          <w:kern w:val="0"/>
          <w:sz w:val="24"/>
          <w:szCs w:val="24"/>
          <w:lang w:val="de-DE" w:eastAsia="ja-JP"/>
        </w:rPr>
      </w:pPr>
      <w:r w:rsidRPr="001F3C00">
        <w:rPr>
          <w:rFonts w:ascii="Times New Roman" w:eastAsia="MS Mincho" w:hAnsi="Times New Roman"/>
          <w:i/>
          <w:iCs/>
          <w:kern w:val="0"/>
          <w:sz w:val="24"/>
          <w:szCs w:val="24"/>
          <w:lang w:val="de-DE" w:eastAsia="ja-JP"/>
        </w:rPr>
        <w:t>ZhishunchengLi</w:t>
      </w:r>
      <w:r w:rsidRPr="001F3C00">
        <w:rPr>
          <w:rFonts w:ascii="Times New Roman" w:eastAsia="MS Mincho" w:hAnsi="Times New Roman"/>
          <w:i/>
          <w:iCs/>
          <w:kern w:val="0"/>
          <w:sz w:val="24"/>
          <w:szCs w:val="24"/>
          <w:vertAlign w:val="superscript"/>
          <w:lang w:val="de-DE" w:eastAsia="ja-JP"/>
        </w:rPr>
        <w:t>a,b</w:t>
      </w:r>
      <w:r w:rsidRPr="001F3C00">
        <w:rPr>
          <w:rFonts w:ascii="Times New Roman" w:eastAsia="MS Mincho" w:hAnsi="Times New Roman"/>
          <w:i/>
          <w:iCs/>
          <w:kern w:val="0"/>
          <w:sz w:val="24"/>
          <w:szCs w:val="24"/>
          <w:lang w:val="de-DE" w:eastAsia="ja-JP"/>
        </w:rPr>
        <w:t>,Yongheng Yuan</w:t>
      </w:r>
      <w:r w:rsidRPr="001F3C00">
        <w:rPr>
          <w:rFonts w:ascii="Times New Roman" w:eastAsia="MS Mincho" w:hAnsi="Times New Roman"/>
          <w:i/>
          <w:iCs/>
          <w:kern w:val="0"/>
          <w:sz w:val="24"/>
          <w:szCs w:val="24"/>
          <w:lang w:val="de-DE" w:eastAsia="ja-JP"/>
        </w:rPr>
        <w:t>，</w:t>
      </w:r>
      <w:r w:rsidRPr="001F3C00">
        <w:rPr>
          <w:rFonts w:ascii="Times New Roman" w:eastAsia="MS Mincho" w:hAnsi="Times New Roman"/>
          <w:i/>
          <w:iCs/>
          <w:kern w:val="0"/>
          <w:sz w:val="24"/>
          <w:szCs w:val="24"/>
          <w:lang w:val="de-DE" w:eastAsia="ja-JP"/>
        </w:rPr>
        <w:t>Qingyuan Cui(30349608@qq.com)</w:t>
      </w:r>
      <w:r w:rsidRPr="001F3C00">
        <w:rPr>
          <w:rFonts w:ascii="Times New Roman" w:eastAsia="MS Mincho" w:hAnsi="Times New Roman"/>
          <w:i/>
          <w:iCs/>
          <w:kern w:val="0"/>
          <w:sz w:val="24"/>
          <w:szCs w:val="24"/>
          <w:vertAlign w:val="superscript"/>
          <w:lang w:val="de-DE" w:eastAsia="ja-JP"/>
        </w:rPr>
        <w:t>a</w:t>
      </w:r>
      <w:r w:rsidRPr="001F3C00">
        <w:rPr>
          <w:rFonts w:ascii="Times New Roman" w:eastAsia="MS Mincho" w:hAnsi="Times New Roman"/>
          <w:i/>
          <w:iCs/>
          <w:kern w:val="0"/>
          <w:sz w:val="24"/>
          <w:szCs w:val="24"/>
          <w:lang w:val="de-DE" w:eastAsia="ja-JP"/>
        </w:rPr>
        <w:t xml:space="preserve"> ,Guangfei Qu*</w:t>
      </w:r>
      <w:r w:rsidRPr="001F3C00">
        <w:rPr>
          <w:rFonts w:ascii="Times New Roman" w:eastAsia="MS Mincho" w:hAnsi="Times New Roman"/>
          <w:i/>
          <w:iCs/>
          <w:kern w:val="0"/>
          <w:sz w:val="24"/>
          <w:szCs w:val="24"/>
          <w:vertAlign w:val="superscript"/>
          <w:lang w:val="de-DE" w:eastAsia="ja-JP"/>
        </w:rPr>
        <w:t>a,b</w:t>
      </w:r>
      <w:r w:rsidRPr="001F3C00">
        <w:rPr>
          <w:rFonts w:ascii="Times New Roman" w:eastAsia="MS Mincho" w:hAnsi="Times New Roman"/>
          <w:i/>
          <w:iCs/>
          <w:kern w:val="0"/>
          <w:sz w:val="24"/>
          <w:szCs w:val="24"/>
          <w:lang w:val="de-DE" w:eastAsia="ja-JP"/>
        </w:rPr>
        <w:t>(qgflab@sina.com)</w:t>
      </w:r>
      <w:r w:rsidRPr="001F3C00">
        <w:rPr>
          <w:rFonts w:ascii="Times New Roman" w:eastAsia="MS Mincho" w:hAnsi="Times New Roman"/>
          <w:i/>
          <w:iCs/>
          <w:kern w:val="0"/>
          <w:sz w:val="24"/>
          <w:szCs w:val="24"/>
          <w:lang w:val="de-DE" w:eastAsia="ja-JP"/>
        </w:rPr>
        <w:t>，</w:t>
      </w:r>
      <w:r w:rsidRPr="001F3C00">
        <w:rPr>
          <w:rFonts w:ascii="Times New Roman" w:eastAsia="MS Mincho" w:hAnsi="Times New Roman"/>
          <w:i/>
          <w:iCs/>
          <w:kern w:val="0"/>
          <w:sz w:val="24"/>
          <w:szCs w:val="24"/>
          <w:lang w:val="de-DE" w:eastAsia="ja-JP"/>
        </w:rPr>
        <w:t xml:space="preserve"> Yanhua He(1163009394@qq.com), Ping Ning</w:t>
      </w:r>
      <w:r w:rsidRPr="001F3C00">
        <w:rPr>
          <w:rFonts w:ascii="Times New Roman" w:eastAsia="MS Mincho" w:hAnsi="Times New Roman"/>
          <w:i/>
          <w:iCs/>
          <w:kern w:val="0"/>
          <w:sz w:val="24"/>
          <w:szCs w:val="24"/>
          <w:vertAlign w:val="superscript"/>
          <w:lang w:val="de-DE" w:eastAsia="ja-JP"/>
        </w:rPr>
        <w:t>a,b</w:t>
      </w:r>
      <w:r w:rsidRPr="001F3C00">
        <w:rPr>
          <w:rFonts w:ascii="Times New Roman" w:eastAsia="MS Mincho" w:hAnsi="Times New Roman"/>
          <w:i/>
          <w:iCs/>
          <w:kern w:val="0"/>
          <w:sz w:val="24"/>
          <w:szCs w:val="24"/>
          <w:lang w:val="de-DE" w:eastAsia="ja-JP"/>
        </w:rPr>
        <w:t>(ningpinglab@163.com), Ruosong Xie</w:t>
      </w:r>
      <w:r w:rsidRPr="001F3C00">
        <w:rPr>
          <w:rFonts w:ascii="Times New Roman" w:eastAsia="MS Mincho" w:hAnsi="Times New Roman"/>
          <w:i/>
          <w:iCs/>
          <w:kern w:val="0"/>
          <w:sz w:val="24"/>
          <w:szCs w:val="24"/>
          <w:vertAlign w:val="superscript"/>
          <w:lang w:val="de-DE" w:eastAsia="ja-JP"/>
        </w:rPr>
        <w:t xml:space="preserve"> a,b</w:t>
      </w:r>
      <w:r w:rsidRPr="001F3C00">
        <w:rPr>
          <w:rFonts w:ascii="Times New Roman" w:eastAsia="MS Mincho" w:hAnsi="Times New Roman"/>
          <w:i/>
          <w:iCs/>
          <w:kern w:val="0"/>
          <w:sz w:val="24"/>
          <w:szCs w:val="24"/>
          <w:lang w:val="de-DE" w:eastAsia="ja-JP"/>
        </w:rPr>
        <w:t>(40894872@qq.com), Weijie Li</w:t>
      </w:r>
      <w:r w:rsidRPr="001F3C00">
        <w:rPr>
          <w:rFonts w:ascii="Times New Roman" w:eastAsia="MS Mincho" w:hAnsi="Times New Roman"/>
          <w:i/>
          <w:iCs/>
          <w:kern w:val="0"/>
          <w:sz w:val="24"/>
          <w:szCs w:val="24"/>
          <w:vertAlign w:val="superscript"/>
          <w:lang w:val="de-DE" w:eastAsia="ja-JP"/>
        </w:rPr>
        <w:t xml:space="preserve"> a,b</w:t>
      </w:r>
      <w:r w:rsidRPr="001F3C00">
        <w:rPr>
          <w:rFonts w:ascii="Times New Roman" w:eastAsia="MS Mincho" w:hAnsi="Times New Roman"/>
          <w:i/>
          <w:iCs/>
          <w:kern w:val="0"/>
          <w:sz w:val="24"/>
          <w:szCs w:val="24"/>
          <w:lang w:val="de-DE" w:eastAsia="ja-JP"/>
        </w:rPr>
        <w:t>(450490326@qq.com), Yibi Xu</w:t>
      </w:r>
      <w:bookmarkEnd w:id="1"/>
      <w:bookmarkEnd w:id="2"/>
      <w:r w:rsidRPr="001F3C00">
        <w:rPr>
          <w:rFonts w:ascii="Times New Roman" w:eastAsia="MS Mincho" w:hAnsi="Times New Roman"/>
          <w:i/>
          <w:iCs/>
          <w:kern w:val="0"/>
          <w:sz w:val="24"/>
          <w:szCs w:val="24"/>
          <w:vertAlign w:val="superscript"/>
          <w:lang w:val="de-DE" w:eastAsia="ja-JP"/>
        </w:rPr>
        <w:t xml:space="preserve"> a,b</w:t>
      </w:r>
      <w:r w:rsidRPr="001F3C00">
        <w:rPr>
          <w:rFonts w:ascii="Times New Roman" w:eastAsia="MS Mincho" w:hAnsi="Times New Roman"/>
          <w:i/>
          <w:iCs/>
          <w:kern w:val="0"/>
          <w:sz w:val="24"/>
          <w:szCs w:val="24"/>
          <w:lang w:val="de-DE" w:eastAsia="ja-JP"/>
        </w:rPr>
        <w:t>(1628629687@qq.com)</w:t>
      </w:r>
    </w:p>
    <w:p w14:paraId="0AAE7E37" w14:textId="77777777" w:rsidR="001F3C00" w:rsidRPr="001F3C00" w:rsidRDefault="001F3C00" w:rsidP="001F3C00">
      <w:pPr>
        <w:ind w:firstLineChars="0" w:firstLine="0"/>
        <w:jc w:val="both"/>
        <w:rPr>
          <w:rFonts w:ascii="Times New Roman" w:hAnsi="Times New Roman"/>
          <w:bCs/>
          <w:color w:val="000000"/>
          <w:szCs w:val="24"/>
        </w:rPr>
      </w:pPr>
      <w:r w:rsidRPr="001F3C00">
        <w:rPr>
          <w:rFonts w:ascii="Times New Roman" w:hAnsi="Times New Roman"/>
          <w:bCs/>
          <w:color w:val="000000"/>
          <w:szCs w:val="24"/>
          <w:vertAlign w:val="superscript"/>
        </w:rPr>
        <w:t xml:space="preserve">a </w:t>
      </w:r>
      <w:r w:rsidRPr="001F3C00">
        <w:rPr>
          <w:rFonts w:ascii="Times New Roman" w:hAnsi="Times New Roman"/>
          <w:bCs/>
          <w:color w:val="000000"/>
          <w:szCs w:val="24"/>
        </w:rPr>
        <w:t>faculty of environmental science and engineering, Kunming University of Science and Technology, Kunming, Yunnan, 650500, China</w:t>
      </w:r>
    </w:p>
    <w:p w14:paraId="632CAED6" w14:textId="77777777" w:rsidR="001F3C00" w:rsidRPr="001F3C00" w:rsidRDefault="001F3C00" w:rsidP="001F3C00">
      <w:pPr>
        <w:ind w:firstLineChars="0" w:firstLine="0"/>
        <w:jc w:val="both"/>
        <w:rPr>
          <w:rFonts w:ascii="Times New Roman" w:hAnsi="Times New Roman"/>
          <w:bCs/>
          <w:color w:val="000000"/>
          <w:szCs w:val="24"/>
        </w:rPr>
      </w:pPr>
      <w:r w:rsidRPr="001F3C00">
        <w:rPr>
          <w:rFonts w:ascii="Times New Roman" w:hAnsi="Times New Roman"/>
          <w:bCs/>
          <w:color w:val="000000"/>
          <w:szCs w:val="24"/>
          <w:vertAlign w:val="superscript"/>
        </w:rPr>
        <w:t>b</w:t>
      </w:r>
      <w:r w:rsidRPr="001F3C00">
        <w:rPr>
          <w:rFonts w:ascii="Times New Roman" w:hAnsi="Times New Roman"/>
          <w:bCs/>
          <w:color w:val="000000"/>
          <w:szCs w:val="24"/>
        </w:rPr>
        <w:t xml:space="preserve"> National Regional Engineering Research Center-NCW, Kunming, Yunnan, 650500, China</w:t>
      </w:r>
    </w:p>
    <w:p w14:paraId="443C440C" w14:textId="77777777" w:rsidR="001F3C00" w:rsidRPr="001F3C00" w:rsidRDefault="001F3C00" w:rsidP="001F3C00">
      <w:pPr>
        <w:ind w:firstLineChars="0" w:firstLine="0"/>
        <w:rPr>
          <w:rFonts w:ascii="Times New Roman" w:eastAsia="MS Mincho" w:hAnsi="Times New Roman"/>
          <w:iCs/>
          <w:kern w:val="0"/>
          <w:sz w:val="24"/>
          <w:szCs w:val="24"/>
          <w:lang w:val="de-DE" w:eastAsia="ja-JP"/>
        </w:rPr>
      </w:pPr>
      <w:r w:rsidRPr="001F3C00">
        <w:rPr>
          <w:rFonts w:ascii="Times New Roman" w:eastAsiaTheme="minorEastAsia" w:hAnsi="Times New Roman"/>
          <w:iCs/>
          <w:kern w:val="0"/>
          <w:sz w:val="24"/>
          <w:szCs w:val="24"/>
          <w:lang w:val="de-DE"/>
        </w:rPr>
        <w:t>C</w:t>
      </w:r>
      <w:r w:rsidRPr="001F3C00">
        <w:rPr>
          <w:rFonts w:ascii="Times New Roman" w:eastAsia="MS Mincho" w:hAnsi="Times New Roman"/>
          <w:iCs/>
          <w:kern w:val="0"/>
          <w:sz w:val="24"/>
          <w:szCs w:val="24"/>
          <w:lang w:val="de-DE" w:eastAsia="ja-JP"/>
        </w:rPr>
        <w:t xml:space="preserve">orresponding author: </w:t>
      </w:r>
      <w:r w:rsidRPr="001F3C00">
        <w:rPr>
          <w:rFonts w:ascii="Times New Roman" w:eastAsia="MS Mincho" w:hAnsi="Times New Roman"/>
          <w:kern w:val="0"/>
          <w:sz w:val="24"/>
          <w:szCs w:val="24"/>
          <w:lang w:val="de-DE" w:eastAsia="ja-JP"/>
        </w:rPr>
        <w:t>Guangfei Qu</w:t>
      </w:r>
    </w:p>
    <w:p w14:paraId="570B674F" w14:textId="77777777" w:rsidR="001F3C00" w:rsidRPr="001F3C00" w:rsidRDefault="001F3C00" w:rsidP="001F3C00">
      <w:pPr>
        <w:ind w:firstLineChars="0" w:firstLine="0"/>
        <w:rPr>
          <w:rFonts w:ascii="Times New Roman" w:eastAsia="MS Mincho" w:hAnsi="Times New Roman"/>
          <w:iCs/>
          <w:kern w:val="0"/>
          <w:sz w:val="24"/>
          <w:szCs w:val="24"/>
          <w:lang w:val="de-DE" w:eastAsia="ja-JP"/>
        </w:rPr>
      </w:pPr>
      <w:r w:rsidRPr="001F3C00">
        <w:rPr>
          <w:rFonts w:ascii="Times New Roman" w:eastAsia="MS Mincho" w:hAnsi="Times New Roman"/>
          <w:iCs/>
          <w:kern w:val="0"/>
          <w:sz w:val="24"/>
          <w:szCs w:val="24"/>
          <w:lang w:val="de-DE" w:eastAsia="ja-JP"/>
        </w:rPr>
        <w:t>E-mail:15912501574@163.com</w:t>
      </w:r>
    </w:p>
    <w:p w14:paraId="773546C7" w14:textId="730F6E9D" w:rsidR="003968B9" w:rsidRDefault="001F3C00" w:rsidP="002C081F">
      <w:pPr>
        <w:spacing w:line="240" w:lineRule="auto"/>
        <w:ind w:firstLineChars="0" w:firstLine="0"/>
        <w:rPr>
          <w:rFonts w:ascii="Times New Roman" w:hAnsi="Times New Roman" w:hint="eastAsia"/>
          <w:lang w:val="de-DE"/>
        </w:rPr>
      </w:pPr>
      <w:r w:rsidRPr="003968B9">
        <w:rPr>
          <w:rFonts w:ascii="Times New Roman" w:hAnsi="Times New Roman"/>
          <w:lang w:val="de-DE"/>
        </w:rPr>
        <w:br w:type="page"/>
      </w:r>
    </w:p>
    <w:p w14:paraId="7806AA4C" w14:textId="023CF503" w:rsidR="003968B9" w:rsidRPr="003968B9" w:rsidRDefault="003968B9" w:rsidP="003968B9">
      <w:pPr>
        <w:pStyle w:val="aa"/>
        <w:ind w:firstLineChars="0" w:firstLine="0"/>
        <w:jc w:val="left"/>
      </w:pPr>
      <w:r>
        <w:lastRenderedPageBreak/>
        <w:t>1</w:t>
      </w:r>
      <w:r w:rsidRPr="003968B9">
        <w:t>.</w:t>
      </w:r>
      <w:r w:rsidRPr="003968B9">
        <w:t xml:space="preserve"> </w:t>
      </w:r>
      <w:r w:rsidRPr="003968B9">
        <w:t>Thermal stability analysis of ionic liquids</w:t>
      </w:r>
    </w:p>
    <w:p w14:paraId="32C0122E" w14:textId="41F17749" w:rsidR="003968B9" w:rsidRPr="003968B9" w:rsidRDefault="003968B9" w:rsidP="003968B9">
      <w:pPr>
        <w:spacing w:line="480" w:lineRule="auto"/>
        <w:ind w:firstLine="420"/>
        <w:jc w:val="both"/>
        <w:rPr>
          <w:rFonts w:ascii="Times New Roman" w:hAnsi="Times New Roman"/>
          <w:bCs/>
        </w:rPr>
      </w:pPr>
      <w:r w:rsidRPr="003968B9">
        <w:rPr>
          <w:rFonts w:ascii="Times New Roman" w:hAnsi="Times New Roman"/>
          <w:bCs/>
          <w:lang w:val="de-DE"/>
        </w:rPr>
        <w:t xml:space="preserve">Since the experiments used pyrolysis temperatures up to 300℃, the thermal stability of ionic liquids should be investigated in order to ensure the catalytic effect of ionic liquids at this temperature. </w:t>
      </w:r>
      <w:r w:rsidRPr="003968B9">
        <w:rPr>
          <w:rFonts w:ascii="Times New Roman" w:hAnsi="Times New Roman"/>
          <w:bCs/>
        </w:rPr>
        <w:t>Therefore, thermogravimetric TGA-DTG analysis combined with differential scanning calorimetry (DSC) was used to determine the thermal stability of the ionic liquids. The results of the analysis are shown in the Fig.</w:t>
      </w:r>
      <w:r>
        <w:rPr>
          <w:rFonts w:ascii="Times New Roman" w:hAnsi="Times New Roman"/>
          <w:bCs/>
        </w:rPr>
        <w:t>S</w:t>
      </w:r>
      <w:r>
        <w:rPr>
          <w:rFonts w:ascii="Times New Roman" w:hAnsi="Times New Roman"/>
          <w:bCs/>
        </w:rPr>
        <w:t>1</w:t>
      </w:r>
      <w:r w:rsidRPr="003968B9">
        <w:rPr>
          <w:rFonts w:ascii="Times New Roman" w:hAnsi="Times New Roman"/>
          <w:bCs/>
        </w:rPr>
        <w:t>.</w:t>
      </w:r>
    </w:p>
    <w:p w14:paraId="0D865032" w14:textId="77777777" w:rsidR="003968B9" w:rsidRPr="003968B9" w:rsidRDefault="003968B9" w:rsidP="003968B9">
      <w:pPr>
        <w:pStyle w:val="VAFigureCaption"/>
        <w:spacing w:after="0"/>
        <w:jc w:val="center"/>
        <w:rPr>
          <w:rFonts w:ascii="Times New Roman" w:hAnsi="Times New Roman" w:cs="Times New Roman"/>
          <w:b/>
          <w:sz w:val="24"/>
        </w:rPr>
      </w:pPr>
      <w:r w:rsidRPr="003968B9">
        <w:rPr>
          <w:rFonts w:ascii="Times New Roman" w:hAnsi="Times New Roman" w:cs="Times New Roman"/>
          <w:bCs/>
          <w:noProof/>
        </w:rPr>
        <w:drawing>
          <wp:inline distT="0" distB="0" distL="0" distR="0" wp14:anchorId="3B19C31D" wp14:editId="665EF451">
            <wp:extent cx="5149850" cy="308891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8787" cy="3094273"/>
                    </a:xfrm>
                    <a:prstGeom prst="rect">
                      <a:avLst/>
                    </a:prstGeom>
                  </pic:spPr>
                </pic:pic>
              </a:graphicData>
            </a:graphic>
          </wp:inline>
        </w:drawing>
      </w:r>
      <w:r w:rsidRPr="003968B9">
        <w:rPr>
          <w:rFonts w:ascii="Times New Roman" w:hAnsi="Times New Roman" w:cs="Times New Roman"/>
          <w:b/>
          <w:sz w:val="24"/>
        </w:rPr>
        <w:t xml:space="preserve"> </w:t>
      </w:r>
    </w:p>
    <w:p w14:paraId="74BF4DB3" w14:textId="18DF5E0F" w:rsidR="003968B9" w:rsidRPr="003968B9" w:rsidRDefault="003968B9" w:rsidP="003968B9">
      <w:pPr>
        <w:pStyle w:val="VAFigureCaption"/>
        <w:jc w:val="center"/>
        <w:rPr>
          <w:rFonts w:ascii="Times New Roman" w:hAnsi="Times New Roman" w:cs="Times New Roman"/>
          <w:bCs/>
          <w:sz w:val="24"/>
        </w:rPr>
      </w:pPr>
      <w:r w:rsidRPr="003968B9">
        <w:rPr>
          <w:rFonts w:ascii="Times New Roman" w:hAnsi="Times New Roman" w:cs="Times New Roman"/>
          <w:b/>
          <w:sz w:val="24"/>
        </w:rPr>
        <w:t xml:space="preserve">Figure </w:t>
      </w:r>
      <w:r>
        <w:rPr>
          <w:rFonts w:ascii="Times New Roman" w:hAnsi="Times New Roman" w:cs="Times New Roman"/>
          <w:b/>
          <w:sz w:val="24"/>
        </w:rPr>
        <w:t>S</w:t>
      </w:r>
      <w:r>
        <w:rPr>
          <w:rFonts w:ascii="Times New Roman" w:hAnsi="Times New Roman" w:cs="Times New Roman"/>
          <w:b/>
          <w:sz w:val="24"/>
        </w:rPr>
        <w:t>1</w:t>
      </w:r>
      <w:r w:rsidRPr="003968B9">
        <w:rPr>
          <w:rFonts w:ascii="Times New Roman" w:hAnsi="Times New Roman" w:cs="Times New Roman"/>
          <w:b/>
          <w:sz w:val="24"/>
        </w:rPr>
        <w:t xml:space="preserve">. </w:t>
      </w:r>
      <w:r w:rsidRPr="003968B9">
        <w:rPr>
          <w:rFonts w:ascii="Times New Roman" w:hAnsi="Times New Roman" w:cs="Times New Roman"/>
          <w:bCs/>
          <w:sz w:val="24"/>
        </w:rPr>
        <w:t>The DSC curve and TGA-DTG curve of [Bmim]OTf.</w:t>
      </w:r>
    </w:p>
    <w:p w14:paraId="6A14CD6D" w14:textId="045E0BFF" w:rsidR="003968B9" w:rsidRPr="003968B9" w:rsidRDefault="003968B9" w:rsidP="003968B9">
      <w:pPr>
        <w:spacing w:line="480" w:lineRule="auto"/>
        <w:ind w:firstLine="420"/>
        <w:jc w:val="both"/>
        <w:rPr>
          <w:rFonts w:ascii="Times New Roman" w:hAnsi="Times New Roman"/>
          <w:bCs/>
        </w:rPr>
      </w:pPr>
      <w:r w:rsidRPr="003968B9">
        <w:rPr>
          <w:rFonts w:ascii="Times New Roman" w:hAnsi="Times New Roman"/>
          <w:bCs/>
        </w:rPr>
        <w:t>As can be seen from the Fig.</w:t>
      </w:r>
      <w:r>
        <w:rPr>
          <w:rFonts w:ascii="Times New Roman" w:hAnsi="Times New Roman"/>
          <w:bCs/>
        </w:rPr>
        <w:t>S</w:t>
      </w:r>
      <w:r>
        <w:rPr>
          <w:rFonts w:ascii="Times New Roman" w:hAnsi="Times New Roman"/>
          <w:bCs/>
        </w:rPr>
        <w:t>1</w:t>
      </w:r>
      <w:r w:rsidRPr="003968B9">
        <w:rPr>
          <w:rFonts w:ascii="Times New Roman" w:hAnsi="Times New Roman"/>
          <w:bCs/>
        </w:rPr>
        <w:t xml:space="preserve">. The DSC curve of [Bmim]OTf ionic liquid only started to show the peak of heat absorption at 318.0℃ and terminated at 381.9℃, at which time the corresponding TGA-DTG curve started to increase the rate of weight loss at 320℃, stabilized for a period of time at about 370℃, and started to lose weight again at about 410℃ with a rapid decrease in rate, indicating that the decomposition of [Bmim]OTf started at The decomposition temperature of [Bmim] OTf is around 320℃, and almost all of it decomposes at 530℃, which corresponds to the DTG curve indicating that the real decomposition temperature of [Bmim] OTf starts at around </w:t>
      </w:r>
      <w:r w:rsidRPr="003968B9">
        <w:rPr>
          <w:rFonts w:ascii="Times New Roman" w:hAnsi="Times New Roman"/>
          <w:bCs/>
        </w:rPr>
        <w:lastRenderedPageBreak/>
        <w:t>400℃. This shows that the decomposition temperature of the ionic liquid is much higher than 300℃, so the ionic liquid can maintain good thermal stability during this experiment.</w:t>
      </w:r>
    </w:p>
    <w:p w14:paraId="3B53BC7C" w14:textId="77777777" w:rsidR="003968B9" w:rsidRPr="003968B9" w:rsidRDefault="003968B9">
      <w:pPr>
        <w:spacing w:line="240" w:lineRule="auto"/>
        <w:ind w:firstLineChars="0" w:firstLine="0"/>
        <w:rPr>
          <w:rFonts w:ascii="Times New Roman" w:hAnsi="Times New Roman"/>
        </w:rPr>
      </w:pPr>
    </w:p>
    <w:p w14:paraId="64673397" w14:textId="565DDC31" w:rsidR="001F3C00" w:rsidRPr="003968B9" w:rsidRDefault="003968B9" w:rsidP="003968B9">
      <w:pPr>
        <w:pStyle w:val="aa"/>
        <w:ind w:firstLineChars="0" w:firstLine="0"/>
        <w:jc w:val="left"/>
        <w:rPr>
          <w:rFonts w:cs="Times New Roman"/>
        </w:rPr>
      </w:pPr>
      <w:r>
        <w:t>2</w:t>
      </w:r>
      <w:r w:rsidR="001F3C00" w:rsidRPr="003968B9">
        <w:rPr>
          <w:rFonts w:cs="Times New Roman"/>
        </w:rPr>
        <w:t xml:space="preserve">. </w:t>
      </w:r>
      <w:r w:rsidRPr="003968B9">
        <w:t>Pyrolytic gas chromatography analysis</w:t>
      </w:r>
    </w:p>
    <w:p w14:paraId="57142582" w14:textId="35CA40D4" w:rsidR="004E47A8" w:rsidRPr="003968B9" w:rsidRDefault="004E47A8" w:rsidP="004E47A8">
      <w:pPr>
        <w:spacing w:line="240" w:lineRule="auto"/>
        <w:ind w:firstLineChars="0" w:firstLine="0"/>
        <w:jc w:val="center"/>
        <w:rPr>
          <w:rFonts w:ascii="Times New Roman" w:hAnsi="Times New Roman"/>
        </w:rPr>
      </w:pPr>
      <w:r w:rsidRPr="003968B9">
        <w:rPr>
          <w:rFonts w:ascii="Times New Roman" w:hAnsi="Times New Roman"/>
          <w:noProof/>
        </w:rPr>
        <w:drawing>
          <wp:inline distT="0" distB="0" distL="0" distR="0" wp14:anchorId="6EE085AC" wp14:editId="2279F4A2">
            <wp:extent cx="4753302" cy="341024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3302" cy="3410241"/>
                    </a:xfrm>
                    <a:prstGeom prst="rect">
                      <a:avLst/>
                    </a:prstGeom>
                  </pic:spPr>
                </pic:pic>
              </a:graphicData>
            </a:graphic>
          </wp:inline>
        </w:drawing>
      </w:r>
    </w:p>
    <w:p w14:paraId="3AEFCFBB" w14:textId="3927C9A6" w:rsidR="004E47A8" w:rsidRPr="003968B9" w:rsidRDefault="004E47A8" w:rsidP="004E47A8">
      <w:pPr>
        <w:spacing w:line="240" w:lineRule="auto"/>
        <w:ind w:firstLineChars="0" w:firstLine="0"/>
        <w:jc w:val="center"/>
        <w:rPr>
          <w:rFonts w:ascii="Times New Roman" w:hAnsi="Times New Roman"/>
          <w:b/>
          <w:szCs w:val="21"/>
        </w:rPr>
      </w:pPr>
      <w:r w:rsidRPr="003968B9">
        <w:rPr>
          <w:rFonts w:ascii="Times New Roman" w:hAnsi="Times New Roman"/>
          <w:b/>
          <w:szCs w:val="21"/>
        </w:rPr>
        <w:t>Fig.</w:t>
      </w:r>
      <w:r w:rsidR="00B82992" w:rsidRPr="003968B9">
        <w:rPr>
          <w:rFonts w:ascii="Times New Roman" w:hAnsi="Times New Roman"/>
          <w:b/>
          <w:szCs w:val="21"/>
        </w:rPr>
        <w:t>S</w:t>
      </w:r>
      <w:r w:rsidR="003968B9">
        <w:rPr>
          <w:rFonts w:ascii="Times New Roman" w:hAnsi="Times New Roman"/>
          <w:b/>
          <w:szCs w:val="21"/>
        </w:rPr>
        <w:t>2</w:t>
      </w:r>
      <w:r w:rsidRPr="003968B9">
        <w:rPr>
          <w:rFonts w:ascii="Times New Roman" w:hAnsi="Times New Roman"/>
          <w:b/>
          <w:szCs w:val="21"/>
        </w:rPr>
        <w:t xml:space="preserve"> The gas chromatogram of pyrolysis gas under 140℃(a), 1</w:t>
      </w:r>
      <w:r w:rsidR="00731D35" w:rsidRPr="003968B9">
        <w:rPr>
          <w:rFonts w:ascii="Times New Roman" w:hAnsi="Times New Roman"/>
          <w:b/>
          <w:szCs w:val="21"/>
        </w:rPr>
        <w:t>8</w:t>
      </w:r>
      <w:r w:rsidRPr="003968B9">
        <w:rPr>
          <w:rFonts w:ascii="Times New Roman" w:hAnsi="Times New Roman"/>
          <w:b/>
          <w:szCs w:val="21"/>
        </w:rPr>
        <w:t xml:space="preserve">0℃(b), </w:t>
      </w:r>
      <w:r w:rsidR="00731D35" w:rsidRPr="003968B9">
        <w:rPr>
          <w:rFonts w:ascii="Times New Roman" w:hAnsi="Times New Roman"/>
          <w:b/>
          <w:szCs w:val="21"/>
        </w:rPr>
        <w:t>26</w:t>
      </w:r>
      <w:r w:rsidRPr="003968B9">
        <w:rPr>
          <w:rFonts w:ascii="Times New Roman" w:hAnsi="Times New Roman"/>
          <w:b/>
          <w:szCs w:val="21"/>
        </w:rPr>
        <w:t xml:space="preserve">0℃(c), </w:t>
      </w:r>
      <w:r w:rsidR="00731D35" w:rsidRPr="003968B9">
        <w:rPr>
          <w:rFonts w:ascii="Times New Roman" w:hAnsi="Times New Roman"/>
          <w:b/>
          <w:szCs w:val="21"/>
        </w:rPr>
        <w:t>3</w:t>
      </w:r>
      <w:r w:rsidRPr="003968B9">
        <w:rPr>
          <w:rFonts w:ascii="Times New Roman" w:hAnsi="Times New Roman"/>
          <w:b/>
          <w:szCs w:val="21"/>
        </w:rPr>
        <w:t>00℃(d)</w:t>
      </w:r>
    </w:p>
    <w:p w14:paraId="1D011B2B" w14:textId="08C704E6" w:rsidR="004E47A8" w:rsidRPr="003968B9" w:rsidRDefault="004E47A8" w:rsidP="003968B9">
      <w:pPr>
        <w:spacing w:line="480" w:lineRule="auto"/>
        <w:ind w:firstLine="420"/>
        <w:jc w:val="both"/>
        <w:rPr>
          <w:rFonts w:ascii="Times New Roman" w:hAnsi="Times New Roman"/>
          <w:bCs/>
        </w:rPr>
      </w:pPr>
      <w:r w:rsidRPr="003968B9">
        <w:rPr>
          <w:rFonts w:ascii="Times New Roman" w:hAnsi="Times New Roman"/>
          <w:bCs/>
        </w:rPr>
        <w:t>Due to the small amount of experimental materials and gas production, especially under high temperature it is difficult to collect gaseous products to make accurate analysis, the gas phase products generated by catalytic cracking of cellulose in [bmim]OTf under 140℃, 1</w:t>
      </w:r>
      <w:r w:rsidR="00731D35" w:rsidRPr="003968B9">
        <w:rPr>
          <w:rFonts w:ascii="Times New Roman" w:hAnsi="Times New Roman"/>
          <w:bCs/>
        </w:rPr>
        <w:t>8</w:t>
      </w:r>
      <w:r w:rsidRPr="003968B9">
        <w:rPr>
          <w:rFonts w:ascii="Times New Roman" w:hAnsi="Times New Roman"/>
          <w:bCs/>
        </w:rPr>
        <w:t xml:space="preserve">0℃, </w:t>
      </w:r>
      <w:r w:rsidR="00731D35" w:rsidRPr="003968B9">
        <w:rPr>
          <w:rFonts w:ascii="Times New Roman" w:hAnsi="Times New Roman"/>
          <w:bCs/>
        </w:rPr>
        <w:t>26</w:t>
      </w:r>
      <w:r w:rsidRPr="003968B9">
        <w:rPr>
          <w:rFonts w:ascii="Times New Roman" w:hAnsi="Times New Roman"/>
          <w:bCs/>
        </w:rPr>
        <w:t xml:space="preserve">0℃ and </w:t>
      </w:r>
      <w:r w:rsidR="00731D35" w:rsidRPr="003968B9">
        <w:rPr>
          <w:rFonts w:ascii="Times New Roman" w:hAnsi="Times New Roman"/>
          <w:bCs/>
        </w:rPr>
        <w:t>3</w:t>
      </w:r>
      <w:r w:rsidRPr="003968B9">
        <w:rPr>
          <w:rFonts w:ascii="Times New Roman" w:hAnsi="Times New Roman"/>
          <w:bCs/>
        </w:rPr>
        <w:t>00℃ were analyzed qualitatively.</w:t>
      </w:r>
    </w:p>
    <w:p w14:paraId="4E7BF91E" w14:textId="3B9D1234" w:rsidR="004E47A8" w:rsidRPr="003968B9" w:rsidRDefault="004E47A8" w:rsidP="003968B9">
      <w:pPr>
        <w:spacing w:line="480" w:lineRule="auto"/>
        <w:ind w:firstLine="420"/>
        <w:jc w:val="both"/>
        <w:rPr>
          <w:rFonts w:ascii="Times New Roman" w:hAnsi="Times New Roman"/>
          <w:bCs/>
        </w:rPr>
      </w:pPr>
      <w:r w:rsidRPr="003968B9">
        <w:rPr>
          <w:rFonts w:ascii="Times New Roman" w:hAnsi="Times New Roman"/>
          <w:bCs/>
        </w:rPr>
        <w:t>Through the analysis of gas chromatography, as shown in fig.</w:t>
      </w:r>
      <w:r w:rsidR="00731D35" w:rsidRPr="003968B9">
        <w:rPr>
          <w:rFonts w:ascii="Times New Roman" w:hAnsi="Times New Roman"/>
          <w:bCs/>
        </w:rPr>
        <w:t>S</w:t>
      </w:r>
      <w:r w:rsidR="003968B9">
        <w:rPr>
          <w:rFonts w:ascii="Times New Roman" w:hAnsi="Times New Roman"/>
          <w:bCs/>
        </w:rPr>
        <w:t>2</w:t>
      </w:r>
      <w:r w:rsidRPr="003968B9">
        <w:rPr>
          <w:rFonts w:ascii="Times New Roman" w:hAnsi="Times New Roman"/>
          <w:bCs/>
        </w:rPr>
        <w:t>, CO and CO</w:t>
      </w:r>
      <w:r w:rsidRPr="003968B9">
        <w:rPr>
          <w:rFonts w:ascii="Times New Roman" w:hAnsi="Times New Roman"/>
          <w:bCs/>
          <w:vertAlign w:val="subscript"/>
        </w:rPr>
        <w:t>2</w:t>
      </w:r>
      <w:r w:rsidRPr="003968B9">
        <w:rPr>
          <w:rFonts w:ascii="Times New Roman" w:hAnsi="Times New Roman"/>
          <w:bCs/>
        </w:rPr>
        <w:t xml:space="preserve"> were produced at 140℃ which means ionic liquid [bmim]OTf will make cellulose cracking take place in a relatively low temperature. Generally considering that the generation of CO is produced by dehydroxylation of compounds with hydroxyl groups while CO</w:t>
      </w:r>
      <w:r w:rsidRPr="003968B9">
        <w:rPr>
          <w:rFonts w:ascii="Times New Roman" w:hAnsi="Times New Roman"/>
          <w:bCs/>
          <w:vertAlign w:val="subscript"/>
        </w:rPr>
        <w:t>2</w:t>
      </w:r>
      <w:r w:rsidRPr="003968B9">
        <w:rPr>
          <w:rFonts w:ascii="Times New Roman" w:hAnsi="Times New Roman"/>
          <w:bCs/>
        </w:rPr>
        <w:t xml:space="preserve"> is generated by decarboxylated of compounds with </w:t>
      </w:r>
      <w:r w:rsidRPr="003968B9">
        <w:rPr>
          <w:rFonts w:ascii="Times New Roman" w:hAnsi="Times New Roman"/>
          <w:bCs/>
        </w:rPr>
        <w:lastRenderedPageBreak/>
        <w:t>carboxy groups. Moreover, the generation of CO</w:t>
      </w:r>
      <w:r w:rsidRPr="003968B9">
        <w:rPr>
          <w:rFonts w:ascii="Times New Roman" w:hAnsi="Times New Roman"/>
          <w:bCs/>
          <w:vertAlign w:val="subscript"/>
        </w:rPr>
        <w:t>2</w:t>
      </w:r>
      <w:r w:rsidRPr="003968B9">
        <w:rPr>
          <w:rFonts w:ascii="Times New Roman" w:hAnsi="Times New Roman"/>
          <w:bCs/>
        </w:rPr>
        <w:t xml:space="preserve"> is also associated with cellulose internal dehydrated.</w:t>
      </w:r>
    </w:p>
    <w:p w14:paraId="0510CC18" w14:textId="1470F0F1" w:rsidR="00EB6C21" w:rsidRPr="003968B9" w:rsidRDefault="004E47A8" w:rsidP="003968B9">
      <w:pPr>
        <w:spacing w:line="480" w:lineRule="auto"/>
        <w:ind w:firstLine="420"/>
        <w:jc w:val="both"/>
        <w:rPr>
          <w:rFonts w:ascii="Times New Roman" w:hAnsi="Times New Roman"/>
          <w:bCs/>
        </w:rPr>
      </w:pPr>
      <w:r w:rsidRPr="003968B9">
        <w:rPr>
          <w:rFonts w:ascii="Times New Roman" w:hAnsi="Times New Roman"/>
          <w:bCs/>
        </w:rPr>
        <w:t>As shown in Fig</w:t>
      </w:r>
      <w:r w:rsidR="0087708C" w:rsidRPr="003968B9">
        <w:rPr>
          <w:rFonts w:ascii="Times New Roman" w:hAnsi="Times New Roman"/>
          <w:bCs/>
        </w:rPr>
        <w:t>.</w:t>
      </w:r>
      <w:r w:rsidR="00580EDA" w:rsidRPr="003968B9">
        <w:rPr>
          <w:rFonts w:ascii="Times New Roman" w:hAnsi="Times New Roman"/>
          <w:bCs/>
        </w:rPr>
        <w:t>S</w:t>
      </w:r>
      <w:r w:rsidR="003968B9">
        <w:rPr>
          <w:rFonts w:ascii="Times New Roman" w:hAnsi="Times New Roman"/>
          <w:bCs/>
        </w:rPr>
        <w:t>2</w:t>
      </w:r>
      <w:r w:rsidR="00580EDA" w:rsidRPr="003968B9">
        <w:rPr>
          <w:rFonts w:ascii="Times New Roman" w:hAnsi="Times New Roman"/>
          <w:bCs/>
        </w:rPr>
        <w:t>b</w:t>
      </w:r>
      <w:r w:rsidRPr="003968B9">
        <w:rPr>
          <w:rFonts w:ascii="Times New Roman" w:hAnsi="Times New Roman"/>
          <w:bCs/>
        </w:rPr>
        <w:t>, it generates H</w:t>
      </w:r>
      <w:r w:rsidRPr="003968B9">
        <w:rPr>
          <w:rFonts w:ascii="Times New Roman" w:hAnsi="Times New Roman"/>
          <w:bCs/>
          <w:vertAlign w:val="subscript"/>
        </w:rPr>
        <w:t>2</w:t>
      </w:r>
      <w:r w:rsidRPr="003968B9">
        <w:rPr>
          <w:rFonts w:ascii="Times New Roman" w:hAnsi="Times New Roman"/>
          <w:bCs/>
        </w:rPr>
        <w:t xml:space="preserve"> at 180℃ in addition to CO</w:t>
      </w:r>
      <w:r w:rsidRPr="003968B9">
        <w:rPr>
          <w:rFonts w:ascii="Times New Roman" w:hAnsi="Times New Roman"/>
          <w:bCs/>
          <w:vertAlign w:val="subscript"/>
        </w:rPr>
        <w:t>2</w:t>
      </w:r>
      <w:r w:rsidRPr="003968B9">
        <w:rPr>
          <w:rFonts w:ascii="Times New Roman" w:hAnsi="Times New Roman"/>
          <w:bCs/>
        </w:rPr>
        <w:t xml:space="preserve"> and CO but the content is less. H</w:t>
      </w:r>
      <w:r w:rsidRPr="003968B9">
        <w:rPr>
          <w:rFonts w:ascii="Times New Roman" w:hAnsi="Times New Roman"/>
          <w:bCs/>
          <w:vertAlign w:val="subscript"/>
        </w:rPr>
        <w:t>2</w:t>
      </w:r>
      <w:r w:rsidRPr="003968B9">
        <w:rPr>
          <w:rFonts w:ascii="Times New Roman" w:hAnsi="Times New Roman"/>
          <w:bCs/>
        </w:rPr>
        <w:t xml:space="preserve"> was generated by cleavage and deformation of C=C and C-H key groups. As shown in Fig.</w:t>
      </w:r>
      <w:r w:rsidR="00580EDA" w:rsidRPr="003968B9">
        <w:rPr>
          <w:rFonts w:ascii="Times New Roman" w:hAnsi="Times New Roman"/>
          <w:bCs/>
        </w:rPr>
        <w:t>S</w:t>
      </w:r>
      <w:r w:rsidR="003968B9">
        <w:rPr>
          <w:rFonts w:ascii="Times New Roman" w:hAnsi="Times New Roman"/>
          <w:bCs/>
        </w:rPr>
        <w:t>2</w:t>
      </w:r>
      <w:r w:rsidR="0087708C" w:rsidRPr="003968B9">
        <w:rPr>
          <w:rFonts w:ascii="Times New Roman" w:hAnsi="Times New Roman"/>
          <w:bCs/>
        </w:rPr>
        <w:t>c and Fig.S</w:t>
      </w:r>
      <w:r w:rsidR="003968B9">
        <w:rPr>
          <w:rFonts w:ascii="Times New Roman" w:hAnsi="Times New Roman"/>
          <w:bCs/>
        </w:rPr>
        <w:t>2</w:t>
      </w:r>
      <w:r w:rsidR="0087708C" w:rsidRPr="003968B9">
        <w:rPr>
          <w:rFonts w:ascii="Times New Roman" w:hAnsi="Times New Roman"/>
          <w:bCs/>
        </w:rPr>
        <w:t>d</w:t>
      </w:r>
      <w:r w:rsidRPr="003968B9">
        <w:rPr>
          <w:rFonts w:ascii="Times New Roman" w:hAnsi="Times New Roman"/>
          <w:bCs/>
        </w:rPr>
        <w:t>, the content of H</w:t>
      </w:r>
      <w:r w:rsidRPr="003968B9">
        <w:rPr>
          <w:rFonts w:ascii="Times New Roman" w:hAnsi="Times New Roman"/>
          <w:bCs/>
          <w:vertAlign w:val="subscript"/>
        </w:rPr>
        <w:t>2</w:t>
      </w:r>
      <w:r w:rsidRPr="003968B9">
        <w:rPr>
          <w:rFonts w:ascii="Times New Roman" w:hAnsi="Times New Roman"/>
          <w:bCs/>
        </w:rPr>
        <w:t xml:space="preserve"> and CO increased at </w:t>
      </w:r>
      <w:r w:rsidR="00580EDA" w:rsidRPr="003968B9">
        <w:rPr>
          <w:rFonts w:ascii="Times New Roman" w:hAnsi="Times New Roman"/>
          <w:bCs/>
        </w:rPr>
        <w:t>26</w:t>
      </w:r>
      <w:r w:rsidRPr="003968B9">
        <w:rPr>
          <w:rFonts w:ascii="Times New Roman" w:hAnsi="Times New Roman"/>
          <w:bCs/>
        </w:rPr>
        <w:t xml:space="preserve">0℃ </w:t>
      </w:r>
      <w:r w:rsidR="00580EDA" w:rsidRPr="003968B9">
        <w:rPr>
          <w:rFonts w:ascii="Times New Roman" w:hAnsi="Times New Roman"/>
          <w:bCs/>
        </w:rPr>
        <w:t>and 300</w:t>
      </w:r>
      <w:r w:rsidR="0087708C" w:rsidRPr="003968B9">
        <w:rPr>
          <w:rFonts w:ascii="Times New Roman" w:hAnsi="Times New Roman"/>
          <w:bCs/>
        </w:rPr>
        <w:t xml:space="preserve">℃ </w:t>
      </w:r>
      <w:r w:rsidRPr="003968B9">
        <w:rPr>
          <w:rFonts w:ascii="Times New Roman" w:hAnsi="Times New Roman"/>
          <w:bCs/>
        </w:rPr>
        <w:t>which shows that high temperature favors the formation of H2 and CO.</w:t>
      </w:r>
    </w:p>
    <w:p w14:paraId="111807B5" w14:textId="0CA15053" w:rsidR="006B6948" w:rsidRPr="003968B9" w:rsidRDefault="001F3C00" w:rsidP="003968B9">
      <w:pPr>
        <w:pStyle w:val="aa"/>
        <w:ind w:firstLineChars="0" w:firstLine="0"/>
        <w:jc w:val="left"/>
      </w:pPr>
      <w:r w:rsidRPr="003968B9">
        <w:t>3.</w:t>
      </w:r>
      <w:r w:rsidR="003968B9" w:rsidRPr="003968B9">
        <w:t xml:space="preserve"> </w:t>
      </w:r>
      <w:r w:rsidR="003968B9" w:rsidRPr="003968B9">
        <w:t>Pathway of pyrolytic conversion of glucose</w:t>
      </w:r>
    </w:p>
    <w:p w14:paraId="4397F673" w14:textId="77777777" w:rsidR="006B5F01" w:rsidRPr="003968B9" w:rsidRDefault="006B5F01" w:rsidP="003968B9">
      <w:pPr>
        <w:spacing w:line="480" w:lineRule="auto"/>
        <w:ind w:firstLineChars="0" w:firstLine="0"/>
        <w:jc w:val="center"/>
        <w:rPr>
          <w:rFonts w:ascii="Times New Roman" w:hAnsi="Times New Roman"/>
        </w:rPr>
      </w:pPr>
      <w:r w:rsidRPr="003968B9">
        <w:rPr>
          <w:rFonts w:ascii="Times New Roman" w:hAnsi="Times New Roman"/>
          <w:noProof/>
        </w:rPr>
        <w:drawing>
          <wp:inline distT="0" distB="0" distL="0" distR="0" wp14:anchorId="4D634DC1" wp14:editId="111D032A">
            <wp:extent cx="5782276" cy="3692770"/>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7306" cy="3727914"/>
                    </a:xfrm>
                    <a:prstGeom prst="rect">
                      <a:avLst/>
                    </a:prstGeom>
                  </pic:spPr>
                </pic:pic>
              </a:graphicData>
            </a:graphic>
          </wp:inline>
        </w:drawing>
      </w:r>
    </w:p>
    <w:p w14:paraId="37D67950" w14:textId="7D09D7DA" w:rsidR="006B5F01" w:rsidRPr="003968B9" w:rsidRDefault="006B5F01" w:rsidP="006B5F01">
      <w:pPr>
        <w:spacing w:line="480" w:lineRule="auto"/>
        <w:ind w:firstLine="422"/>
        <w:jc w:val="center"/>
        <w:rPr>
          <w:rFonts w:ascii="Times New Roman" w:hAnsi="Times New Roman"/>
        </w:rPr>
      </w:pPr>
      <w:r w:rsidRPr="003968B9">
        <w:rPr>
          <w:rFonts w:ascii="Times New Roman" w:hAnsi="Times New Roman"/>
          <w:b/>
        </w:rPr>
        <w:t xml:space="preserve">Figure </w:t>
      </w:r>
      <w:r w:rsidR="003968B9" w:rsidRPr="003968B9">
        <w:rPr>
          <w:rFonts w:ascii="Times New Roman" w:hAnsi="Times New Roman"/>
          <w:b/>
        </w:rPr>
        <w:t>S3</w:t>
      </w:r>
      <w:r w:rsidRPr="003968B9">
        <w:rPr>
          <w:rFonts w:ascii="Times New Roman" w:hAnsi="Times New Roman"/>
          <w:b/>
        </w:rPr>
        <w:t>.</w:t>
      </w:r>
      <w:r w:rsidRPr="003968B9">
        <w:rPr>
          <w:rFonts w:ascii="Times New Roman" w:hAnsi="Times New Roman"/>
        </w:rPr>
        <w:t xml:space="preserve"> Pathway of pyrolytic conversion of glucose.</w:t>
      </w:r>
      <w:r w:rsidR="003968B9" w:rsidRPr="003968B9">
        <w:rPr>
          <w:rFonts w:ascii="Times New Roman" w:hAnsi="Times New Roman"/>
        </w:rPr>
        <w:t xml:space="preserve"> </w:t>
      </w:r>
      <w:r w:rsidRPr="003968B9">
        <w:rPr>
          <w:rFonts w:ascii="Times New Roman" w:hAnsi="Times New Roman"/>
        </w:rPr>
        <w:t xml:space="preserve">a </w:t>
      </w:r>
      <w:r w:rsidRPr="003968B9">
        <w:rPr>
          <w:rFonts w:ascii="Times New Roman" w:eastAsiaTheme="minorEastAsia" w:hAnsi="Times New Roman"/>
        </w:rPr>
        <w:t>is the</w:t>
      </w:r>
      <w:r w:rsidRPr="003968B9">
        <w:rPr>
          <w:rFonts w:ascii="Times New Roman" w:hAnsi="Times New Roman"/>
        </w:rPr>
        <w:t xml:space="preserve"> </w:t>
      </w:r>
      <w:r w:rsidRPr="003968B9">
        <w:rPr>
          <w:rFonts w:ascii="Times New Roman" w:eastAsiaTheme="minorEastAsia" w:hAnsi="Times New Roman"/>
        </w:rPr>
        <w:t>chain glucose conversion pathway</w:t>
      </w:r>
      <w:r w:rsidR="003968B9" w:rsidRPr="003968B9">
        <w:rPr>
          <w:rFonts w:ascii="Times New Roman" w:eastAsiaTheme="minorEastAsia" w:hAnsi="Times New Roman"/>
        </w:rPr>
        <w:t xml:space="preserve">, </w:t>
      </w:r>
      <w:r w:rsidRPr="003968B9">
        <w:rPr>
          <w:rFonts w:ascii="Times New Roman" w:eastAsiaTheme="minorEastAsia" w:hAnsi="Times New Roman"/>
        </w:rPr>
        <w:t>b and c are the cyclic glucose conversion pathway.</w:t>
      </w:r>
    </w:p>
    <w:p w14:paraId="39F8BC3E" w14:textId="6E83B48D" w:rsidR="006B5F01" w:rsidRPr="003968B9" w:rsidRDefault="006B5F01" w:rsidP="003968B9">
      <w:pPr>
        <w:pStyle w:val="ac"/>
        <w:ind w:firstLineChars="0" w:firstLine="0"/>
        <w:jc w:val="left"/>
      </w:pPr>
      <w:r w:rsidRPr="003968B9">
        <w:t>3.1 Conversion of chain glucose</w:t>
      </w:r>
    </w:p>
    <w:p w14:paraId="165A699F" w14:textId="77777777" w:rsidR="006B5F01" w:rsidRPr="003968B9" w:rsidRDefault="006B5F01" w:rsidP="006B5F01">
      <w:pPr>
        <w:spacing w:line="480" w:lineRule="auto"/>
        <w:ind w:firstLine="420"/>
        <w:jc w:val="both"/>
        <w:rPr>
          <w:rFonts w:ascii="Times New Roman" w:hAnsi="Times New Roman"/>
          <w:color w:val="000000"/>
        </w:rPr>
      </w:pPr>
      <w:r w:rsidRPr="003968B9">
        <w:rPr>
          <w:rFonts w:ascii="Times New Roman" w:hAnsi="Times New Roman"/>
          <w:color w:val="000000"/>
        </w:rPr>
        <w:t xml:space="preserve">Streptoglucose is a six-carbon chain structure containing five hydroxyl groups and one aldehyde group, and thus may be converted mainly to the long-chain compounds 4-hydroxybutyric </w:t>
      </w:r>
      <w:r w:rsidRPr="003968B9">
        <w:rPr>
          <w:rFonts w:ascii="Times New Roman" w:hAnsi="Times New Roman"/>
          <w:color w:val="000000"/>
        </w:rPr>
        <w:lastRenderedPageBreak/>
        <w:t>acid, vinyl propionate, 3-penta</w:t>
      </w:r>
      <w:r w:rsidRPr="003968B9">
        <w:rPr>
          <w:rFonts w:ascii="Times New Roman" w:hAnsi="Times New Roman"/>
        </w:rPr>
        <w:t>nol, 2-ethylhexanol, etc. There are three possible conversion pathways for streptavidin glucose (as shown in Figure 7</w:t>
      </w:r>
      <w:r w:rsidRPr="003968B9">
        <w:rPr>
          <w:rFonts w:ascii="Times New Roman" w:eastAsiaTheme="minorEastAsia" w:hAnsi="Times New Roman"/>
        </w:rPr>
        <w:t>a</w:t>
      </w:r>
      <w:r w:rsidRPr="003968B9">
        <w:rPr>
          <w:rFonts w:ascii="Times New Roman" w:hAnsi="Times New Roman"/>
        </w:rPr>
        <w:t xml:space="preserve">) as </w:t>
      </w:r>
      <w:r w:rsidRPr="003968B9">
        <w:rPr>
          <w:rFonts w:ascii="Times New Roman" w:hAnsi="Times New Roman"/>
          <w:color w:val="000000"/>
        </w:rPr>
        <w:t>follows.</w:t>
      </w:r>
    </w:p>
    <w:p w14:paraId="2592BD19" w14:textId="77777777" w:rsidR="006B5F01" w:rsidRPr="003968B9" w:rsidRDefault="006B5F01" w:rsidP="006B5F01">
      <w:pPr>
        <w:spacing w:line="480" w:lineRule="auto"/>
        <w:ind w:firstLine="420"/>
        <w:jc w:val="both"/>
        <w:rPr>
          <w:rFonts w:ascii="Times New Roman" w:hAnsi="Times New Roman"/>
          <w:color w:val="000000"/>
        </w:rPr>
      </w:pPr>
      <w:r w:rsidRPr="003968B9">
        <w:rPr>
          <w:rFonts w:ascii="Times New Roman" w:hAnsi="Times New Roman"/>
          <w:color w:val="000000"/>
        </w:rPr>
        <w:t xml:space="preserve"> (1) cellulose was pyrolyzed at 300 ℃ to generate 4-hydroxybutyric acid, in general, organic matter with aldehyde group is converted to acid by oxidation, so the first path for the aldehyde group of the broken bond of chain glucose was oxidized to generate 4-hydroxybutyric acid and vinyl alcohol, path </w:t>
      </w:r>
      <w:r w:rsidRPr="003968B9">
        <w:rPr>
          <w:rFonts w:ascii="宋体" w:hAnsi="宋体" w:cs="宋体" w:hint="eastAsia"/>
          <w:color w:val="000000"/>
        </w:rPr>
        <w:t>①</w:t>
      </w:r>
      <w:r w:rsidRPr="003968B9">
        <w:rPr>
          <w:rFonts w:ascii="Times New Roman" w:hAnsi="Times New Roman"/>
          <w:color w:val="000000"/>
        </w:rPr>
        <w:t xml:space="preserve"> may be the main path of chain glucose conversion. After that cellulose generates vinyl propionate at 260 ℃, so 4-hydroxybutyric acid decarbonylates to lose a carbon then is oxidized to generate propionic acid, which is dehydrated by esterification with ethylenol to generate vinyl propionate.</w:t>
      </w:r>
    </w:p>
    <w:p w14:paraId="096D34BD"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(2) Cellulose only produces 3-pentanol at 180 °C, suggesting that the production of 3-pentanol is only a side reaction in the conversion of chain glucose, so the second pathway is the reduction of the chain glucose aldehyde group to a long chain alcohol followed by dehydration breakage to lose a carbon to 3-pentanol.</w:t>
      </w:r>
    </w:p>
    <w:p w14:paraId="3D8CE32B"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(3) The formation of 2-ethylhexanol from cellulose at 140 °C. The other major reaction pathway in the conversion of chain glucose, i.e. the third pathway, is the breaking of the long bonds of chain glucose, which undergoes addition and substitution reactions to form 2-ethylhexanol, and the possible conversion of 2-ethylhexanol to 3-pentanol.</w:t>
      </w:r>
    </w:p>
    <w:p w14:paraId="60F3BE6A" w14:textId="2E155FB9" w:rsidR="006B5F01" w:rsidRPr="003968B9" w:rsidRDefault="006B5F01" w:rsidP="003968B9">
      <w:pPr>
        <w:pStyle w:val="ac"/>
        <w:ind w:firstLineChars="0" w:firstLine="0"/>
        <w:jc w:val="left"/>
      </w:pPr>
      <w:r w:rsidRPr="003968B9">
        <w:t>3.2 Transformation of cyclic glucose</w:t>
      </w:r>
    </w:p>
    <w:p w14:paraId="01DCC187"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 xml:space="preserve">Cyclic levoglucose is the main product of the initial stage of cellulose pyrolysis, and its ring structure makes it possible to convert to other cyclic structured organics or to open the ring and convert to other chain organics, with five possible main conversion pathways, as shown in Figure 7b and Figure 7c. </w:t>
      </w:r>
    </w:p>
    <w:p w14:paraId="0CF9036E"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lastRenderedPageBreak/>
        <w:t>(1) Cellulose produced hydroxymethylcycloheptane at 180 °C. The first pathway is a side reaction of levoglucose conversion, i.e., the dissociation of the ring of hexameric glucopyranosic acid and its re-cycling with other small molecule compounds under catalytic action to form hydroxymethylcycloheptane, as shown in Figure 7</w:t>
      </w:r>
      <w:r w:rsidRPr="003968B9">
        <w:rPr>
          <w:rFonts w:ascii="Times New Roman" w:eastAsiaTheme="minorEastAsia" w:hAnsi="Times New Roman"/>
        </w:rPr>
        <w:t>b</w:t>
      </w:r>
      <w:r w:rsidRPr="003968B9">
        <w:rPr>
          <w:rFonts w:ascii="Times New Roman" w:hAnsi="Times New Roman"/>
        </w:rPr>
        <w:t>.</w:t>
      </w:r>
    </w:p>
    <w:p w14:paraId="48054CF5"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 xml:space="preserve">(2) Cellulose generated 2-butyl-1,3-cyclopentanedione at 300 °C, indicating that pathway </w:t>
      </w:r>
      <w:r w:rsidRPr="003968B9">
        <w:rPr>
          <w:rFonts w:ascii="宋体" w:hAnsi="宋体" w:cs="宋体" w:hint="eastAsia"/>
        </w:rPr>
        <w:t>②</w:t>
      </w:r>
      <w:r w:rsidRPr="003968B9">
        <w:rPr>
          <w:rFonts w:ascii="Times New Roman" w:hAnsi="Times New Roman"/>
        </w:rPr>
        <w:t xml:space="preserve"> is easily formed at high temperatures, and since high temperatures tend to eliminate hydroxyl groups, pyranose cleavage may be the result of dehydration of the two meso-hydroxyl groups and oxidation of the para-hydroxyl group to form dihydroxypyranones, followed by ring opening and reorganization to form 2-butyl-1,3-cyclopentanedione, as shown in Figure 7</w:t>
      </w:r>
      <w:r w:rsidRPr="003968B9">
        <w:rPr>
          <w:rFonts w:ascii="Times New Roman" w:eastAsiaTheme="minorEastAsia" w:hAnsi="Times New Roman"/>
        </w:rPr>
        <w:t>b</w:t>
      </w:r>
      <w:r w:rsidRPr="003968B9">
        <w:rPr>
          <w:rFonts w:ascii="Times New Roman" w:hAnsi="Times New Roman"/>
        </w:rPr>
        <w:t>.</w:t>
      </w:r>
    </w:p>
    <w:p w14:paraId="0E66341B"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 xml:space="preserve">(3) Cellulose generates 5-methyl-1,5-hexadien-3-ol at 180 °C. Chong Shen </w:t>
      </w:r>
      <w:r w:rsidRPr="003968B9">
        <w:rPr>
          <w:rFonts w:ascii="Times New Roman" w:hAnsi="Times New Roman"/>
          <w:vertAlign w:val="superscript"/>
        </w:rPr>
        <w:t>[39]</w:t>
      </w:r>
      <w:r w:rsidRPr="003968B9">
        <w:rPr>
          <w:rFonts w:ascii="Times New Roman" w:hAnsi="Times New Roman"/>
          <w:color w:val="FF0000"/>
        </w:rPr>
        <w:t xml:space="preserve"> </w:t>
      </w:r>
      <w:r w:rsidRPr="003968B9">
        <w:rPr>
          <w:rFonts w:ascii="Times New Roman" w:hAnsi="Times New Roman"/>
        </w:rPr>
        <w:t xml:space="preserve">et al. suggested that glucose undergoes dehydration of the hydroxyl group at the 1,2 position followed by Retro-Diels-Alder to generate 2,3-dihydroxyacrolein, and therefore postulated that pathway </w:t>
      </w:r>
      <w:r w:rsidRPr="003968B9">
        <w:rPr>
          <w:rFonts w:ascii="宋体" w:hAnsi="宋体" w:cs="宋体" w:hint="eastAsia"/>
        </w:rPr>
        <w:t>③</w:t>
      </w:r>
      <w:r w:rsidRPr="003968B9">
        <w:rPr>
          <w:rFonts w:ascii="Times New Roman" w:hAnsi="Times New Roman"/>
        </w:rPr>
        <w:t xml:space="preserve"> is the dehydration of the cyclic glucose molecule to lose one molecule of water to generate a double-bonded pyran ring, followed by the reverse Diels-Alder reaction to generate 2,3-dihydroxyacrolein, which reacts with other small propylene molecules to form 5-methyl-1,5-hexadien-3-ol, as shown in Figure 7</w:t>
      </w:r>
      <w:r w:rsidRPr="003968B9">
        <w:rPr>
          <w:rFonts w:ascii="Times New Roman" w:eastAsiaTheme="minorEastAsia" w:hAnsi="Times New Roman"/>
        </w:rPr>
        <w:t>b</w:t>
      </w:r>
      <w:r w:rsidRPr="003968B9">
        <w:rPr>
          <w:rFonts w:ascii="Times New Roman" w:hAnsi="Times New Roman"/>
        </w:rPr>
        <w:t>.</w:t>
      </w:r>
    </w:p>
    <w:p w14:paraId="01E9A397"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(4) Cellulose only produces 1-acetoxy-2-butanone at 260 °C, which may be a small side reaction of levoglucose conversion, and the fourth pathway is the dehydration of pyranose to be oxidized to produce α-pyranone, which then opens the ring to produce 1-acetoxy-2-butanone, as shown in Figure 7</w:t>
      </w:r>
      <w:r w:rsidRPr="003968B9">
        <w:rPr>
          <w:rFonts w:ascii="Times New Roman" w:eastAsiaTheme="minorEastAsia" w:hAnsi="Times New Roman"/>
        </w:rPr>
        <w:t>b</w:t>
      </w:r>
      <w:r w:rsidRPr="003968B9">
        <w:rPr>
          <w:rFonts w:ascii="Times New Roman" w:hAnsi="Times New Roman"/>
        </w:rPr>
        <w:t>.</w:t>
      </w:r>
    </w:p>
    <w:p w14:paraId="7B3578AC" w14:textId="77777777" w:rsidR="006B5F01" w:rsidRPr="003968B9" w:rsidRDefault="006B5F01" w:rsidP="006B5F01">
      <w:pPr>
        <w:spacing w:line="480" w:lineRule="auto"/>
        <w:ind w:firstLine="420"/>
        <w:jc w:val="both"/>
        <w:rPr>
          <w:rFonts w:ascii="Times New Roman" w:hAnsi="Times New Roman"/>
        </w:rPr>
      </w:pPr>
      <w:r w:rsidRPr="003968B9">
        <w:rPr>
          <w:rFonts w:ascii="Times New Roman" w:hAnsi="Times New Roman"/>
        </w:rPr>
        <w:t>(5) Shafizadeh</w:t>
      </w:r>
      <w:r w:rsidRPr="003968B9">
        <w:rPr>
          <w:rFonts w:ascii="Times New Roman" w:hAnsi="Times New Roman"/>
          <w:color w:val="FF0000"/>
        </w:rPr>
        <w:t xml:space="preserve"> </w:t>
      </w:r>
      <w:r w:rsidRPr="003968B9">
        <w:rPr>
          <w:rFonts w:ascii="Times New Roman" w:hAnsi="Times New Roman"/>
          <w:vertAlign w:val="superscript"/>
        </w:rPr>
        <w:t xml:space="preserve">[40] </w:t>
      </w:r>
      <w:r w:rsidRPr="003968B9">
        <w:rPr>
          <w:rFonts w:ascii="Times New Roman" w:hAnsi="Times New Roman"/>
        </w:rPr>
        <w:t xml:space="preserve">suggested that an acidic catalyst promotes the dehydration reaction of cellulose and facilitates the generation of levoglucose and its derivatives, especially furan </w:t>
      </w:r>
      <w:r w:rsidRPr="003968B9">
        <w:rPr>
          <w:rFonts w:ascii="Times New Roman" w:hAnsi="Times New Roman"/>
        </w:rPr>
        <w:lastRenderedPageBreak/>
        <w:t>derivatives. In the present study, a larger number of furan-like compounds were generated at all temperatures, which is consistent with Shafizadeh's theory, thus introducing the fifth pathway for the main reaction of cyclic glucose (Figure 7c), i.e., cyclic hexameric glucose undergoes isomerization to form pentameric furanofructose, which is dehydrated again to form 2-furoyl alcohol and 5-methylfurfural. 2-furfuryl alcohol has two conversion pathways, either further oxidation to furanic acid or catalytic hydrogenation to tetrahydrofuran methanol, followed by further acid alcohol esterification of furanic acid and tetrahydrofuran methanol to form tetrahydrofuran methanol ester. 5-methylfurfural is demethylated to furfural and both are isomerized to form 3-methylcyclopentanedione, 3-methylfuran, butanedioic anhydride, 4-methyl-2(H)furanone, 3,5-dimethyl-2(5H)furanone, 3-methyl-2-pentyl-2-cyclopenten-1-one. 3-Methyl-2-pentyl-2-cyclopenten-1-one continues to cleave and break bonds to form 2-methyl-2-cyclopentenone cyclopentenone, 3-methyl-2-cyclopentenone, 2-methyl-2-cyclopentenone or 3-methyl-2-cyclopentenone after removal of methyl group was substituted by acetaldehyde group to form 2-oxy-3-cyclopentene-1-acetaldehyde. While 5-methyl furfural opens the ring cleavage into two carbon and four carbon fragments to form 1,4-butanediol and then oxidized to form 4-hydroxybutyric acid, 4hydroxybutyric acid after decarbonylation loses a carbon then oxidized to form propionic acid, the remaining two carbons form vinyl alcohol, propionic acid and acetyl alcohol esterification dehydration to generate vinyl propionate, vinyl propionate is oxidized to form a ring to generate 3-methylglutaric anhydride.</w:t>
      </w:r>
    </w:p>
    <w:p w14:paraId="43D443EF" w14:textId="77777777" w:rsidR="006B6948" w:rsidRPr="003968B9" w:rsidRDefault="006B6948" w:rsidP="004E47A8">
      <w:pPr>
        <w:ind w:firstLine="480"/>
        <w:jc w:val="both"/>
        <w:rPr>
          <w:rFonts w:ascii="Times New Roman" w:hAnsi="Times New Roman"/>
          <w:sz w:val="24"/>
          <w:szCs w:val="24"/>
        </w:rPr>
      </w:pPr>
    </w:p>
    <w:p w14:paraId="1DDB9A4C" w14:textId="77777777" w:rsidR="006B6948" w:rsidRPr="003968B9" w:rsidRDefault="006B6948" w:rsidP="004E47A8">
      <w:pPr>
        <w:ind w:firstLine="480"/>
        <w:jc w:val="both"/>
        <w:rPr>
          <w:rFonts w:ascii="Times New Roman" w:hAnsi="Times New Roman"/>
          <w:sz w:val="24"/>
          <w:szCs w:val="24"/>
        </w:rPr>
      </w:pPr>
    </w:p>
    <w:p w14:paraId="47E8F249" w14:textId="77777777" w:rsidR="006B6948" w:rsidRPr="003968B9" w:rsidRDefault="006B6948" w:rsidP="003968B9">
      <w:pPr>
        <w:ind w:firstLineChars="0" w:firstLine="0"/>
        <w:jc w:val="both"/>
        <w:rPr>
          <w:rFonts w:ascii="Times New Roman" w:hAnsi="Times New Roman" w:hint="eastAsia"/>
          <w:sz w:val="24"/>
          <w:szCs w:val="24"/>
        </w:rPr>
      </w:pPr>
    </w:p>
    <w:p w14:paraId="7072602D" w14:textId="76E84696" w:rsidR="004E47A8" w:rsidRPr="003968B9" w:rsidRDefault="005E0B81" w:rsidP="004E47A8">
      <w:pPr>
        <w:ind w:firstLine="480"/>
        <w:jc w:val="both"/>
        <w:rPr>
          <w:rFonts w:ascii="Times New Roman" w:hAnsi="Times New Roman"/>
          <w:sz w:val="24"/>
          <w:szCs w:val="24"/>
        </w:rPr>
      </w:pPr>
      <w:r w:rsidRPr="003968B9">
        <w:rPr>
          <w:rFonts w:ascii="Times New Roman" w:hAnsi="Times New Roman"/>
          <w:sz w:val="24"/>
          <w:szCs w:val="24"/>
        </w:rPr>
        <w:t>E-supplementary data of this work can be found in online version of the paper</w:t>
      </w:r>
      <w:bookmarkEnd w:id="0"/>
    </w:p>
    <w:sectPr w:rsidR="004E47A8" w:rsidRPr="003968B9" w:rsidSect="004E47A8">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5926" w14:textId="77777777" w:rsidR="00225553" w:rsidRDefault="00225553" w:rsidP="004E47A8">
      <w:pPr>
        <w:spacing w:line="240" w:lineRule="auto"/>
        <w:ind w:firstLine="420"/>
      </w:pPr>
      <w:r>
        <w:separator/>
      </w:r>
    </w:p>
  </w:endnote>
  <w:endnote w:type="continuationSeparator" w:id="0">
    <w:p w14:paraId="3482EC7B" w14:textId="77777777" w:rsidR="00225553" w:rsidRDefault="00225553" w:rsidP="004E47A8">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0E8BC" w14:textId="77777777" w:rsidR="00B82992" w:rsidRDefault="00B8299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EE08" w14:textId="29FFB84B" w:rsidR="00B82992" w:rsidRPr="002C081F" w:rsidRDefault="00B82992" w:rsidP="002C081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29F21" w14:textId="77777777" w:rsidR="00B82992" w:rsidRDefault="00B829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079CE" w14:textId="77777777" w:rsidR="00225553" w:rsidRDefault="00225553" w:rsidP="004E47A8">
      <w:pPr>
        <w:spacing w:line="240" w:lineRule="auto"/>
        <w:ind w:firstLine="420"/>
      </w:pPr>
      <w:r>
        <w:separator/>
      </w:r>
    </w:p>
  </w:footnote>
  <w:footnote w:type="continuationSeparator" w:id="0">
    <w:p w14:paraId="6EAAF6DF" w14:textId="77777777" w:rsidR="00225553" w:rsidRDefault="00225553" w:rsidP="004E47A8">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55C8" w14:textId="77777777" w:rsidR="00B82992" w:rsidRDefault="00B8299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4BFB4" w14:textId="77777777" w:rsidR="00B82992" w:rsidRDefault="00B82992" w:rsidP="002C081F">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8A07" w14:textId="77777777" w:rsidR="00B82992" w:rsidRDefault="00B8299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58"/>
    <w:rsid w:val="001212E6"/>
    <w:rsid w:val="001F3C00"/>
    <w:rsid w:val="00225553"/>
    <w:rsid w:val="002256D5"/>
    <w:rsid w:val="00255F1A"/>
    <w:rsid w:val="002C081F"/>
    <w:rsid w:val="003968B9"/>
    <w:rsid w:val="004E47A8"/>
    <w:rsid w:val="00580EDA"/>
    <w:rsid w:val="00587F58"/>
    <w:rsid w:val="005E0B81"/>
    <w:rsid w:val="005E1034"/>
    <w:rsid w:val="006B5F01"/>
    <w:rsid w:val="006B6948"/>
    <w:rsid w:val="00731D35"/>
    <w:rsid w:val="0087708C"/>
    <w:rsid w:val="00905CA4"/>
    <w:rsid w:val="00923AA7"/>
    <w:rsid w:val="00A52482"/>
    <w:rsid w:val="00AD19A4"/>
    <w:rsid w:val="00B82992"/>
    <w:rsid w:val="00BF67E6"/>
    <w:rsid w:val="00DA2679"/>
    <w:rsid w:val="00EB6C21"/>
    <w:rsid w:val="00F95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0A189"/>
  <w15:docId w15:val="{C75F2528-FC3D-47E3-8D5E-C3FA46F4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7A8"/>
    <w:pPr>
      <w:spacing w:line="360" w:lineRule="auto"/>
      <w:ind w:firstLineChars="200" w:firstLine="200"/>
    </w:pPr>
    <w:rPr>
      <w:rFonts w:ascii="Calibri" w:eastAsia="宋体" w:hAnsi="Calibri" w:cs="Times New Roman"/>
    </w:rPr>
  </w:style>
  <w:style w:type="paragraph" w:styleId="1">
    <w:name w:val="heading 1"/>
    <w:basedOn w:val="a"/>
    <w:next w:val="a"/>
    <w:link w:val="10"/>
    <w:uiPriority w:val="9"/>
    <w:qFormat/>
    <w:rsid w:val="003968B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F3C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7A8"/>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E47A8"/>
    <w:rPr>
      <w:sz w:val="18"/>
      <w:szCs w:val="18"/>
    </w:rPr>
  </w:style>
  <w:style w:type="paragraph" w:styleId="a5">
    <w:name w:val="footer"/>
    <w:basedOn w:val="a"/>
    <w:link w:val="a6"/>
    <w:uiPriority w:val="99"/>
    <w:unhideWhenUsed/>
    <w:rsid w:val="004E47A8"/>
    <w:pPr>
      <w:widowControl w:val="0"/>
      <w:tabs>
        <w:tab w:val="center" w:pos="4153"/>
        <w:tab w:val="right" w:pos="8306"/>
      </w:tabs>
      <w:snapToGrid w:val="0"/>
      <w:spacing w:line="240" w:lineRule="auto"/>
      <w:ind w:firstLineChars="0" w:firstLine="0"/>
    </w:pPr>
    <w:rPr>
      <w:rFonts w:asciiTheme="minorHAnsi" w:eastAsiaTheme="minorEastAsia" w:hAnsiTheme="minorHAnsi" w:cstheme="minorBidi"/>
      <w:sz w:val="18"/>
      <w:szCs w:val="18"/>
    </w:rPr>
  </w:style>
  <w:style w:type="character" w:customStyle="1" w:styleId="a6">
    <w:name w:val="页脚 字符"/>
    <w:basedOn w:val="a0"/>
    <w:link w:val="a5"/>
    <w:uiPriority w:val="99"/>
    <w:rsid w:val="004E47A8"/>
    <w:rPr>
      <w:sz w:val="18"/>
      <w:szCs w:val="18"/>
    </w:rPr>
  </w:style>
  <w:style w:type="paragraph" w:styleId="a7">
    <w:name w:val="Balloon Text"/>
    <w:basedOn w:val="a"/>
    <w:link w:val="a8"/>
    <w:uiPriority w:val="99"/>
    <w:semiHidden/>
    <w:unhideWhenUsed/>
    <w:rsid w:val="004E47A8"/>
    <w:pPr>
      <w:spacing w:line="240" w:lineRule="auto"/>
    </w:pPr>
    <w:rPr>
      <w:sz w:val="18"/>
      <w:szCs w:val="18"/>
    </w:rPr>
  </w:style>
  <w:style w:type="character" w:customStyle="1" w:styleId="a8">
    <w:name w:val="批注框文本 字符"/>
    <w:basedOn w:val="a0"/>
    <w:link w:val="a7"/>
    <w:uiPriority w:val="99"/>
    <w:semiHidden/>
    <w:rsid w:val="004E47A8"/>
    <w:rPr>
      <w:rFonts w:ascii="Calibri" w:eastAsia="宋体" w:hAnsi="Calibri" w:cs="Times New Roman"/>
      <w:sz w:val="18"/>
      <w:szCs w:val="18"/>
    </w:rPr>
  </w:style>
  <w:style w:type="character" w:styleId="a9">
    <w:name w:val="line number"/>
    <w:basedOn w:val="a0"/>
    <w:uiPriority w:val="99"/>
    <w:semiHidden/>
    <w:unhideWhenUsed/>
    <w:rsid w:val="004E47A8"/>
  </w:style>
  <w:style w:type="paragraph" w:customStyle="1" w:styleId="VAFigureCaption">
    <w:name w:val="VA_Figure_Caption"/>
    <w:basedOn w:val="a"/>
    <w:next w:val="a"/>
    <w:qFormat/>
    <w:rsid w:val="006B6948"/>
    <w:pPr>
      <w:widowControl w:val="0"/>
      <w:spacing w:after="160" w:line="480" w:lineRule="auto"/>
      <w:ind w:firstLineChars="0" w:firstLine="0"/>
      <w:jc w:val="both"/>
    </w:pPr>
    <w:rPr>
      <w:rFonts w:cs="黑体"/>
      <w:szCs w:val="24"/>
    </w:rPr>
  </w:style>
  <w:style w:type="paragraph" w:customStyle="1" w:styleId="Title1">
    <w:name w:val="Title1"/>
    <w:basedOn w:val="a"/>
    <w:qFormat/>
    <w:rsid w:val="001F3C00"/>
    <w:pPr>
      <w:spacing w:line="240" w:lineRule="auto"/>
      <w:ind w:firstLineChars="0" w:firstLine="0"/>
    </w:pPr>
    <w:rPr>
      <w:rFonts w:ascii="Times New Roman" w:eastAsia="MS Mincho" w:hAnsi="Times New Roman"/>
      <w:b/>
      <w:kern w:val="0"/>
      <w:sz w:val="24"/>
      <w:szCs w:val="24"/>
      <w:lang w:eastAsia="ja-JP"/>
    </w:rPr>
  </w:style>
  <w:style w:type="character" w:customStyle="1" w:styleId="20">
    <w:name w:val="标题 2 字符"/>
    <w:basedOn w:val="a0"/>
    <w:link w:val="2"/>
    <w:uiPriority w:val="9"/>
    <w:rsid w:val="001F3C00"/>
    <w:rPr>
      <w:rFonts w:asciiTheme="majorHAnsi" w:eastAsiaTheme="majorEastAsia" w:hAnsiTheme="majorHAnsi" w:cstheme="majorBidi"/>
      <w:b/>
      <w:bCs/>
      <w:sz w:val="32"/>
      <w:szCs w:val="32"/>
    </w:rPr>
  </w:style>
  <w:style w:type="paragraph" w:styleId="aa">
    <w:name w:val="Title"/>
    <w:basedOn w:val="a"/>
    <w:next w:val="a"/>
    <w:link w:val="ab"/>
    <w:uiPriority w:val="10"/>
    <w:qFormat/>
    <w:rsid w:val="003968B9"/>
    <w:pPr>
      <w:spacing w:before="240" w:after="60"/>
      <w:jc w:val="center"/>
      <w:outlineLvl w:val="0"/>
    </w:pPr>
    <w:rPr>
      <w:rFonts w:asciiTheme="majorHAnsi" w:eastAsiaTheme="majorEastAsia" w:hAnsiTheme="majorHAnsi" w:cstheme="majorBidi"/>
      <w:b/>
      <w:bCs/>
      <w:sz w:val="32"/>
      <w:szCs w:val="32"/>
    </w:rPr>
  </w:style>
  <w:style w:type="character" w:customStyle="1" w:styleId="ab">
    <w:name w:val="标题 字符"/>
    <w:basedOn w:val="a0"/>
    <w:link w:val="aa"/>
    <w:uiPriority w:val="10"/>
    <w:rsid w:val="003968B9"/>
    <w:rPr>
      <w:rFonts w:asciiTheme="majorHAnsi" w:eastAsiaTheme="majorEastAsia" w:hAnsiTheme="majorHAnsi" w:cstheme="majorBidi"/>
      <w:b/>
      <w:bCs/>
      <w:sz w:val="32"/>
      <w:szCs w:val="32"/>
    </w:rPr>
  </w:style>
  <w:style w:type="paragraph" w:styleId="ac">
    <w:name w:val="Subtitle"/>
    <w:basedOn w:val="a"/>
    <w:next w:val="a"/>
    <w:link w:val="ad"/>
    <w:uiPriority w:val="11"/>
    <w:qFormat/>
    <w:rsid w:val="003968B9"/>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d">
    <w:name w:val="副标题 字符"/>
    <w:basedOn w:val="a0"/>
    <w:link w:val="ac"/>
    <w:uiPriority w:val="11"/>
    <w:rsid w:val="003968B9"/>
    <w:rPr>
      <w:b/>
      <w:bCs/>
      <w:kern w:val="28"/>
      <w:sz w:val="32"/>
      <w:szCs w:val="32"/>
    </w:rPr>
  </w:style>
  <w:style w:type="character" w:customStyle="1" w:styleId="10">
    <w:name w:val="标题 1 字符"/>
    <w:basedOn w:val="a0"/>
    <w:link w:val="1"/>
    <w:uiPriority w:val="9"/>
    <w:rsid w:val="003968B9"/>
    <w:rPr>
      <w:rFonts w:ascii="Calibri" w:eastAsia="宋体" w:hAnsi="Calibri" w:cs="Times New Roman"/>
      <w:b/>
      <w:bCs/>
      <w:kern w:val="44"/>
      <w:sz w:val="44"/>
      <w:szCs w:val="44"/>
    </w:rPr>
  </w:style>
  <w:style w:type="paragraph" w:styleId="TOC">
    <w:name w:val="TOC Heading"/>
    <w:basedOn w:val="1"/>
    <w:next w:val="a"/>
    <w:uiPriority w:val="39"/>
    <w:unhideWhenUsed/>
    <w:qFormat/>
    <w:rsid w:val="003968B9"/>
    <w:pPr>
      <w:spacing w:before="240" w:after="0" w:line="259" w:lineRule="auto"/>
      <w:ind w:firstLineChars="0" w:firstLine="0"/>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a"/>
    <w:next w:val="a"/>
    <w:autoRedefine/>
    <w:uiPriority w:val="39"/>
    <w:unhideWhenUsed/>
    <w:rsid w:val="003968B9"/>
    <w:pPr>
      <w:ind w:leftChars="200" w:left="420"/>
    </w:pPr>
  </w:style>
  <w:style w:type="paragraph" w:styleId="TOC1">
    <w:name w:val="toc 1"/>
    <w:basedOn w:val="a"/>
    <w:next w:val="a"/>
    <w:autoRedefine/>
    <w:uiPriority w:val="39"/>
    <w:unhideWhenUsed/>
    <w:rsid w:val="003968B9"/>
  </w:style>
  <w:style w:type="character" w:styleId="ae">
    <w:name w:val="Hyperlink"/>
    <w:basedOn w:val="a0"/>
    <w:uiPriority w:val="99"/>
    <w:unhideWhenUsed/>
    <w:rsid w:val="003968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CBBC-F712-46F8-9314-80333D5A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1365</Words>
  <Characters>7786</Characters>
  <Application>Microsoft Office Word</Application>
  <DocSecurity>0</DocSecurity>
  <Lines>64</Lines>
  <Paragraphs>18</Paragraphs>
  <ScaleCrop>false</ScaleCrop>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李 志</cp:lastModifiedBy>
  <cp:revision>7</cp:revision>
  <dcterms:created xsi:type="dcterms:W3CDTF">2022-08-18T11:57:00Z</dcterms:created>
  <dcterms:modified xsi:type="dcterms:W3CDTF">2023-05-12T03:07:00Z</dcterms:modified>
</cp:coreProperties>
</file>