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96C" w:rsidRPr="00204E9F" w:rsidRDefault="001117AA" w:rsidP="00204E9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7A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204E9F" w:rsidRPr="00204E9F">
        <w:rPr>
          <w:rFonts w:ascii="Times New Roman" w:hAnsi="Times New Roman" w:cs="Times New Roman"/>
          <w:b/>
          <w:sz w:val="24"/>
          <w:szCs w:val="24"/>
        </w:rPr>
        <w:t>Table 1</w:t>
      </w:r>
    </w:p>
    <w:p w:rsidR="00A31789" w:rsidRDefault="00A31789" w:rsidP="001117AA"/>
    <w:p w:rsidR="001117AA" w:rsidRPr="008F2282" w:rsidRDefault="001117AA" w:rsidP="001117AA">
      <w:pPr>
        <w:rPr>
          <w:rFonts w:ascii="Times New Roman" w:hAnsi="Times New Roman" w:cs="Times New Roman"/>
          <w:sz w:val="16"/>
          <w:szCs w:val="16"/>
        </w:rPr>
      </w:pPr>
      <w:r w:rsidRPr="008F2282">
        <w:rPr>
          <w:rFonts w:ascii="Times New Roman" w:hAnsi="Times New Roman" w:cs="Times New Roman"/>
          <w:sz w:val="16"/>
          <w:szCs w:val="16"/>
        </w:rPr>
        <w:t xml:space="preserve">Supplemental Table 1. Demographic and disease characteristics of CD patients who underwent stoma reversal surgery with small bowel anastomosis (126) </w:t>
      </w:r>
      <w:r w:rsidRPr="008F2282">
        <w:rPr>
          <w:rFonts w:ascii="Times New Roman" w:hAnsi="Times New Roman" w:cs="Times New Roman" w:hint="eastAsia"/>
          <w:sz w:val="16"/>
          <w:szCs w:val="16"/>
        </w:rPr>
        <w:t>o</w:t>
      </w:r>
      <w:r w:rsidRPr="008F2282">
        <w:rPr>
          <w:rFonts w:ascii="Times New Roman" w:hAnsi="Times New Roman" w:cs="Times New Roman"/>
          <w:sz w:val="16"/>
          <w:szCs w:val="16"/>
        </w:rPr>
        <w:t>r ileocolic anastomosis (117)</w:t>
      </w:r>
    </w:p>
    <w:tbl>
      <w:tblPr>
        <w:tblStyle w:val="a3"/>
        <w:tblW w:w="10220" w:type="dxa"/>
        <w:tblInd w:w="-11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567"/>
        <w:gridCol w:w="477"/>
        <w:gridCol w:w="1507"/>
        <w:gridCol w:w="1418"/>
        <w:gridCol w:w="864"/>
      </w:tblGrid>
      <w:tr w:rsidR="001117AA" w:rsidRPr="008F2282" w:rsidTr="002C0CA7">
        <w:tc>
          <w:tcPr>
            <w:tcW w:w="2552" w:type="dxa"/>
            <w:vMerge w:val="restart"/>
          </w:tcPr>
          <w:p w:rsidR="001117AA" w:rsidRPr="008F2282" w:rsidRDefault="001117AA" w:rsidP="002C0CA7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small bowel anastomosis</w:t>
            </w:r>
          </w:p>
        </w:tc>
        <w:tc>
          <w:tcPr>
            <w:tcW w:w="477" w:type="dxa"/>
            <w:tcBorders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9" w:type="dxa"/>
            <w:gridSpan w:val="3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ileocolic anastomosis</w:t>
            </w:r>
          </w:p>
        </w:tc>
      </w:tr>
      <w:tr w:rsidR="001117AA" w:rsidRPr="008F2282" w:rsidTr="002C0CA7"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ESC 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SSR 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ESC 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SSR 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</w:tr>
      <w:tr w:rsidR="001117AA" w:rsidRPr="008F2282" w:rsidTr="002C0CA7">
        <w:tc>
          <w:tcPr>
            <w:tcW w:w="2552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Age at operation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median (IQR)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48.0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44.5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43.0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39.3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Duration disease (years)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.0-10.0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Gender,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ind w:firstLineChars="50" w:firstLine="80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48(62.3)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35(71.4)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77(74.8)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11(78.6)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29(37.7)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4(28.6)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26(25.2)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3(21.4)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Age at diagnosis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n (%)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A1 (&lt;17)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2(2.6)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2(4.1)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12(11.6)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3(28.6)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A2 (17-40)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55(71.4)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36(73.5)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73(70.9)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10(71.4)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A3 (&gt;40)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20(26.0)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11(22.4)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18(17.5)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1(7.0)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Disease behavior,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1(1.3)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5(4.9)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2(14.3)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15(19.5)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18(36.7)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23(22.3)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4(28.6)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61(79.2)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31(63.3)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75(72.8)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8(57.1)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Upper digestive tract disease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1(7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.48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Perianal disease history,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2.1)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4.3)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Smoking,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1(7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Appendectomy history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2.1)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9(1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8.4)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3.6)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1(7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BMI,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20.3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8.9(17.4-21.1)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Preoperative medication history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Anti-TNF therapy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4.7)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7(5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0.0)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Immunosuppressor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7.0)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6(4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2.9)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.61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Perioperative blood test parameters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Alb, median (IQR)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43.9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44.9)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1.7(38.1-44.9)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49.6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CRP, median (IQR)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.0(0.5-3.5)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ESR,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(5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10.0(5.5-19.5)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.68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FC, median (IQR)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142.5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111.5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4.8(14.8-100.9)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(6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Short bowel syndrome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9(1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3(6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1(7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.1)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</w:tr>
      <w:tr w:rsidR="001117AA" w:rsidRPr="008F2282" w:rsidTr="002C0CA7"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Postoperative follow-up time(months)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 xml:space="preserve"> median (IQR)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(1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77" w:type="dxa"/>
            <w:tcBorders>
              <w:top w:val="nil"/>
              <w:bottom w:val="single" w:sz="4" w:space="0" w:color="auto"/>
            </w:tcBorders>
          </w:tcPr>
          <w:p w:rsidR="001117AA" w:rsidRPr="008F2282" w:rsidRDefault="001117AA" w:rsidP="002C0C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4.0(26.0-58.0)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27.0(15.8-52.5)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vAlign w:val="center"/>
          </w:tcPr>
          <w:p w:rsidR="001117AA" w:rsidRPr="008F2282" w:rsidRDefault="001117AA" w:rsidP="002C0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2282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</w:tr>
    </w:tbl>
    <w:p w:rsidR="001117AA" w:rsidRPr="00696E74" w:rsidRDefault="001117AA" w:rsidP="001117AA">
      <w:pPr>
        <w:rPr>
          <w:rFonts w:ascii="Times New Roman" w:hAnsi="Times New Roman" w:cs="Times New Roman"/>
          <w:sz w:val="16"/>
          <w:szCs w:val="16"/>
        </w:rPr>
      </w:pPr>
      <w:r w:rsidRPr="008F2282">
        <w:rPr>
          <w:rFonts w:ascii="Times New Roman" w:hAnsi="Times New Roman" w:cs="Times New Roman"/>
          <w:sz w:val="16"/>
          <w:szCs w:val="16"/>
        </w:rPr>
        <w:t xml:space="preserve">Abbreviations: ESC, end stoma closer; SSR, split stoma reversal; CD, Crohn’s disease; IQR, interquartile range; B1, </w:t>
      </w:r>
      <w:proofErr w:type="spellStart"/>
      <w:r w:rsidRPr="008F2282">
        <w:rPr>
          <w:rFonts w:ascii="Times New Roman" w:hAnsi="Times New Roman" w:cs="Times New Roman"/>
          <w:sz w:val="16"/>
          <w:szCs w:val="16"/>
        </w:rPr>
        <w:t>nonstricturing</w:t>
      </w:r>
      <w:proofErr w:type="spellEnd"/>
      <w:r w:rsidRPr="008F2282">
        <w:rPr>
          <w:rFonts w:ascii="Times New Roman" w:hAnsi="Times New Roman" w:cs="Times New Roman"/>
          <w:sz w:val="16"/>
          <w:szCs w:val="16"/>
        </w:rPr>
        <w:t xml:space="preserve"> nonpenetrating; B2, </w:t>
      </w:r>
      <w:proofErr w:type="spellStart"/>
      <w:r w:rsidRPr="008F2282">
        <w:rPr>
          <w:rFonts w:ascii="Times New Roman" w:hAnsi="Times New Roman" w:cs="Times New Roman"/>
          <w:sz w:val="16"/>
          <w:szCs w:val="16"/>
        </w:rPr>
        <w:t>stricturing</w:t>
      </w:r>
      <w:proofErr w:type="spellEnd"/>
      <w:r w:rsidRPr="008F2282">
        <w:rPr>
          <w:rFonts w:ascii="Times New Roman" w:hAnsi="Times New Roman" w:cs="Times New Roman"/>
          <w:sz w:val="16"/>
          <w:szCs w:val="16"/>
        </w:rPr>
        <w:t>; B3, penetrating; BMI, body mass index; Anti-TNF, anti-tumor necrosis factor; Alb, albumin; CRP, C-reactive protein; ESR, erythrocyte sedimentation rate; FC, fecal calprotectin.</w:t>
      </w:r>
    </w:p>
    <w:p w:rsidR="001117AA" w:rsidRPr="001117AA" w:rsidRDefault="001117AA" w:rsidP="001117AA"/>
    <w:sectPr w:rsidR="001117AA" w:rsidRPr="00111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2D53" w:rsidRDefault="00DD2D53" w:rsidP="00A31789">
      <w:r>
        <w:separator/>
      </w:r>
    </w:p>
  </w:endnote>
  <w:endnote w:type="continuationSeparator" w:id="0">
    <w:p w:rsidR="00DD2D53" w:rsidRDefault="00DD2D53" w:rsidP="00A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2D53" w:rsidRDefault="00DD2D53" w:rsidP="00A31789">
      <w:r>
        <w:separator/>
      </w:r>
    </w:p>
  </w:footnote>
  <w:footnote w:type="continuationSeparator" w:id="0">
    <w:p w:rsidR="00DD2D53" w:rsidRDefault="00DD2D53" w:rsidP="00A31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AA"/>
    <w:rsid w:val="001117AA"/>
    <w:rsid w:val="00204E9F"/>
    <w:rsid w:val="00417523"/>
    <w:rsid w:val="0070572C"/>
    <w:rsid w:val="007C2434"/>
    <w:rsid w:val="00A31789"/>
    <w:rsid w:val="00C72679"/>
    <w:rsid w:val="00DD2D53"/>
    <w:rsid w:val="00E1196C"/>
    <w:rsid w:val="00F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90932"/>
  <w15:chartTrackingRefBased/>
  <w15:docId w15:val="{DF4467AB-CF07-4A9E-AE50-6D268D71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17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17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1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1789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A3178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实现</dc:creator>
  <cp:keywords/>
  <dc:description/>
  <cp:lastModifiedBy>王 实现</cp:lastModifiedBy>
  <cp:revision>4</cp:revision>
  <dcterms:created xsi:type="dcterms:W3CDTF">2023-05-27T05:50:00Z</dcterms:created>
  <dcterms:modified xsi:type="dcterms:W3CDTF">2023-06-11T15:17:00Z</dcterms:modified>
</cp:coreProperties>
</file>