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3875644" cy="3900488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5644" cy="3900488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Figure 1.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QQ Plot based on the meta-analysis of normal tension glaucoma (NTG) with an estimated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genetic inflation of 1.08.</w:t>
      </w:r>
    </w:p>
    <w:p w:rsidR="00000000" w:rsidDel="00000000" w:rsidP="00000000" w:rsidRDefault="00000000" w:rsidRPr="00000000" w14:paraId="00000003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</w:rPr>
        <w:drawing>
          <wp:inline distB="114300" distT="114300" distL="114300" distR="114300">
            <wp:extent cx="5648325" cy="5353050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648325" cy="53530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360" w:lineRule="auto"/>
        <w:jc w:val="both"/>
        <w:rPr>
          <w:rFonts w:ascii="Times New Roman" w:cs="Times New Roman" w:eastAsia="Times New Roman" w:hAnsi="Times New Roman"/>
          <w:sz w:val="24"/>
          <w:szCs w:val="24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highlight w:val="white"/>
          <w:rtl w:val="0"/>
        </w:rPr>
        <w:t xml:space="preserve">Figure 2. 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highlight w:val="white"/>
          <w:rtl w:val="0"/>
        </w:rPr>
        <w:t xml:space="preserve">Correlation of the allele effect estimates between  POAG risk loci and  FinnGen NTG.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