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Figure S1: Correlation analysis between model genes.</w:t>
      </w:r>
    </w:p>
    <w:p>
      <w:pPr>
        <w:spacing w:line="480" w:lineRule="auto"/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Figure S2:Model gene</w:t>
      </w:r>
      <w:r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s</w:t>
      </w: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 xml:space="preserve"> expression validation.</w:t>
      </w:r>
    </w:p>
    <w:p>
      <w:pPr>
        <w:spacing w:line="480" w:lineRule="auto"/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Figure S3:Model gene</w:t>
      </w:r>
      <w:r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s</w:t>
      </w: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 xml:space="preserve"> survival validation</w:t>
      </w:r>
    </w:p>
    <w:p>
      <w:pPr>
        <w:spacing w:line="480" w:lineRule="auto"/>
        <w:rPr>
          <w:rFonts w:hint="eastAsia"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</w:pPr>
      <w:r>
        <w:rPr>
          <w:rFonts w:ascii="Times New Roman Regular" w:hAnsi="Times New Roman Regular" w:cs="Times New Roman Regular" w:eastAsiaTheme="minorHAnsi"/>
          <w:color w:val="101214"/>
          <w:sz w:val="24"/>
          <w:shd w:val="clear" w:color="auto" w:fill="FFFFFF"/>
          <w:lang w:eastAsia="zh-Hans"/>
        </w:rPr>
        <w:t>Figure S4:Immune checkpoint analysis of the TCGA database and CGGA database.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E5FE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2023-07-11T19:56:57Z</dcterms:created>
  <dc:creator>Data</dc:creator>
  <cp:lastModifiedBy>随风而至</cp:lastModifiedBy>
  <dcterms:modified xsi:type="dcterms:W3CDTF">2023-07-11T19:57:17Z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C6BC347C07FA6DC39D43AD64FF8A04DE_42</vt:lpwstr>
  </property>
</Properties>
</file>