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1D698" w14:textId="77777777" w:rsidR="00FF2A3D" w:rsidRDefault="00FF2A3D" w:rsidP="00FF2A3D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References</w:t>
      </w:r>
    </w:p>
    <w:p w14:paraId="55626D4B" w14:textId="77777777" w:rsidR="00FF2A3D" w:rsidRDefault="00FF2A3D" w:rsidP="00FF2A3D">
      <w:pPr>
        <w:pStyle w:val="EndNoteBibliography0"/>
        <w:spacing w:after="0"/>
        <w:ind w:left="720" w:hanging="720"/>
        <w:rPr>
          <w:sz w:val="20"/>
        </w:rPr>
      </w:pPr>
      <w:r>
        <w:rPr>
          <w:rFonts w:ascii="Times New Roman" w:hAnsi="Times New Roman" w:cs="Times New Roman"/>
          <w:szCs w:val="28"/>
        </w:rPr>
        <w:fldChar w:fldCharType="begin"/>
      </w:r>
      <w:r>
        <w:rPr>
          <w:rFonts w:ascii="Times New Roman" w:hAnsi="Times New Roman" w:cs="Times New Roman"/>
          <w:szCs w:val="28"/>
        </w:rPr>
        <w:instrText xml:space="preserve"> ADDIN EN.REFLIST </w:instrText>
      </w:r>
      <w:r>
        <w:rPr>
          <w:rFonts w:ascii="Times New Roman" w:hAnsi="Times New Roman" w:cs="Times New Roman"/>
          <w:szCs w:val="28"/>
        </w:rPr>
        <w:fldChar w:fldCharType="separate"/>
      </w:r>
      <w:r>
        <w:t>1.</w:t>
      </w:r>
      <w:r>
        <w:tab/>
        <w:t xml:space="preserve">Wood, A.R., et al., </w:t>
      </w:r>
      <w:r>
        <w:rPr>
          <w:i/>
        </w:rPr>
        <w:t>Variants in the FTO and CDKAL1 loci have recessive effects on risk of obesity and type 2 diabetes, respectively.</w:t>
      </w:r>
      <w:r>
        <w:t xml:space="preserve"> Diabetologia, 2016. </w:t>
      </w:r>
      <w:r>
        <w:rPr>
          <w:b/>
        </w:rPr>
        <w:t>59</w:t>
      </w:r>
      <w:r>
        <w:t>(6): p. 1214-21.</w:t>
      </w:r>
    </w:p>
    <w:p w14:paraId="3C07BB8D" w14:textId="77777777" w:rsidR="00FF2A3D" w:rsidRDefault="00FF2A3D" w:rsidP="00FF2A3D">
      <w:pPr>
        <w:pStyle w:val="EndNoteBibliography0"/>
        <w:spacing w:after="0"/>
        <w:ind w:left="720" w:hanging="720"/>
      </w:pPr>
      <w:r>
        <w:t>2.</w:t>
      </w:r>
      <w:r>
        <w:tab/>
        <w:t xml:space="preserve">Shungin, D., et al., </w:t>
      </w:r>
      <w:r>
        <w:rPr>
          <w:i/>
        </w:rPr>
        <w:t>New genetic loci link adipose and insulin biology to body fat distribution.</w:t>
      </w:r>
      <w:r>
        <w:t xml:space="preserve"> Nature, 2015. </w:t>
      </w:r>
      <w:r>
        <w:rPr>
          <w:b/>
        </w:rPr>
        <w:t>518</w:t>
      </w:r>
      <w:r>
        <w:t>(7538): p. 187-196.</w:t>
      </w:r>
    </w:p>
    <w:p w14:paraId="0FB2D9E1" w14:textId="77777777" w:rsidR="00FF2A3D" w:rsidRDefault="00FF2A3D" w:rsidP="00FF2A3D">
      <w:pPr>
        <w:pStyle w:val="EndNoteBibliography0"/>
        <w:spacing w:after="0"/>
        <w:ind w:left="720" w:hanging="720"/>
      </w:pPr>
      <w:r>
        <w:t>3.</w:t>
      </w:r>
      <w:r>
        <w:tab/>
        <w:t xml:space="preserve">Liu, Y., et al., </w:t>
      </w:r>
      <w:r>
        <w:rPr>
          <w:i/>
        </w:rPr>
        <w:t>Genetic architecture of 11 organ traits derived from abdominal MRI using deep learning.</w:t>
      </w:r>
      <w:r>
        <w:t xml:space="preserve"> Elife, 2021. </w:t>
      </w:r>
      <w:r>
        <w:rPr>
          <w:b/>
        </w:rPr>
        <w:t>10</w:t>
      </w:r>
      <w:r>
        <w:t>.</w:t>
      </w:r>
    </w:p>
    <w:p w14:paraId="5B5D556B" w14:textId="77777777" w:rsidR="00FF2A3D" w:rsidRDefault="00FF2A3D" w:rsidP="00FF2A3D">
      <w:pPr>
        <w:pStyle w:val="EndNoteBibliography0"/>
        <w:spacing w:after="0"/>
        <w:ind w:left="720" w:hanging="720"/>
      </w:pPr>
      <w:r>
        <w:t>4.</w:t>
      </w:r>
      <w:r>
        <w:tab/>
        <w:t xml:space="preserve">Astle, W.J., et al., </w:t>
      </w:r>
      <w:r>
        <w:rPr>
          <w:i/>
        </w:rPr>
        <w:t>The Allelic Landscape of Human Blood Cell Trait Variation and Links to Common Complex Disease.</w:t>
      </w:r>
      <w:r>
        <w:t xml:space="preserve"> Cell, 2016. </w:t>
      </w:r>
      <w:r>
        <w:rPr>
          <w:b/>
        </w:rPr>
        <w:t>167</w:t>
      </w:r>
      <w:r>
        <w:t>(5): p. 1415-1429.e19.</w:t>
      </w:r>
    </w:p>
    <w:p w14:paraId="26A2CB0E" w14:textId="77777777" w:rsidR="00FF2A3D" w:rsidRDefault="00FF2A3D" w:rsidP="00FF2A3D">
      <w:pPr>
        <w:pStyle w:val="EndNoteBibliography0"/>
        <w:spacing w:after="0"/>
        <w:ind w:left="720" w:hanging="720"/>
      </w:pPr>
      <w:r>
        <w:t>5.</w:t>
      </w:r>
      <w:r>
        <w:tab/>
        <w:t xml:space="preserve">Richardson, T.G., et al., </w:t>
      </w:r>
      <w:r>
        <w:rPr>
          <w:i/>
        </w:rPr>
        <w:t>Evaluating the relationship between circulating lipoprotein lipids and apolipoproteins with risk of coronary heart disease: A multivariable Mendelian randomisation analysis.</w:t>
      </w:r>
      <w:r>
        <w:t xml:space="preserve"> PLoS Med, 2020. </w:t>
      </w:r>
      <w:r>
        <w:rPr>
          <w:b/>
        </w:rPr>
        <w:t>17</w:t>
      </w:r>
      <w:r>
        <w:t>(3): p. e1003062.</w:t>
      </w:r>
    </w:p>
    <w:p w14:paraId="4E54A21D" w14:textId="77777777" w:rsidR="00FF2A3D" w:rsidRDefault="00FF2A3D" w:rsidP="00FF2A3D">
      <w:pPr>
        <w:pStyle w:val="EndNoteBibliography0"/>
        <w:spacing w:after="0"/>
        <w:ind w:left="720" w:hanging="720"/>
      </w:pPr>
      <w:r>
        <w:t>6.</w:t>
      </w:r>
      <w:r>
        <w:tab/>
        <w:t xml:space="preserve">Willer, C.J., et al., </w:t>
      </w:r>
      <w:r>
        <w:rPr>
          <w:i/>
        </w:rPr>
        <w:t>Discovery and refinement of loci associated with lipid levels.</w:t>
      </w:r>
      <w:r>
        <w:t xml:space="preserve"> Nat Genet, 2013. </w:t>
      </w:r>
      <w:r>
        <w:rPr>
          <w:b/>
        </w:rPr>
        <w:t>45</w:t>
      </w:r>
      <w:r>
        <w:t>(11): p. 1274-1283.</w:t>
      </w:r>
    </w:p>
    <w:p w14:paraId="1FDC1E0F" w14:textId="77777777" w:rsidR="00FF2A3D" w:rsidRDefault="00FF2A3D" w:rsidP="00FF2A3D">
      <w:pPr>
        <w:pStyle w:val="EndNoteBibliography0"/>
        <w:spacing w:after="0"/>
        <w:ind w:left="720" w:hanging="720"/>
      </w:pPr>
      <w:r>
        <w:t>7.</w:t>
      </w:r>
      <w:r>
        <w:tab/>
        <w:t xml:space="preserve">Ruth, K.S., et al., </w:t>
      </w:r>
      <w:r>
        <w:rPr>
          <w:i/>
        </w:rPr>
        <w:t>Using human genetics to understand the disease impacts of testosterone in men and women.</w:t>
      </w:r>
      <w:r>
        <w:t xml:space="preserve"> Nat Med, 2020. </w:t>
      </w:r>
      <w:r>
        <w:rPr>
          <w:b/>
        </w:rPr>
        <w:t>26</w:t>
      </w:r>
      <w:r>
        <w:t>(2): p. 252-258.</w:t>
      </w:r>
    </w:p>
    <w:p w14:paraId="5A79F206" w14:textId="77777777" w:rsidR="00FF2A3D" w:rsidRDefault="00FF2A3D" w:rsidP="00FF2A3D">
      <w:pPr>
        <w:pStyle w:val="EndNoteBibliography0"/>
        <w:spacing w:after="0"/>
        <w:ind w:left="720" w:hanging="720"/>
      </w:pPr>
      <w:r>
        <w:t>8.</w:t>
      </w:r>
      <w:r>
        <w:tab/>
        <w:t xml:space="preserve">Chen, J., et al., </w:t>
      </w:r>
      <w:r>
        <w:rPr>
          <w:i/>
        </w:rPr>
        <w:t>The trans-ancestral genomic architecture of glycemic traits.</w:t>
      </w:r>
      <w:r>
        <w:t xml:space="preserve"> Nat Genet, 2021. </w:t>
      </w:r>
      <w:r>
        <w:rPr>
          <w:b/>
        </w:rPr>
        <w:t>53</w:t>
      </w:r>
      <w:r>
        <w:t>(6): p. 840-860.</w:t>
      </w:r>
    </w:p>
    <w:p w14:paraId="1346C273" w14:textId="77777777" w:rsidR="00FF2A3D" w:rsidRDefault="00FF2A3D" w:rsidP="00FF2A3D">
      <w:pPr>
        <w:pStyle w:val="EndNoteBibliography0"/>
        <w:spacing w:after="0"/>
        <w:ind w:left="720" w:hanging="720"/>
      </w:pPr>
      <w:r>
        <w:t>9.</w:t>
      </w:r>
      <w:r>
        <w:tab/>
        <w:t xml:space="preserve">Manning, A.K., et al., </w:t>
      </w:r>
      <w:r>
        <w:rPr>
          <w:i/>
        </w:rPr>
        <w:t>A genome-wide approach accounting for body mass index identifies genetic variants influencing fasting glycemic traits and insulin resistance.</w:t>
      </w:r>
      <w:r>
        <w:t xml:space="preserve"> Nat Genet, 2012. </w:t>
      </w:r>
      <w:r>
        <w:rPr>
          <w:b/>
        </w:rPr>
        <w:t>44</w:t>
      </w:r>
      <w:r>
        <w:t>(6): p. 659-69.</w:t>
      </w:r>
    </w:p>
    <w:p w14:paraId="1C9E6955" w14:textId="77777777" w:rsidR="00FF2A3D" w:rsidRDefault="00FF2A3D" w:rsidP="00FF2A3D">
      <w:pPr>
        <w:pStyle w:val="EndNoteBibliography0"/>
        <w:spacing w:after="0"/>
        <w:ind w:left="720" w:hanging="720"/>
      </w:pPr>
      <w:r>
        <w:t>10.</w:t>
      </w:r>
      <w:r>
        <w:tab/>
        <w:t xml:space="preserve">Soranzo, N., et al., </w:t>
      </w:r>
      <w:r>
        <w:rPr>
          <w:i/>
        </w:rPr>
        <w:t>Common variants at 10 genomic loci influence hemoglobin A</w:t>
      </w:r>
      <w:r>
        <w:rPr>
          <w:rFonts w:ascii="Times New Roman" w:hAnsi="Times New Roman" w:cs="Times New Roman"/>
          <w:i/>
        </w:rPr>
        <w:t>₁</w:t>
      </w:r>
      <w:r>
        <w:rPr>
          <w:i/>
        </w:rPr>
        <w:t>(C) levels via glycemic and nonglycemic pathways.</w:t>
      </w:r>
      <w:r>
        <w:t xml:space="preserve"> Diabetes, 2010. </w:t>
      </w:r>
      <w:r>
        <w:rPr>
          <w:b/>
        </w:rPr>
        <w:t>59</w:t>
      </w:r>
      <w:r>
        <w:t>(12): p. 3229-39.</w:t>
      </w:r>
    </w:p>
    <w:p w14:paraId="043B9429" w14:textId="77777777" w:rsidR="00FF2A3D" w:rsidRDefault="00FF2A3D" w:rsidP="00FF2A3D">
      <w:pPr>
        <w:pStyle w:val="EndNoteBibliography0"/>
        <w:spacing w:after="0"/>
        <w:ind w:left="720" w:hanging="720"/>
      </w:pPr>
      <w:r>
        <w:t>11.</w:t>
      </w:r>
      <w:r>
        <w:tab/>
        <w:t xml:space="preserve">Goodwin, P.J., et al., </w:t>
      </w:r>
      <w:r>
        <w:rPr>
          <w:i/>
        </w:rPr>
        <w:t>Effect of Metformin vs Placebo on Invasive Disease-Free Survival in Patients With Breast Cancer: The MA.32 Randomized Clinical Trial.</w:t>
      </w:r>
      <w:r>
        <w:t xml:space="preserve"> Jama, 2022. </w:t>
      </w:r>
      <w:r>
        <w:rPr>
          <w:b/>
        </w:rPr>
        <w:t>327</w:t>
      </w:r>
      <w:r>
        <w:t>(20): p. 1963-1973.</w:t>
      </w:r>
    </w:p>
    <w:p w14:paraId="7CAF97CC" w14:textId="77777777" w:rsidR="00FF2A3D" w:rsidRDefault="00FF2A3D" w:rsidP="00FF2A3D">
      <w:pPr>
        <w:pStyle w:val="EndNoteBibliography0"/>
        <w:spacing w:after="0"/>
        <w:ind w:left="720" w:hanging="720"/>
      </w:pPr>
      <w:r>
        <w:t>12.</w:t>
      </w:r>
      <w:r>
        <w:tab/>
        <w:t xml:space="preserve">Barakat, H.E., et al., </w:t>
      </w:r>
      <w:r>
        <w:rPr>
          <w:i/>
        </w:rPr>
        <w:t>The impact of metformin use on the outcomes of locally advanced breast cancer patients receiving neoadjuvant chemotherapy: an open-labelled randomized controlled trial.</w:t>
      </w:r>
      <w:r>
        <w:t xml:space="preserve"> Sci Rep, 2022. </w:t>
      </w:r>
      <w:r>
        <w:rPr>
          <w:b/>
        </w:rPr>
        <w:t>12</w:t>
      </w:r>
      <w:r>
        <w:t>(1): p. 7656.</w:t>
      </w:r>
    </w:p>
    <w:p w14:paraId="775F6212" w14:textId="77777777" w:rsidR="00FF2A3D" w:rsidRDefault="00FF2A3D" w:rsidP="00FF2A3D">
      <w:pPr>
        <w:pStyle w:val="EndNoteBibliography0"/>
        <w:spacing w:after="0"/>
        <w:ind w:left="720" w:hanging="720"/>
      </w:pPr>
      <w:r>
        <w:t>13.</w:t>
      </w:r>
      <w:r>
        <w:tab/>
        <w:t xml:space="preserve">Huang, J., et al., </w:t>
      </w:r>
      <w:r>
        <w:rPr>
          <w:i/>
        </w:rPr>
        <w:t>Neoadjuvant docetaxel, epirubicin, and cyclophosphamide with or without metformin in breast cancer patients with metabolic abnormality: results from the randomized Phase II NeoMET trial.</w:t>
      </w:r>
      <w:r>
        <w:t xml:space="preserve"> Breast Cancer Res Treat, 2023. </w:t>
      </w:r>
      <w:r>
        <w:rPr>
          <w:b/>
        </w:rPr>
        <w:t>197</w:t>
      </w:r>
      <w:r>
        <w:t>(3): p. 525-533.</w:t>
      </w:r>
    </w:p>
    <w:p w14:paraId="21423B36" w14:textId="77777777" w:rsidR="00FF2A3D" w:rsidRDefault="00FF2A3D" w:rsidP="00FF2A3D">
      <w:pPr>
        <w:pStyle w:val="EndNoteBibliography0"/>
        <w:spacing w:after="0"/>
        <w:ind w:left="720" w:hanging="720"/>
      </w:pPr>
      <w:r>
        <w:t>14.</w:t>
      </w:r>
      <w:r>
        <w:tab/>
        <w:t xml:space="preserve">Pimentel, I., et al., </w:t>
      </w:r>
      <w:r>
        <w:rPr>
          <w:i/>
        </w:rPr>
        <w:t>A phase II randomized clinical trial of the effect of metformin versus placebo on progression-free survival in women with metastatic breast cancer receiving standard chemotherapy.</w:t>
      </w:r>
      <w:r>
        <w:t xml:space="preserve"> Breast, 2019. </w:t>
      </w:r>
      <w:r>
        <w:rPr>
          <w:b/>
        </w:rPr>
        <w:t>48</w:t>
      </w:r>
      <w:r>
        <w:t>: p. 17-23.</w:t>
      </w:r>
    </w:p>
    <w:p w14:paraId="04E64509" w14:textId="77777777" w:rsidR="00FF2A3D" w:rsidRDefault="00FF2A3D" w:rsidP="00FF2A3D">
      <w:pPr>
        <w:pStyle w:val="EndNoteBibliography0"/>
        <w:spacing w:after="0"/>
        <w:ind w:left="720" w:hanging="720"/>
      </w:pPr>
      <w:r>
        <w:t>15.</w:t>
      </w:r>
      <w:r>
        <w:tab/>
        <w:t xml:space="preserve">Nanni, O., et al., </w:t>
      </w:r>
      <w:r>
        <w:rPr>
          <w:i/>
        </w:rPr>
        <w:t>Metformin plus chemotherapy versus chemotherapy alone in the first-line treatment of HER2-negative metastatic breast cancer. The MYME randomized, phase 2 clinical trial.</w:t>
      </w:r>
      <w:r>
        <w:t xml:space="preserve"> Breast Cancer Res Treat, 2019. </w:t>
      </w:r>
      <w:r>
        <w:rPr>
          <w:b/>
        </w:rPr>
        <w:t>174</w:t>
      </w:r>
      <w:r>
        <w:t>(2): p. 433-442.</w:t>
      </w:r>
    </w:p>
    <w:p w14:paraId="10F32983" w14:textId="77777777" w:rsidR="00FF2A3D" w:rsidRDefault="00FF2A3D" w:rsidP="00FF2A3D">
      <w:pPr>
        <w:pStyle w:val="EndNoteBibliography0"/>
        <w:spacing w:after="0"/>
        <w:ind w:left="720" w:hanging="720"/>
      </w:pPr>
      <w:r>
        <w:t>16.</w:t>
      </w:r>
      <w:r>
        <w:tab/>
        <w:t xml:space="preserve">Yam, C., et al., </w:t>
      </w:r>
      <w:r>
        <w:rPr>
          <w:i/>
        </w:rPr>
        <w:t>Efficacy and safety of the combination of metformin, everolimus and exemestane in overweight and obese postmenopausal patients with metastatic, hormone receptor-positive, HER2-negative breast cancer: a phase II study.</w:t>
      </w:r>
      <w:r>
        <w:t xml:space="preserve"> Invest New Drugs, 2019. </w:t>
      </w:r>
      <w:r>
        <w:rPr>
          <w:b/>
        </w:rPr>
        <w:t>37</w:t>
      </w:r>
      <w:r>
        <w:t>(2): p. 345-351.</w:t>
      </w:r>
    </w:p>
    <w:p w14:paraId="5B8C45C1" w14:textId="77777777" w:rsidR="00FF2A3D" w:rsidRDefault="00FF2A3D" w:rsidP="00FF2A3D">
      <w:pPr>
        <w:pStyle w:val="EndNoteBibliography0"/>
        <w:spacing w:after="0"/>
        <w:ind w:left="720" w:hanging="720"/>
      </w:pPr>
      <w:r>
        <w:t>17.</w:t>
      </w:r>
      <w:r>
        <w:tab/>
        <w:t xml:space="preserve">Essa, N.M., et al., </w:t>
      </w:r>
      <w:r>
        <w:rPr>
          <w:i/>
        </w:rPr>
        <w:t>Efficacy of Metformin as Adjuvant Therapy in Metastatic Breast Cancer Treatment.</w:t>
      </w:r>
      <w:r>
        <w:t xml:space="preserve"> J Clin Med, 2022. </w:t>
      </w:r>
      <w:r>
        <w:rPr>
          <w:b/>
        </w:rPr>
        <w:t>11</w:t>
      </w:r>
      <w:r>
        <w:t>(19).</w:t>
      </w:r>
    </w:p>
    <w:p w14:paraId="2F5CDBAD" w14:textId="77777777" w:rsidR="00FF2A3D" w:rsidRDefault="00FF2A3D" w:rsidP="00FF2A3D">
      <w:pPr>
        <w:pStyle w:val="EndNoteBibliography0"/>
        <w:spacing w:after="0"/>
        <w:ind w:left="720" w:hanging="720"/>
      </w:pPr>
      <w:r>
        <w:t>18.</w:t>
      </w:r>
      <w:r>
        <w:tab/>
        <w:t xml:space="preserve">Sonnenblick, A., et al., </w:t>
      </w:r>
      <w:r>
        <w:rPr>
          <w:i/>
        </w:rPr>
        <w:t>Impact of Diabetes, Insulin, and Metformin Use on the Outcome of Patients With Human Epidermal Growth Factor Receptor 2-Positive Primary Breast Cancer: Analysis From the ALTTO Phase III Randomized Trial.</w:t>
      </w:r>
      <w:r>
        <w:t xml:space="preserve"> J Clin Oncol, 2017. </w:t>
      </w:r>
      <w:r>
        <w:rPr>
          <w:b/>
        </w:rPr>
        <w:t>35</w:t>
      </w:r>
      <w:r>
        <w:t>(13): p. 1421-1429.</w:t>
      </w:r>
    </w:p>
    <w:p w14:paraId="1864382B" w14:textId="77777777" w:rsidR="00FF2A3D" w:rsidRDefault="00FF2A3D" w:rsidP="00FF2A3D">
      <w:pPr>
        <w:pStyle w:val="EndNoteBibliography0"/>
        <w:spacing w:after="0"/>
        <w:ind w:left="720" w:hanging="720"/>
      </w:pPr>
      <w:r>
        <w:lastRenderedPageBreak/>
        <w:t>19.</w:t>
      </w:r>
      <w:r>
        <w:tab/>
        <w:t xml:space="preserve">Feng, J.L. and X. Qin, </w:t>
      </w:r>
      <w:r>
        <w:rPr>
          <w:i/>
        </w:rPr>
        <w:t>Metformin and cancer-specific survival among breast, colorectal, or endometrial cancer patients: A nationwide data linkage study.</w:t>
      </w:r>
      <w:r>
        <w:t xml:space="preserve"> Diabetes Res Clin Pract, 2021. </w:t>
      </w:r>
      <w:r>
        <w:rPr>
          <w:b/>
        </w:rPr>
        <w:t>175</w:t>
      </w:r>
      <w:r>
        <w:t>: p. 108755.</w:t>
      </w:r>
    </w:p>
    <w:p w14:paraId="57CB8590" w14:textId="77777777" w:rsidR="00FF2A3D" w:rsidRDefault="00FF2A3D" w:rsidP="00FF2A3D">
      <w:pPr>
        <w:pStyle w:val="EndNoteBibliography0"/>
        <w:spacing w:after="0"/>
        <w:ind w:left="720" w:hanging="720"/>
      </w:pPr>
      <w:r>
        <w:t>20.</w:t>
      </w:r>
      <w:r>
        <w:tab/>
        <w:t xml:space="preserve">Kim, B.H., M.J. Cho, and J. Kwon, </w:t>
      </w:r>
      <w:r>
        <w:rPr>
          <w:i/>
        </w:rPr>
        <w:t>Potential intrinsic subtype dependence on the association between metformin use and survival in surgically resected breast cancer: a Korean national population-based study.</w:t>
      </w:r>
      <w:r>
        <w:t xml:space="preserve"> Int J Clin Oncol, 2021. </w:t>
      </w:r>
      <w:r>
        <w:rPr>
          <w:b/>
        </w:rPr>
        <w:t>26</w:t>
      </w:r>
      <w:r>
        <w:t>(11): p. 2004-2016.</w:t>
      </w:r>
    </w:p>
    <w:p w14:paraId="35CFCB24" w14:textId="77777777" w:rsidR="00FF2A3D" w:rsidRDefault="00FF2A3D" w:rsidP="00FF2A3D">
      <w:pPr>
        <w:pStyle w:val="EndNoteBibliography0"/>
        <w:spacing w:after="0"/>
        <w:ind w:left="720" w:hanging="720"/>
      </w:pPr>
      <w:r>
        <w:t>21.</w:t>
      </w:r>
      <w:r>
        <w:tab/>
        <w:t xml:space="preserve">Hui, T., et al., </w:t>
      </w:r>
      <w:r>
        <w:rPr>
          <w:i/>
        </w:rPr>
        <w:t>Metformin improves the outcomes in Chinese invasive breast cancer patients with type 2 diabetes mellitus.</w:t>
      </w:r>
      <w:r>
        <w:t xml:space="preserve"> Sci Rep, 2021. </w:t>
      </w:r>
      <w:r>
        <w:rPr>
          <w:b/>
        </w:rPr>
        <w:t>11</w:t>
      </w:r>
      <w:r>
        <w:t>(1): p. 10034.</w:t>
      </w:r>
    </w:p>
    <w:p w14:paraId="7FB0F825" w14:textId="77777777" w:rsidR="00FF2A3D" w:rsidRDefault="00FF2A3D" w:rsidP="00FF2A3D">
      <w:pPr>
        <w:pStyle w:val="EndNoteBibliography0"/>
        <w:spacing w:after="0"/>
        <w:ind w:left="720" w:hanging="720"/>
      </w:pPr>
      <w:r>
        <w:t>22.</w:t>
      </w:r>
      <w:r>
        <w:tab/>
        <w:t xml:space="preserve">Hosio, M., et al., </w:t>
      </w:r>
      <w:r>
        <w:rPr>
          <w:i/>
        </w:rPr>
        <w:t>Survival after breast cancer in women with type 2 diabetes using antidiabetic medication and statins: a retrospective cohort study.</w:t>
      </w:r>
      <w:r>
        <w:t xml:space="preserve"> Acta Oncol, 2020. </w:t>
      </w:r>
      <w:r>
        <w:rPr>
          <w:b/>
        </w:rPr>
        <w:t>59</w:t>
      </w:r>
      <w:r>
        <w:t>(9): p. 1110-1117.</w:t>
      </w:r>
    </w:p>
    <w:p w14:paraId="432C9C00" w14:textId="77777777" w:rsidR="00FF2A3D" w:rsidRDefault="00FF2A3D" w:rsidP="00FF2A3D">
      <w:pPr>
        <w:pStyle w:val="EndNoteBibliography0"/>
        <w:spacing w:after="0"/>
        <w:ind w:left="720" w:hanging="720"/>
      </w:pPr>
      <w:r>
        <w:t>23.</w:t>
      </w:r>
      <w:r>
        <w:tab/>
        <w:t xml:space="preserve">El-Benhawy, S.A. and H.G. El-Sheredy, </w:t>
      </w:r>
      <w:r>
        <w:rPr>
          <w:i/>
        </w:rPr>
        <w:t>Metformin and survival in diabetic patients with breast cancer.</w:t>
      </w:r>
      <w:r>
        <w:t xml:space="preserve"> J Egypt Public Health Assoc, 2014. </w:t>
      </w:r>
      <w:r>
        <w:rPr>
          <w:b/>
        </w:rPr>
        <w:t>89</w:t>
      </w:r>
      <w:r>
        <w:t>(3): p. 148-53.</w:t>
      </w:r>
    </w:p>
    <w:p w14:paraId="21698FE2" w14:textId="77777777" w:rsidR="00FF2A3D" w:rsidRDefault="00FF2A3D" w:rsidP="00FF2A3D">
      <w:pPr>
        <w:pStyle w:val="EndNoteBibliography0"/>
        <w:spacing w:after="0"/>
        <w:ind w:left="720" w:hanging="720"/>
      </w:pPr>
      <w:r>
        <w:t>24.</w:t>
      </w:r>
      <w:r>
        <w:tab/>
        <w:t xml:space="preserve">Kim, H.J., et al., </w:t>
      </w:r>
      <w:r>
        <w:rPr>
          <w:i/>
        </w:rPr>
        <w:t>Metformin increases survival in hormone receptor-positive, HER2-positive breast cancer patients with diabetes.</w:t>
      </w:r>
      <w:r>
        <w:t xml:space="preserve"> Breast Cancer Res, 2015. </w:t>
      </w:r>
      <w:r>
        <w:rPr>
          <w:b/>
        </w:rPr>
        <w:t>17</w:t>
      </w:r>
      <w:r>
        <w:t>(1): p. 64.</w:t>
      </w:r>
    </w:p>
    <w:p w14:paraId="69C18972" w14:textId="77777777" w:rsidR="00FF2A3D" w:rsidRDefault="00FF2A3D" w:rsidP="00FF2A3D">
      <w:pPr>
        <w:pStyle w:val="EndNoteBibliography0"/>
        <w:spacing w:after="0"/>
        <w:ind w:left="720" w:hanging="720"/>
      </w:pPr>
      <w:r>
        <w:t>25.</w:t>
      </w:r>
      <w:r>
        <w:tab/>
        <w:t xml:space="preserve">Park, Y.M., et al., </w:t>
      </w:r>
      <w:r>
        <w:rPr>
          <w:i/>
        </w:rPr>
        <w:t>A prospective study of type 2 diabetes, metformin use, and risk of breast cancer.</w:t>
      </w:r>
      <w:r>
        <w:t xml:space="preserve"> Ann Oncol, 2021. </w:t>
      </w:r>
      <w:r>
        <w:rPr>
          <w:b/>
        </w:rPr>
        <w:t>32</w:t>
      </w:r>
      <w:r>
        <w:t>(3): p. 351-359.</w:t>
      </w:r>
    </w:p>
    <w:p w14:paraId="40C2CB08" w14:textId="77777777" w:rsidR="00FF2A3D" w:rsidRDefault="00FF2A3D" w:rsidP="00FF2A3D">
      <w:pPr>
        <w:pStyle w:val="EndNoteBibliography0"/>
        <w:ind w:left="720" w:hanging="720"/>
      </w:pPr>
      <w:r>
        <w:t>26.</w:t>
      </w:r>
      <w:r>
        <w:tab/>
        <w:t xml:space="preserve">Chlebowski, R.T., et al., </w:t>
      </w:r>
      <w:r>
        <w:rPr>
          <w:i/>
        </w:rPr>
        <w:t>Diabetes, metformin, and breast cancer in postmenopausal women.</w:t>
      </w:r>
      <w:r>
        <w:t xml:space="preserve"> J Clin Oncol, 2012. </w:t>
      </w:r>
      <w:r>
        <w:rPr>
          <w:b/>
        </w:rPr>
        <w:t>30</w:t>
      </w:r>
      <w:r>
        <w:t>(23): p. 2844-52.</w:t>
      </w:r>
    </w:p>
    <w:p w14:paraId="0BF3CBF9" w14:textId="77777777" w:rsidR="00FF2A3D" w:rsidRDefault="00FF2A3D" w:rsidP="00FF2A3D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fldChar w:fldCharType="end"/>
      </w:r>
    </w:p>
    <w:p w14:paraId="2E89A0C1" w14:textId="77777777" w:rsidR="00845700" w:rsidRDefault="00845700"/>
    <w:sectPr w:rsidR="00845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3D"/>
    <w:rsid w:val="00025872"/>
    <w:rsid w:val="00662157"/>
    <w:rsid w:val="00845700"/>
    <w:rsid w:val="009C72EA"/>
    <w:rsid w:val="00CD3EB6"/>
    <w:rsid w:val="00FF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1F3B4"/>
  <w15:chartTrackingRefBased/>
  <w15:docId w15:val="{0661ABD1-9ADB-4792-9F56-61ACDFD9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A3D"/>
    <w:pPr>
      <w:spacing w:line="360" w:lineRule="auto"/>
    </w:pPr>
    <w:rPr>
      <w:rFonts w:ascii="Arial" w:eastAsiaTheme="minorEastAsia" w:hAnsi="Arial"/>
      <w:sz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Bibliography">
    <w:name w:val="EndNote Bibliography 字符"/>
    <w:basedOn w:val="DefaultParagraphFont"/>
    <w:link w:val="EndNoteBibliography0"/>
    <w:qFormat/>
    <w:locked/>
    <w:rsid w:val="00FF2A3D"/>
    <w:rPr>
      <w:rFonts w:ascii="Arial" w:eastAsiaTheme="minorEastAsia" w:hAnsi="Arial" w:cs="Arial"/>
      <w:lang w:eastAsia="zh-CN"/>
    </w:rPr>
  </w:style>
  <w:style w:type="paragraph" w:customStyle="1" w:styleId="EndNoteBibliography0">
    <w:name w:val="EndNote Bibliography"/>
    <w:basedOn w:val="Normal"/>
    <w:link w:val="EndNoteBibliography"/>
    <w:rsid w:val="00FF2A3D"/>
    <w:pPr>
      <w:spacing w:line="240" w:lineRule="auto"/>
    </w:pPr>
    <w:rPr>
      <w:rFonts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47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4171</Characters>
  <Application>Microsoft Office Word</Application>
  <DocSecurity>0</DocSecurity>
  <Lines>34</Lines>
  <Paragraphs>9</Paragraphs>
  <ScaleCrop>false</ScaleCrop>
  <Company>Springer Nature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2023-07-20T21:41:00Z</dcterms:created>
  <dcterms:modified xsi:type="dcterms:W3CDTF">2023-07-20T21:41:00Z</dcterms:modified>
</cp:coreProperties>
</file>