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320" w:type="dxa"/>
        <w:tblInd w:w="98" w:type="dxa"/>
        <w:tblLayout w:type="autofit"/>
        <w:tblCellMar>
          <w:top w:w="0" w:type="dxa"/>
          <w:left w:w="108" w:type="dxa"/>
          <w:bottom w:w="0" w:type="dxa"/>
          <w:right w:w="108" w:type="dxa"/>
        </w:tblCellMar>
      </w:tblPr>
      <w:tblGrid>
        <w:gridCol w:w="1670"/>
        <w:gridCol w:w="990"/>
        <w:gridCol w:w="1270"/>
        <w:gridCol w:w="1430"/>
        <w:gridCol w:w="1250"/>
        <w:gridCol w:w="1160"/>
        <w:gridCol w:w="1250"/>
        <w:gridCol w:w="1410"/>
        <w:gridCol w:w="1410"/>
        <w:gridCol w:w="1480"/>
      </w:tblGrid>
      <w:tr>
        <w:tblPrEx>
          <w:tblCellMar>
            <w:top w:w="0" w:type="dxa"/>
            <w:left w:w="108" w:type="dxa"/>
            <w:bottom w:w="0" w:type="dxa"/>
            <w:right w:w="108" w:type="dxa"/>
          </w:tblCellMar>
        </w:tblPrEx>
        <w:trPr>
          <w:trHeight w:val="280" w:hRule="atLeast"/>
        </w:trPr>
        <w:tc>
          <w:tcPr>
            <w:tcW w:w="167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SNP</w:t>
            </w:r>
          </w:p>
        </w:tc>
        <w:tc>
          <w:tcPr>
            <w:tcW w:w="99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Chr</w:t>
            </w:r>
          </w:p>
        </w:tc>
        <w:tc>
          <w:tcPr>
            <w:tcW w:w="127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Sample size</w:t>
            </w:r>
          </w:p>
        </w:tc>
        <w:tc>
          <w:tcPr>
            <w:tcW w:w="143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Effect allele</w:t>
            </w:r>
          </w:p>
        </w:tc>
        <w:tc>
          <w:tcPr>
            <w:tcW w:w="125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Other allele</w:t>
            </w:r>
          </w:p>
        </w:tc>
        <w:tc>
          <w:tcPr>
            <w:tcW w:w="116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EAF</w:t>
            </w:r>
          </w:p>
        </w:tc>
        <w:tc>
          <w:tcPr>
            <w:tcW w:w="125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Beta</w:t>
            </w:r>
          </w:p>
        </w:tc>
        <w:tc>
          <w:tcPr>
            <w:tcW w:w="141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SE</w:t>
            </w:r>
          </w:p>
        </w:tc>
        <w:tc>
          <w:tcPr>
            <w:tcW w:w="141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P_value</w:t>
            </w:r>
          </w:p>
        </w:tc>
        <w:tc>
          <w:tcPr>
            <w:tcW w:w="148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F_statistic</w:t>
            </w:r>
          </w:p>
        </w:tc>
      </w:tr>
      <w:tr>
        <w:tblPrEx>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rs10196106</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1.01E-01</w:t>
            </w:r>
          </w:p>
        </w:tc>
        <w:tc>
          <w:tcPr>
            <w:tcW w:w="0" w:type="auto"/>
            <w:tcBorders>
              <w:top w:val="single" w:color="auto" w:sz="4" w:space="0"/>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-4.50E-03</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7.14E-04</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2.98E-10</w:t>
            </w:r>
          </w:p>
        </w:tc>
        <w:tc>
          <w:tcPr>
            <w:tcW w:w="0" w:type="auto"/>
            <w:tcBorders>
              <w:top w:val="single" w:color="auto" w:sz="4" w:space="0"/>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3.97E+01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rs2972143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6.47E-01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2.33E-03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4.51E-09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3.44E+01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rs1496653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2.04E-01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-3.01E-03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4.70E-04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1.42E-10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4.11E+01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rs9808924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3.14E-01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3.79E-03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4.08E-04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1.62E-20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8.62E+01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rs10001190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6.30E-01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2.82E-03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3.93E-04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6.93E-13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5.16E+01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rs115576427</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4.98E-02</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5.53E-03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8.76E-04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2.77E-10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3.98E+01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rs459193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7.47E-01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2.51E-03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4.35E-04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7.46E-09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3.34E+01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rs7766070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2.64E-01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3.29E-03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4.30E-04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1.79E-14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5.88E+01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rs849142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5.06E-01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-2.56E-03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3.79E-04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1.50E-11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4.55E+01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rs13266634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3.11E-01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-2.61E-03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4.10E-04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1.96E-10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4.05E+01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rs7018475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2.56E-01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2.85E-03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4.34E-04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5.19E-11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4.31E+01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rs10965246</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1.77E-01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-4.60E-03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4.97E-04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2.15E-20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8.57E+01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rs810517</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4.62E-01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-2.60E-03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3.80E-04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7.14E-12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4.70E+01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rs34872471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2.91E-01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8.94E-03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4.17E-04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8.17E-102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4.59E+02</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rs34744311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3.77E-01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-2.71E-03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3.92E-04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4.45E-12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4.79E+01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rs11257655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2.09E-01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2.66E-03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4.67E-04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1.15E-08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3.26E+01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rs2237895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4.16E-01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2.57E-03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3.84E-04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2.00E-11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4.50E+01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rs11602873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1.58E-01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-3.02E-03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5.19E-04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6.06E-09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3.38E+01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rs76895963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1.93E-02</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-1.22E-02</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1.47E-03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1.30E-16</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6.85E+01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rs649698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4.34E-01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2.99E-03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3.83E-04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5.22E-15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6.12E+01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rs12889801</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4.83E-01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-2.12E-03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3.79E-04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2.50E-08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3.11E+01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rs4932264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7.30E-01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-2.39E-03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4.27E-04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2.24E-08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3.13E+01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rs1421085</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4.02E-01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3.35E-03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3.87E-04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4.67E-18</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7.50E+01</w:t>
            </w:r>
          </w:p>
        </w:tc>
      </w:tr>
      <w:tr>
        <w:tblPrEx>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rs11658063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17</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G</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6.02E-01</w:t>
            </w:r>
          </w:p>
        </w:tc>
        <w:tc>
          <w:tcPr>
            <w:tcW w:w="0" w:type="auto"/>
            <w:tcBorders>
              <w:top w:val="nil"/>
              <w:left w:val="nil"/>
              <w:bottom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-2.88E-03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3.91E-04</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1.59E-13</w:t>
            </w:r>
          </w:p>
        </w:tc>
        <w:tc>
          <w:tcPr>
            <w:tcW w:w="0" w:type="auto"/>
            <w:tcBorders>
              <w:top w:val="nil"/>
              <w:left w:val="nil"/>
              <w:bottom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5.45E+01</w:t>
            </w:r>
          </w:p>
        </w:tc>
      </w:tr>
      <w:tr>
        <w:tblPrEx>
          <w:tblCellMar>
            <w:top w:w="0" w:type="dxa"/>
            <w:left w:w="108" w:type="dxa"/>
            <w:bottom w:w="0" w:type="dxa"/>
            <w:right w:w="108" w:type="dxa"/>
          </w:tblCellMar>
        </w:tblPrEx>
        <w:trPr>
          <w:trHeight w:val="280" w:hRule="atLeast"/>
        </w:trPr>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rs9957264</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18</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A</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1.65E-01</w:t>
            </w:r>
          </w:p>
        </w:tc>
        <w:tc>
          <w:tcPr>
            <w:tcW w:w="0" w:type="auto"/>
            <w:tcBorders>
              <w:top w:val="nil"/>
              <w:left w:val="nil"/>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-2.93E-03</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5.12E-04</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1.05E-08</w:t>
            </w:r>
          </w:p>
        </w:tc>
        <w:tc>
          <w:tcPr>
            <w:tcW w:w="0" w:type="auto"/>
            <w:tcBorders>
              <w:top w:val="nil"/>
              <w:left w:val="nil"/>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3.27E+01</w:t>
            </w:r>
          </w:p>
        </w:tc>
      </w:tr>
      <w:tr>
        <w:tblPrEx>
          <w:tblCellMar>
            <w:top w:w="0" w:type="dxa"/>
            <w:left w:w="108" w:type="dxa"/>
            <w:bottom w:w="0" w:type="dxa"/>
            <w:right w:w="108" w:type="dxa"/>
          </w:tblCellMar>
        </w:tblPrEx>
        <w:trPr>
          <w:trHeight w:val="280" w:hRule="atLeast"/>
        </w:trPr>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rs1800961</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20</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337159</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C</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3.15E-02</w:t>
            </w:r>
          </w:p>
        </w:tc>
        <w:tc>
          <w:tcPr>
            <w:tcW w:w="0" w:type="auto"/>
            <w:tcBorders>
              <w:top w:val="nil"/>
              <w:left w:val="nil"/>
              <w:bottom w:val="single" w:color="auto" w:sz="12" w:space="0"/>
              <w:right w:val="nil"/>
            </w:tcBorders>
            <w:shd w:val="clear" w:color="auto" w:fill="auto"/>
            <w:noWrap/>
            <w:vAlign w:val="bottom"/>
          </w:tcPr>
          <w:p>
            <w:pPr>
              <w:jc w:val="right"/>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6.02E-03</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1.08E-03</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2.85E-08</w:t>
            </w:r>
          </w:p>
        </w:tc>
        <w:tc>
          <w:tcPr>
            <w:tcW w:w="0" w:type="auto"/>
            <w:tcBorders>
              <w:top w:val="nil"/>
              <w:left w:val="nil"/>
              <w:bottom w:val="single" w:color="auto" w:sz="12" w:space="0"/>
              <w:right w:val="nil"/>
            </w:tcBorders>
            <w:shd w:val="clear" w:color="auto" w:fill="auto"/>
            <w:noWrap/>
            <w:vAlign w:val="bottom"/>
          </w:tcPr>
          <w:p>
            <w:pPr>
              <w:jc w:val="center"/>
              <w:textAlignment w:val="bottom"/>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3.08E+01</w:t>
            </w:r>
          </w:p>
        </w:tc>
      </w:tr>
    </w:tbl>
    <w:p>
      <w:pPr>
        <w:rPr>
          <w:b/>
          <w:bCs/>
        </w:rPr>
      </w:pPr>
      <w:r>
        <w:rPr>
          <w:rFonts w:hint="eastAsia"/>
          <w:b/>
          <w:bCs/>
        </w:rPr>
        <w:t>Supplementary Table 1. SNPs associated with metformin use, which performed as instrumental variants (IVs) in two-sample MR analysis.</w:t>
      </w:r>
    </w:p>
    <w:p>
      <w:pPr>
        <w:rPr>
          <w:b/>
          <w:bCs/>
        </w:rPr>
      </w:pPr>
    </w:p>
    <w:p>
      <w:pPr>
        <w:rPr>
          <w:b/>
          <w:bCs/>
        </w:rPr>
      </w:pPr>
    </w:p>
    <w:tbl>
      <w:tblPr>
        <w:tblStyle w:val="2"/>
        <w:tblpPr w:leftFromText="180" w:rightFromText="180" w:vertAnchor="text" w:horzAnchor="page" w:tblpX="885" w:tblpY="706"/>
        <w:tblOverlap w:val="never"/>
        <w:tblW w:w="14945" w:type="dxa"/>
        <w:tblInd w:w="0" w:type="dxa"/>
        <w:tblLayout w:type="fixed"/>
        <w:tblCellMar>
          <w:top w:w="0" w:type="dxa"/>
          <w:left w:w="108" w:type="dxa"/>
          <w:bottom w:w="0" w:type="dxa"/>
          <w:right w:w="108" w:type="dxa"/>
        </w:tblCellMar>
      </w:tblPr>
      <w:tblGrid>
        <w:gridCol w:w="2336"/>
        <w:gridCol w:w="1173"/>
        <w:gridCol w:w="2045"/>
        <w:gridCol w:w="1091"/>
        <w:gridCol w:w="1485"/>
        <w:gridCol w:w="1080"/>
        <w:gridCol w:w="1453"/>
        <w:gridCol w:w="1446"/>
        <w:gridCol w:w="1545"/>
        <w:gridCol w:w="1291"/>
      </w:tblGrid>
      <w:tr>
        <w:tblPrEx>
          <w:tblCellMar>
            <w:top w:w="0" w:type="dxa"/>
            <w:left w:w="108" w:type="dxa"/>
            <w:bottom w:w="0" w:type="dxa"/>
            <w:right w:w="108" w:type="dxa"/>
          </w:tblCellMar>
        </w:tblPrEx>
        <w:trPr>
          <w:trHeight w:val="280" w:hRule="atLeast"/>
        </w:trPr>
        <w:tc>
          <w:tcPr>
            <w:tcW w:w="2336" w:type="dxa"/>
            <w:tcBorders>
              <w:top w:val="single" w:color="auto" w:sz="12" w:space="0"/>
              <w:left w:val="nil"/>
              <w:bottom w:val="single" w:color="auto" w:sz="4" w:space="0"/>
              <w:right w:val="nil"/>
            </w:tcBorders>
            <w:shd w:val="clear" w:color="auto" w:fill="auto"/>
            <w:noWrap/>
            <w:vAlign w:val="bottom"/>
          </w:tcPr>
          <w:p>
            <w:pPr>
              <w:jc w:val="center"/>
              <w:rPr>
                <w:rFonts w:ascii="Times New Roman" w:hAnsi="Times New Roman" w:eastAsia="宋体" w:cs="Times New Roman"/>
                <w:b/>
                <w:bCs/>
                <w:color w:val="000000"/>
                <w:szCs w:val="20"/>
              </w:rPr>
            </w:pPr>
          </w:p>
        </w:tc>
        <w:tc>
          <w:tcPr>
            <w:tcW w:w="1173"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Exposure</w:t>
            </w:r>
          </w:p>
        </w:tc>
        <w:tc>
          <w:tcPr>
            <w:tcW w:w="2045"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Outcome</w:t>
            </w:r>
          </w:p>
        </w:tc>
        <w:tc>
          <w:tcPr>
            <w:tcW w:w="1091"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nSNP</w:t>
            </w:r>
          </w:p>
        </w:tc>
        <w:tc>
          <w:tcPr>
            <w:tcW w:w="1485"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Beta</w:t>
            </w:r>
          </w:p>
        </w:tc>
        <w:tc>
          <w:tcPr>
            <w:tcW w:w="1080"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SE</w:t>
            </w:r>
          </w:p>
        </w:tc>
        <w:tc>
          <w:tcPr>
            <w:tcW w:w="1453"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OR</w:t>
            </w:r>
          </w:p>
        </w:tc>
        <w:tc>
          <w:tcPr>
            <w:tcW w:w="1446"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OR_lo95%</w:t>
            </w:r>
          </w:p>
        </w:tc>
        <w:tc>
          <w:tcPr>
            <w:tcW w:w="1545"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OR_up95%</w:t>
            </w:r>
          </w:p>
        </w:tc>
        <w:tc>
          <w:tcPr>
            <w:tcW w:w="1291" w:type="dxa"/>
            <w:tcBorders>
              <w:top w:val="single" w:color="auto" w:sz="12" w:space="0"/>
              <w:left w:val="nil"/>
              <w:bottom w:val="single" w:color="auto" w:sz="4" w:space="0"/>
              <w:right w:val="nil"/>
            </w:tcBorders>
            <w:shd w:val="clear" w:color="auto" w:fill="auto"/>
            <w:noWrap/>
            <w:vAlign w:val="bottom"/>
          </w:tcPr>
          <w:p>
            <w:pPr>
              <w:jc w:val="center"/>
              <w:textAlignment w:val="bottom"/>
              <w:rPr>
                <w:rFonts w:ascii="Times New Roman" w:hAnsi="Times New Roman" w:eastAsia="宋体" w:cs="Times New Roman"/>
                <w:b/>
                <w:bCs/>
                <w:color w:val="000000"/>
                <w:szCs w:val="20"/>
              </w:rPr>
            </w:pPr>
            <w:r>
              <w:rPr>
                <w:rFonts w:ascii="Times New Roman" w:hAnsi="Times New Roman" w:eastAsia="宋体" w:cs="Times New Roman"/>
                <w:b/>
                <w:bCs/>
                <w:color w:val="000000"/>
                <w:szCs w:val="20"/>
                <w:lang w:bidi="ar"/>
              </w:rPr>
              <w:t>P-value</w:t>
            </w:r>
          </w:p>
        </w:tc>
      </w:tr>
      <w:tr>
        <w:tblPrEx>
          <w:tblCellMar>
            <w:top w:w="0" w:type="dxa"/>
            <w:left w:w="108" w:type="dxa"/>
            <w:bottom w:w="0" w:type="dxa"/>
            <w:right w:w="108" w:type="dxa"/>
          </w:tblCellMar>
        </w:tblPrEx>
        <w:trPr>
          <w:trHeight w:val="280" w:hRule="atLeast"/>
        </w:trPr>
        <w:tc>
          <w:tcPr>
            <w:tcW w:w="2336"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Metformin + TT</w:t>
            </w:r>
          </w:p>
        </w:tc>
        <w:tc>
          <w:tcPr>
            <w:tcW w:w="1173"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Metformin</w:t>
            </w:r>
          </w:p>
        </w:tc>
        <w:tc>
          <w:tcPr>
            <w:tcW w:w="2045"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HER(+) Breast cancer</w:t>
            </w:r>
          </w:p>
        </w:tc>
        <w:tc>
          <w:tcPr>
            <w:tcW w:w="1091"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17</w:t>
            </w:r>
          </w:p>
        </w:tc>
        <w:tc>
          <w:tcPr>
            <w:tcW w:w="1485"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-2.31E+00</w:t>
            </w:r>
          </w:p>
        </w:tc>
        <w:tc>
          <w:tcPr>
            <w:tcW w:w="1080"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1.67E+00</w:t>
            </w:r>
          </w:p>
        </w:tc>
        <w:tc>
          <w:tcPr>
            <w:tcW w:w="1453"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9.92E-02</w:t>
            </w:r>
          </w:p>
        </w:tc>
        <w:tc>
          <w:tcPr>
            <w:tcW w:w="1446"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3.79E-03</w:t>
            </w:r>
          </w:p>
        </w:tc>
        <w:tc>
          <w:tcPr>
            <w:tcW w:w="1545"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2.60E+00</w:t>
            </w:r>
          </w:p>
        </w:tc>
        <w:tc>
          <w:tcPr>
            <w:tcW w:w="1291" w:type="dxa"/>
            <w:tcBorders>
              <w:top w:val="single" w:color="auto" w:sz="4" w:space="0"/>
              <w:left w:val="nil"/>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1.65E-01</w:t>
            </w:r>
          </w:p>
        </w:tc>
      </w:tr>
      <w:tr>
        <w:tblPrEx>
          <w:tblCellMar>
            <w:top w:w="0" w:type="dxa"/>
            <w:left w:w="108" w:type="dxa"/>
            <w:bottom w:w="0" w:type="dxa"/>
            <w:right w:w="108" w:type="dxa"/>
          </w:tblCellMar>
        </w:tblPrEx>
        <w:trPr>
          <w:trHeight w:val="280" w:hRule="atLeast"/>
        </w:trPr>
        <w:tc>
          <w:tcPr>
            <w:tcW w:w="2336"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Metformin + TT</w:t>
            </w:r>
          </w:p>
        </w:tc>
        <w:tc>
          <w:tcPr>
            <w:tcW w:w="1173"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TT</w:t>
            </w:r>
          </w:p>
        </w:tc>
        <w:tc>
          <w:tcPr>
            <w:tcW w:w="2045"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HER(+) Breast cancer</w:t>
            </w:r>
          </w:p>
        </w:tc>
        <w:tc>
          <w:tcPr>
            <w:tcW w:w="1091"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147</w:t>
            </w:r>
          </w:p>
        </w:tc>
        <w:tc>
          <w:tcPr>
            <w:tcW w:w="1485"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4.68E-01</w:t>
            </w:r>
          </w:p>
        </w:tc>
        <w:tc>
          <w:tcPr>
            <w:tcW w:w="1080"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1.75E-01</w:t>
            </w:r>
          </w:p>
        </w:tc>
        <w:tc>
          <w:tcPr>
            <w:tcW w:w="1453"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1.60E+00</w:t>
            </w:r>
          </w:p>
        </w:tc>
        <w:tc>
          <w:tcPr>
            <w:tcW w:w="1446"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1.13E+00</w:t>
            </w:r>
          </w:p>
        </w:tc>
        <w:tc>
          <w:tcPr>
            <w:tcW w:w="1545"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2.25E+00</w:t>
            </w:r>
          </w:p>
        </w:tc>
        <w:tc>
          <w:tcPr>
            <w:tcW w:w="1291" w:type="dxa"/>
            <w:tcBorders>
              <w:top w:val="nil"/>
              <w:left w:val="nil"/>
              <w:bottom w:val="single" w:color="auto" w:sz="12" w:space="0"/>
              <w:right w:val="nil"/>
            </w:tcBorders>
            <w:shd w:val="clear" w:color="auto" w:fill="auto"/>
            <w:noWrap/>
            <w:vAlign w:val="center"/>
          </w:tcPr>
          <w:p>
            <w:pPr>
              <w:jc w:val="center"/>
              <w:textAlignment w:val="center"/>
              <w:rPr>
                <w:rFonts w:ascii="Times New Roman" w:hAnsi="Times New Roman" w:eastAsia="宋体" w:cs="Times New Roman"/>
                <w:color w:val="000000"/>
                <w:szCs w:val="20"/>
              </w:rPr>
            </w:pPr>
            <w:r>
              <w:rPr>
                <w:rFonts w:ascii="Times New Roman" w:hAnsi="Times New Roman" w:eastAsia="宋体" w:cs="Times New Roman"/>
                <w:color w:val="000000"/>
                <w:szCs w:val="20"/>
                <w:lang w:bidi="ar"/>
              </w:rPr>
              <w:t>7.44E-03</w:t>
            </w:r>
          </w:p>
        </w:tc>
      </w:tr>
    </w:tbl>
    <w:p>
      <w:pPr>
        <w:rPr>
          <w:b/>
          <w:bCs/>
        </w:rPr>
      </w:pPr>
    </w:p>
    <w:p>
      <w:pPr>
        <w:rPr>
          <w:rFonts w:hint="eastAsia"/>
        </w:rPr>
      </w:pPr>
      <w:r>
        <w:rPr>
          <w:rFonts w:hint="eastAsia"/>
          <w:b/>
          <w:bCs/>
        </w:rPr>
        <w:t>Supplementary Table 2. The genetic effect obtained from MVMR analysis.</w:t>
      </w:r>
      <w:r>
        <w:rPr>
          <w:rFonts w:hint="eastAsia"/>
        </w:rPr>
        <w:t xml:space="preserve"> TT: total testosterone levels.</w:t>
      </w:r>
    </w:p>
    <w:p>
      <w:pPr>
        <w:rPr>
          <w:rFonts w:hint="eastAsia"/>
        </w:rPr>
      </w:pPr>
    </w:p>
    <w:p>
      <w:pPr>
        <w:rPr>
          <w:rFonts w:hint="eastAsia"/>
        </w:rPr>
      </w:pPr>
    </w:p>
    <w:p>
      <w:pPr>
        <w:rPr>
          <w:rFonts w:hint="eastAsia"/>
        </w:rPr>
      </w:pPr>
    </w:p>
    <w:p>
      <w:pPr>
        <w:rPr>
          <w:rFonts w:hint="eastAsia"/>
        </w:rPr>
      </w:pPr>
    </w:p>
    <w:p>
      <w:pPr>
        <w:rPr>
          <w:rFonts w:hint="eastAsia" w:eastAsiaTheme="minorEastAsia"/>
          <w:lang w:eastAsia="zh-CN"/>
        </w:rPr>
      </w:pPr>
      <w:r>
        <w:rPr>
          <w:rFonts w:hint="eastAsia" w:eastAsiaTheme="minorEastAsia"/>
          <w:lang w:eastAsia="zh-CN"/>
        </w:rPr>
        <w:drawing>
          <wp:inline distT="0" distB="0" distL="114300" distR="114300">
            <wp:extent cx="7025005" cy="3606800"/>
            <wp:effectExtent l="0" t="0" r="10795" b="0"/>
            <wp:docPr id="5" name="图片 5"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2"/>
                    <pic:cNvPicPr>
                      <a:picLocks noChangeAspect="1"/>
                    </pic:cNvPicPr>
                  </pic:nvPicPr>
                  <pic:blipFill>
                    <a:blip r:embed="rId6"/>
                    <a:stretch>
                      <a:fillRect/>
                    </a:stretch>
                  </pic:blipFill>
                  <pic:spPr>
                    <a:xfrm>
                      <a:off x="0" y="0"/>
                      <a:ext cx="7025005" cy="3606800"/>
                    </a:xfrm>
                    <a:prstGeom prst="rect">
                      <a:avLst/>
                    </a:prstGeom>
                  </pic:spPr>
                </pic:pic>
              </a:graphicData>
            </a:graphic>
          </wp:inline>
        </w:drawing>
      </w:r>
    </w:p>
    <w:p>
      <w:pPr>
        <w:rPr>
          <w:rFonts w:hint="eastAsia"/>
        </w:rPr>
      </w:pPr>
      <w:r>
        <w:rPr>
          <w:rFonts w:hint="eastAsia" w:ascii="Arial" w:hAnsi="Arial"/>
          <w:b/>
          <w:bCs/>
        </w:rPr>
        <w:t>Supplementary Figure 1</w:t>
      </w:r>
      <w:r>
        <w:rPr>
          <w:rFonts w:hint="eastAsia" w:ascii="Arial" w:hAnsi="Arial"/>
          <w:b/>
          <w:bCs/>
          <w:lang w:val="en-US" w:eastAsia="zh-CN"/>
        </w:rPr>
        <w:t xml:space="preserve">. </w:t>
      </w:r>
      <w:r>
        <w:rPr>
          <w:rFonts w:hint="eastAsia" w:ascii="Arial" w:hAnsi="Arial"/>
          <w:b/>
          <w:bCs/>
        </w:rPr>
        <w:t xml:space="preserve">Scatter plots and funnel plots of metformin use on HER-positive breast cancer. </w:t>
      </w:r>
      <w:r>
        <w:rPr>
          <w:rFonts w:hint="eastAsia" w:ascii="Arial" w:hAnsi="Arial"/>
          <w:b w:val="0"/>
          <w:bCs w:val="0"/>
        </w:rPr>
        <w:t xml:space="preserve">(A) Scatter plots of the genetic association between metformin use and HER-positive breast cancer. The genetic predicted metformin use is associated with a lower risk of HER-positive breast cancer. The slope of each line shows the estimated causal effect of metformin use on HER-positive breast cancer for each approach. (B) Funnel plots showing the statistical association between metformin use and the risk of HER-positive breast cancer. </w:t>
      </w:r>
    </w:p>
    <w:p>
      <w:pPr>
        <w:rPr>
          <w:rFonts w:hint="eastAsia" w:eastAsiaTheme="minorEastAsia"/>
          <w:lang w:eastAsia="zh-CN"/>
        </w:rPr>
      </w:pPr>
      <w:r>
        <w:rPr>
          <w:rFonts w:hint="eastAsia" w:eastAsiaTheme="minorEastAsia"/>
          <w:lang w:eastAsia="zh-CN"/>
        </w:rPr>
        <w:drawing>
          <wp:inline distT="0" distB="0" distL="114300" distR="114300">
            <wp:extent cx="3124200" cy="3917950"/>
            <wp:effectExtent l="0" t="0" r="0" b="6350"/>
            <wp:docPr id="7" name="图片 7"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3"/>
                    <pic:cNvPicPr>
                      <a:picLocks noChangeAspect="1"/>
                    </pic:cNvPicPr>
                  </pic:nvPicPr>
                  <pic:blipFill>
                    <a:blip r:embed="rId7"/>
                    <a:stretch>
                      <a:fillRect/>
                    </a:stretch>
                  </pic:blipFill>
                  <pic:spPr>
                    <a:xfrm>
                      <a:off x="0" y="0"/>
                      <a:ext cx="3124200" cy="3917950"/>
                    </a:xfrm>
                    <a:prstGeom prst="rect">
                      <a:avLst/>
                    </a:prstGeom>
                  </pic:spPr>
                </pic:pic>
              </a:graphicData>
            </a:graphic>
          </wp:inline>
        </w:drawing>
      </w:r>
    </w:p>
    <w:p>
      <w:pPr>
        <w:rPr>
          <w:rFonts w:hint="eastAsia"/>
        </w:rPr>
      </w:pPr>
      <w:r>
        <w:rPr>
          <w:rFonts w:hint="eastAsia"/>
          <w:b/>
          <w:bCs/>
        </w:rPr>
        <w:t>Supplementary Fi</w:t>
      </w:r>
      <w:r>
        <w:rPr>
          <w:rFonts w:hint="eastAsia" w:ascii="Arial" w:hAnsi="Arial"/>
          <w:b/>
          <w:bCs/>
        </w:rPr>
        <w:t xml:space="preserve">gure </w:t>
      </w:r>
      <w:r>
        <w:rPr>
          <w:rFonts w:hint="eastAsia" w:ascii="Arial" w:hAnsi="Arial"/>
          <w:b/>
          <w:bCs/>
          <w:lang w:val="en-US" w:eastAsia="zh-CN"/>
        </w:rPr>
        <w:t>2</w:t>
      </w:r>
      <w:r>
        <w:rPr>
          <w:rFonts w:hint="eastAsia" w:ascii="Arial" w:hAnsi="Arial"/>
          <w:b/>
          <w:bCs/>
        </w:rPr>
        <w:t>.</w:t>
      </w:r>
      <w:r>
        <w:rPr>
          <w:rFonts w:hint="eastAsia" w:ascii="Arial" w:hAnsi="Arial"/>
          <w:b/>
          <w:bCs/>
          <w:lang w:val="en-US" w:eastAsia="zh-CN"/>
        </w:rPr>
        <w:t xml:space="preserve"> </w:t>
      </w:r>
      <w:r>
        <w:rPr>
          <w:rFonts w:hint="eastAsia" w:ascii="Arial" w:hAnsi="Arial"/>
          <w:b/>
          <w:bCs/>
        </w:rPr>
        <w:t>Leave-one-out analysis and Forest plots results.</w:t>
      </w:r>
      <w:r>
        <w:rPr>
          <w:rFonts w:hint="eastAsia" w:ascii="Arial" w:hAnsi="Arial"/>
          <w:b w:val="0"/>
          <w:bCs w:val="0"/>
        </w:rPr>
        <w:t xml:space="preserve"> (A) Leave-one-out analysis of sensitivity test. After one by one eliminating the IVs, calculate the MR outcomes for the remaining IVs. (B) Forest plot of the causal effects of metformin use associated SNPs on HER-positive breast cancer. Figure B showed the Mendelian randomization estimated effects sizes for metformin use on HER-positive breast cancer.</w:t>
      </w:r>
      <w:bookmarkStart w:id="0" w:name="_GoBack"/>
      <w:bookmarkEnd w:id="0"/>
    </w:p>
    <w:p>
      <w:r>
        <w:rPr>
          <w:rFonts w:hint="eastAsia"/>
        </w:rPr>
        <w:drawing>
          <wp:inline distT="0" distB="0" distL="114300" distR="114300">
            <wp:extent cx="4445000" cy="3703955"/>
            <wp:effectExtent l="0" t="0" r="0" b="4445"/>
            <wp:docPr id="2" name="图片 2" descr="LOO-M-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O-M-TT"/>
                    <pic:cNvPicPr>
                      <a:picLocks noChangeAspect="1"/>
                    </pic:cNvPicPr>
                  </pic:nvPicPr>
                  <pic:blipFill>
                    <a:blip r:embed="rId8"/>
                    <a:stretch>
                      <a:fillRect/>
                    </a:stretch>
                  </pic:blipFill>
                  <pic:spPr>
                    <a:xfrm>
                      <a:off x="0" y="0"/>
                      <a:ext cx="4445000" cy="3703955"/>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3</w:t>
      </w:r>
      <w:r>
        <w:rPr>
          <w:rFonts w:hint="eastAsia"/>
          <w:b/>
          <w:bCs/>
        </w:rPr>
        <w:t>. Leave-one-out analysis result of metformin use on total testosterone levels.</w:t>
      </w:r>
    </w:p>
    <w:p>
      <w:pPr>
        <w:rPr>
          <w:b/>
          <w:bCs/>
        </w:rPr>
      </w:pPr>
    </w:p>
    <w:p>
      <w:pPr>
        <w:rPr>
          <w:b/>
          <w:bCs/>
        </w:rPr>
      </w:pPr>
      <w:r>
        <w:rPr>
          <w:b/>
          <w:bCs/>
        </w:rPr>
        <w:drawing>
          <wp:inline distT="0" distB="0" distL="114300" distR="114300">
            <wp:extent cx="2745740" cy="4577080"/>
            <wp:effectExtent l="0" t="0" r="10160" b="7620"/>
            <wp:docPr id="4" name="图片 4" descr="LOO-TT-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O-TT-BC"/>
                    <pic:cNvPicPr>
                      <a:picLocks noChangeAspect="1"/>
                    </pic:cNvPicPr>
                  </pic:nvPicPr>
                  <pic:blipFill>
                    <a:blip r:embed="rId9"/>
                    <a:stretch>
                      <a:fillRect/>
                    </a:stretch>
                  </pic:blipFill>
                  <pic:spPr>
                    <a:xfrm>
                      <a:off x="0" y="0"/>
                      <a:ext cx="2745740" cy="4577080"/>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4</w:t>
      </w:r>
      <w:r>
        <w:rPr>
          <w:rFonts w:hint="eastAsia"/>
          <w:b/>
          <w:bCs/>
        </w:rPr>
        <w:t>. Leave-one-out analysis result of total testosterone levels on HER-positive breast cancer.</w:t>
      </w:r>
    </w:p>
    <w:p>
      <w:pPr>
        <w:rPr>
          <w:b/>
          <w:bCs/>
        </w:rPr>
      </w:pPr>
      <w:r>
        <w:rPr>
          <w:rFonts w:hint="eastAsia"/>
          <w:b/>
          <w:bCs/>
        </w:rPr>
        <w:drawing>
          <wp:inline distT="0" distB="0" distL="114300" distR="114300">
            <wp:extent cx="4571365" cy="4571365"/>
            <wp:effectExtent l="0" t="0" r="635" b="635"/>
            <wp:docPr id="6" name="图片 6" descr="SP-M-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P-M-TT"/>
                    <pic:cNvPicPr>
                      <a:picLocks noChangeAspect="1"/>
                    </pic:cNvPicPr>
                  </pic:nvPicPr>
                  <pic:blipFill>
                    <a:blip r:embed="rId10"/>
                    <a:stretch>
                      <a:fillRect/>
                    </a:stretch>
                  </pic:blipFill>
                  <pic:spPr>
                    <a:xfrm>
                      <a:off x="0" y="0"/>
                      <a:ext cx="4571365" cy="4571365"/>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5</w:t>
      </w:r>
      <w:r>
        <w:rPr>
          <w:rFonts w:hint="eastAsia"/>
          <w:b/>
          <w:bCs/>
        </w:rPr>
        <w:t>. Scatter plot of metformin use on total testosterone levels.</w:t>
      </w:r>
    </w:p>
    <w:p>
      <w:pPr>
        <w:rPr>
          <w:b/>
          <w:bCs/>
        </w:rPr>
      </w:pPr>
      <w:r>
        <w:rPr>
          <w:b/>
          <w:bCs/>
        </w:rPr>
        <w:drawing>
          <wp:inline distT="0" distB="0" distL="114300" distR="114300">
            <wp:extent cx="5569585" cy="4641215"/>
            <wp:effectExtent l="0" t="0" r="5715" b="6985"/>
            <wp:docPr id="8" name="图片 8" descr="SP-TT-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P-TT-BC"/>
                    <pic:cNvPicPr>
                      <a:picLocks noChangeAspect="1"/>
                    </pic:cNvPicPr>
                  </pic:nvPicPr>
                  <pic:blipFill>
                    <a:blip r:embed="rId11"/>
                    <a:stretch>
                      <a:fillRect/>
                    </a:stretch>
                  </pic:blipFill>
                  <pic:spPr>
                    <a:xfrm>
                      <a:off x="0" y="0"/>
                      <a:ext cx="5569585" cy="4641215"/>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6</w:t>
      </w:r>
      <w:r>
        <w:rPr>
          <w:rFonts w:hint="eastAsia"/>
          <w:b/>
          <w:bCs/>
        </w:rPr>
        <w:t>. Scatter plot of total testosterone levels on HER-positive breast cancer.</w:t>
      </w:r>
    </w:p>
    <w:p>
      <w:pPr>
        <w:rPr>
          <w:b/>
          <w:bCs/>
        </w:rPr>
      </w:pPr>
      <w:r>
        <w:rPr>
          <w:b/>
          <w:bCs/>
        </w:rPr>
        <w:drawing>
          <wp:inline distT="0" distB="0" distL="114300" distR="114300">
            <wp:extent cx="5520055" cy="4599940"/>
            <wp:effectExtent l="0" t="0" r="4445" b="10160"/>
            <wp:docPr id="10" name="图片 10" descr="FOR-M-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OR-M-TT"/>
                    <pic:cNvPicPr>
                      <a:picLocks noChangeAspect="1"/>
                    </pic:cNvPicPr>
                  </pic:nvPicPr>
                  <pic:blipFill>
                    <a:blip r:embed="rId12"/>
                    <a:stretch>
                      <a:fillRect/>
                    </a:stretch>
                  </pic:blipFill>
                  <pic:spPr>
                    <a:xfrm>
                      <a:off x="0" y="0"/>
                      <a:ext cx="5520055" cy="4599940"/>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7</w:t>
      </w:r>
      <w:r>
        <w:rPr>
          <w:rFonts w:hint="eastAsia"/>
          <w:b/>
          <w:bCs/>
        </w:rPr>
        <w:t>. Forest plot of metformin use on total testosterone levels.</w:t>
      </w:r>
    </w:p>
    <w:p>
      <w:pPr>
        <w:rPr>
          <w:b/>
          <w:bCs/>
        </w:rPr>
      </w:pPr>
      <w:r>
        <w:rPr>
          <w:b/>
          <w:bCs/>
        </w:rPr>
        <w:drawing>
          <wp:inline distT="0" distB="0" distL="114300" distR="114300">
            <wp:extent cx="2729865" cy="4550410"/>
            <wp:effectExtent l="0" t="0" r="635" b="8890"/>
            <wp:docPr id="12" name="图片 12" descr="FOR-TT-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OR-TT-BC"/>
                    <pic:cNvPicPr>
                      <a:picLocks noChangeAspect="1"/>
                    </pic:cNvPicPr>
                  </pic:nvPicPr>
                  <pic:blipFill>
                    <a:blip r:embed="rId13"/>
                    <a:stretch>
                      <a:fillRect/>
                    </a:stretch>
                  </pic:blipFill>
                  <pic:spPr>
                    <a:xfrm>
                      <a:off x="0" y="0"/>
                      <a:ext cx="2729865" cy="4550410"/>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8</w:t>
      </w:r>
      <w:r>
        <w:rPr>
          <w:rFonts w:hint="eastAsia"/>
          <w:b/>
          <w:bCs/>
        </w:rPr>
        <w:t>. Forest plot of total testosterone levels on HER-positive breast cancer.</w:t>
      </w:r>
    </w:p>
    <w:p>
      <w:pPr>
        <w:rPr>
          <w:b/>
          <w:bCs/>
        </w:rPr>
      </w:pPr>
    </w:p>
    <w:p>
      <w:pPr>
        <w:rPr>
          <w:b/>
          <w:bCs/>
        </w:rPr>
      </w:pPr>
      <w:r>
        <w:rPr>
          <w:b/>
          <w:bCs/>
        </w:rPr>
        <w:drawing>
          <wp:inline distT="0" distB="0" distL="114300" distR="114300">
            <wp:extent cx="5198745" cy="4331970"/>
            <wp:effectExtent l="0" t="0" r="8255" b="11430"/>
            <wp:docPr id="15" name="图片 15" descr="FUNNEL-M-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UNNEL-M-TT"/>
                    <pic:cNvPicPr>
                      <a:picLocks noChangeAspect="1"/>
                    </pic:cNvPicPr>
                  </pic:nvPicPr>
                  <pic:blipFill>
                    <a:blip r:embed="rId14"/>
                    <a:stretch>
                      <a:fillRect/>
                    </a:stretch>
                  </pic:blipFill>
                  <pic:spPr>
                    <a:xfrm>
                      <a:off x="0" y="0"/>
                      <a:ext cx="5198745" cy="4331970"/>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9</w:t>
      </w:r>
      <w:r>
        <w:rPr>
          <w:rFonts w:hint="eastAsia"/>
          <w:b/>
          <w:bCs/>
        </w:rPr>
        <w:t>. Funnel plot of metformin use on total testosterone levels.</w:t>
      </w:r>
    </w:p>
    <w:p>
      <w:pPr>
        <w:rPr>
          <w:b/>
          <w:bCs/>
        </w:rPr>
      </w:pPr>
      <w:r>
        <w:rPr>
          <w:b/>
          <w:bCs/>
        </w:rPr>
        <w:drawing>
          <wp:inline distT="0" distB="0" distL="114300" distR="114300">
            <wp:extent cx="5300345" cy="4417060"/>
            <wp:effectExtent l="0" t="0" r="8255" b="2540"/>
            <wp:docPr id="17" name="图片 17" descr="FUNNEL-TT-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UNNEL-TT-BC"/>
                    <pic:cNvPicPr>
                      <a:picLocks noChangeAspect="1"/>
                    </pic:cNvPicPr>
                  </pic:nvPicPr>
                  <pic:blipFill>
                    <a:blip r:embed="rId15"/>
                    <a:stretch>
                      <a:fillRect/>
                    </a:stretch>
                  </pic:blipFill>
                  <pic:spPr>
                    <a:xfrm>
                      <a:off x="0" y="0"/>
                      <a:ext cx="5300345" cy="4417060"/>
                    </a:xfrm>
                    <a:prstGeom prst="rect">
                      <a:avLst/>
                    </a:prstGeom>
                  </pic:spPr>
                </pic:pic>
              </a:graphicData>
            </a:graphic>
          </wp:inline>
        </w:drawing>
      </w:r>
    </w:p>
    <w:p>
      <w:pPr>
        <w:rPr>
          <w:b/>
          <w:bCs/>
        </w:rPr>
      </w:pPr>
      <w:r>
        <w:rPr>
          <w:rFonts w:hint="eastAsia"/>
          <w:b/>
          <w:bCs/>
        </w:rPr>
        <w:t xml:space="preserve">Supplementary Figure </w:t>
      </w:r>
      <w:r>
        <w:rPr>
          <w:rFonts w:hint="eastAsia"/>
          <w:b/>
          <w:bCs/>
          <w:lang w:val="en-US" w:eastAsia="zh-CN"/>
        </w:rPr>
        <w:t>10</w:t>
      </w:r>
      <w:r>
        <w:rPr>
          <w:rFonts w:hint="eastAsia"/>
          <w:b/>
          <w:bCs/>
        </w:rPr>
        <w:t>. Funnel plot of total testosterone levels on HER-positive breast cancer.</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hNWFkMWNlMmUzYWVjMGNjMTFkNzdjNDMzNThhN2YifQ=="/>
    <w:docVar w:name="KSO_WPS_MARK_KEY" w:val="f2ee11ad-47bb-4efa-9a5b-dd9afc24b9ac"/>
  </w:docVars>
  <w:rsids>
    <w:rsidRoot w:val="001B296D"/>
    <w:rsid w:val="001B296D"/>
    <w:rsid w:val="004D4BD3"/>
    <w:rsid w:val="00754CE3"/>
    <w:rsid w:val="00F70324"/>
    <w:rsid w:val="01DB1C83"/>
    <w:rsid w:val="0428321D"/>
    <w:rsid w:val="0E202252"/>
    <w:rsid w:val="0FB93135"/>
    <w:rsid w:val="13653AA2"/>
    <w:rsid w:val="150D58F1"/>
    <w:rsid w:val="17A37EBE"/>
    <w:rsid w:val="1A113425"/>
    <w:rsid w:val="1E3C047A"/>
    <w:rsid w:val="1E75418D"/>
    <w:rsid w:val="21C26B15"/>
    <w:rsid w:val="2B105885"/>
    <w:rsid w:val="2B2D5626"/>
    <w:rsid w:val="2B4449D8"/>
    <w:rsid w:val="2CAF37E6"/>
    <w:rsid w:val="3371728B"/>
    <w:rsid w:val="360D6F99"/>
    <w:rsid w:val="3A6D2C2F"/>
    <w:rsid w:val="3CEA0EEA"/>
    <w:rsid w:val="41532E7B"/>
    <w:rsid w:val="44625FD4"/>
    <w:rsid w:val="45FD3D0F"/>
    <w:rsid w:val="48A31080"/>
    <w:rsid w:val="4B6363F4"/>
    <w:rsid w:val="4D561F22"/>
    <w:rsid w:val="4FDF015D"/>
    <w:rsid w:val="5268097F"/>
    <w:rsid w:val="52CF0166"/>
    <w:rsid w:val="548427BE"/>
    <w:rsid w:val="58182B05"/>
    <w:rsid w:val="59666895"/>
    <w:rsid w:val="5FCB6008"/>
    <w:rsid w:val="61B96A60"/>
    <w:rsid w:val="657E3CEC"/>
    <w:rsid w:val="6719657F"/>
    <w:rsid w:val="68D04E4C"/>
    <w:rsid w:val="70B84659"/>
    <w:rsid w:val="745D6E00"/>
    <w:rsid w:val="7819429C"/>
    <w:rsid w:val="7A0D57EA"/>
    <w:rsid w:val="7A375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pPr>
    <w:rPr>
      <w:rFonts w:ascii="Arial" w:hAnsi="Arial" w:eastAsiaTheme="minorEastAsia" w:cstheme="minorBidi"/>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587</Words>
  <Characters>3517</Characters>
  <Lines>22</Lines>
  <Paragraphs>6</Paragraphs>
  <TotalTime>1</TotalTime>
  <ScaleCrop>false</ScaleCrop>
  <LinksUpToDate>false</LinksUpToDate>
  <CharactersWithSpaces>3794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2022-09-15T12:08:00Z</dcterms:created>
  <dc:creator>ASUS</dc:creator>
  <cp:lastModifiedBy>Yao Chen</cp:lastModifiedBy>
  <dcterms:modified xsi:type="dcterms:W3CDTF">2023-04-06T09:32:32Z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4ABDA8E27B754E37B3C8310068DAA9BA</vt:lpwstr>
  </property>
</Properties>
</file>