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2E98B" w14:textId="225EBC68" w:rsidR="007C05FD" w:rsidRPr="00380E1F" w:rsidRDefault="007C05FD" w:rsidP="007C05FD">
      <w:pPr>
        <w:spacing w:line="480" w:lineRule="auto"/>
        <w:rPr>
          <w:rFonts w:ascii="Times New Roman" w:hAnsi="Times New Roman" w:cs="Times New Roman"/>
          <w:b/>
          <w:bCs/>
          <w:color w:val="FF00FF"/>
          <w:sz w:val="24"/>
          <w:szCs w:val="24"/>
        </w:rPr>
      </w:pPr>
      <w:r w:rsidRPr="00380E1F">
        <w:rPr>
          <w:rFonts w:ascii="Times New Roman" w:hAnsi="Times New Roman" w:cs="Times New Roman"/>
          <w:b/>
          <w:bCs/>
          <w:color w:val="FF00FF"/>
          <w:sz w:val="24"/>
          <w:szCs w:val="24"/>
        </w:rPr>
        <w:t>Electronic Supplementary Material</w:t>
      </w:r>
    </w:p>
    <w:p w14:paraId="49C223BB" w14:textId="7AFB00DD" w:rsidR="007C05FD" w:rsidRPr="00380E1F" w:rsidRDefault="007C05FD" w:rsidP="007C05FD">
      <w:pPr>
        <w:spacing w:line="480" w:lineRule="auto"/>
        <w:jc w:val="center"/>
        <w:rPr>
          <w:rFonts w:ascii="Times New Roman" w:hAnsi="Times New Roman" w:cs="Times New Roman"/>
          <w:b/>
          <w:sz w:val="24"/>
          <w:szCs w:val="24"/>
        </w:rPr>
      </w:pPr>
      <w:bookmarkStart w:id="0" w:name="_Hlk138244954"/>
      <w:r w:rsidRPr="00380E1F">
        <w:rPr>
          <w:rFonts w:ascii="Times New Roman" w:hAnsi="Times New Roman" w:cs="Times New Roman"/>
          <w:b/>
          <w:sz w:val="24"/>
          <w:szCs w:val="24"/>
        </w:rPr>
        <w:t xml:space="preserve">Effect of </w:t>
      </w:r>
      <w:r w:rsidR="00E564BB" w:rsidRPr="00380E1F">
        <w:rPr>
          <w:rFonts w:ascii="Times New Roman" w:hAnsi="Times New Roman" w:cs="Times New Roman"/>
          <w:b/>
          <w:sz w:val="24"/>
          <w:szCs w:val="24"/>
        </w:rPr>
        <w:t>A</w:t>
      </w:r>
      <w:r w:rsidRPr="00380E1F">
        <w:rPr>
          <w:rFonts w:ascii="Times New Roman" w:hAnsi="Times New Roman" w:cs="Times New Roman"/>
          <w:b/>
          <w:sz w:val="24"/>
          <w:szCs w:val="24"/>
        </w:rPr>
        <w:t xml:space="preserve">tmospheric </w:t>
      </w:r>
      <w:r w:rsidR="00E564BB" w:rsidRPr="00380E1F">
        <w:rPr>
          <w:rFonts w:ascii="Times New Roman" w:hAnsi="Times New Roman" w:cs="Times New Roman"/>
          <w:b/>
          <w:sz w:val="24"/>
          <w:szCs w:val="24"/>
        </w:rPr>
        <w:t>C</w:t>
      </w:r>
      <w:r w:rsidRPr="00380E1F">
        <w:rPr>
          <w:rFonts w:ascii="Times New Roman" w:hAnsi="Times New Roman" w:cs="Times New Roman"/>
          <w:b/>
          <w:sz w:val="24"/>
          <w:szCs w:val="24"/>
        </w:rPr>
        <w:t xml:space="preserve">old </w:t>
      </w:r>
      <w:r w:rsidR="00E564BB" w:rsidRPr="00380E1F">
        <w:rPr>
          <w:rFonts w:ascii="Times New Roman" w:hAnsi="Times New Roman" w:cs="Times New Roman"/>
          <w:b/>
          <w:sz w:val="24"/>
          <w:szCs w:val="24"/>
        </w:rPr>
        <w:t>P</w:t>
      </w:r>
      <w:r w:rsidRPr="00380E1F">
        <w:rPr>
          <w:rFonts w:ascii="Times New Roman" w:hAnsi="Times New Roman" w:cs="Times New Roman"/>
          <w:b/>
          <w:sz w:val="24"/>
          <w:szCs w:val="24"/>
        </w:rPr>
        <w:t xml:space="preserve">lasma (ACP) </w:t>
      </w:r>
      <w:r w:rsidR="00E564BB" w:rsidRPr="00380E1F">
        <w:rPr>
          <w:rFonts w:ascii="Times New Roman" w:hAnsi="Times New Roman" w:cs="Times New Roman"/>
          <w:b/>
          <w:sz w:val="24"/>
          <w:szCs w:val="24"/>
        </w:rPr>
        <w:t>T</w:t>
      </w:r>
      <w:r w:rsidRPr="00380E1F">
        <w:rPr>
          <w:rFonts w:ascii="Times New Roman" w:hAnsi="Times New Roman" w:cs="Times New Roman"/>
          <w:b/>
          <w:sz w:val="24"/>
          <w:szCs w:val="24"/>
        </w:rPr>
        <w:t xml:space="preserve">reatment on </w:t>
      </w:r>
      <w:r w:rsidR="00E564BB" w:rsidRPr="00380E1F">
        <w:rPr>
          <w:rFonts w:ascii="Times New Roman" w:hAnsi="Times New Roman" w:cs="Times New Roman"/>
          <w:b/>
          <w:sz w:val="24"/>
          <w:szCs w:val="24"/>
        </w:rPr>
        <w:t>Z</w:t>
      </w:r>
      <w:r w:rsidRPr="00380E1F">
        <w:rPr>
          <w:rFonts w:ascii="Times New Roman" w:hAnsi="Times New Roman" w:cs="Times New Roman"/>
          <w:b/>
          <w:sz w:val="24"/>
          <w:szCs w:val="24"/>
        </w:rPr>
        <w:t>ein-</w:t>
      </w:r>
      <w:r w:rsidR="00E564BB" w:rsidRPr="00380E1F">
        <w:rPr>
          <w:rFonts w:ascii="Times New Roman" w:hAnsi="Times New Roman" w:cs="Times New Roman"/>
          <w:b/>
          <w:sz w:val="24"/>
          <w:szCs w:val="24"/>
        </w:rPr>
        <w:t>T</w:t>
      </w:r>
      <w:r w:rsidRPr="00380E1F">
        <w:rPr>
          <w:rFonts w:ascii="Times New Roman" w:hAnsi="Times New Roman" w:cs="Times New Roman"/>
          <w:b/>
          <w:sz w:val="24"/>
          <w:szCs w:val="24"/>
        </w:rPr>
        <w:t xml:space="preserve">hymol </w:t>
      </w:r>
      <w:r w:rsidR="00E564BB" w:rsidRPr="00380E1F">
        <w:rPr>
          <w:rFonts w:ascii="Times New Roman" w:hAnsi="Times New Roman" w:cs="Times New Roman"/>
          <w:b/>
          <w:sz w:val="24"/>
          <w:szCs w:val="24"/>
        </w:rPr>
        <w:t>C</w:t>
      </w:r>
      <w:r w:rsidRPr="00380E1F">
        <w:rPr>
          <w:rFonts w:ascii="Times New Roman" w:hAnsi="Times New Roman" w:cs="Times New Roman"/>
          <w:b/>
          <w:sz w:val="24"/>
          <w:szCs w:val="24"/>
        </w:rPr>
        <w:t xml:space="preserve">omposite </w:t>
      </w:r>
      <w:r w:rsidR="00E564BB" w:rsidRPr="00380E1F">
        <w:rPr>
          <w:rFonts w:ascii="Times New Roman" w:hAnsi="Times New Roman" w:cs="Times New Roman"/>
          <w:b/>
          <w:sz w:val="24"/>
          <w:szCs w:val="24"/>
        </w:rPr>
        <w:t>P</w:t>
      </w:r>
      <w:r w:rsidRPr="00380E1F">
        <w:rPr>
          <w:rFonts w:ascii="Times New Roman" w:hAnsi="Times New Roman" w:cs="Times New Roman"/>
          <w:b/>
          <w:sz w:val="24"/>
          <w:szCs w:val="24"/>
        </w:rPr>
        <w:t>articles</w:t>
      </w:r>
      <w:r w:rsidRPr="00380E1F">
        <w:rPr>
          <w:rFonts w:ascii="Times New Roman" w:hAnsi="Times New Roman" w:cs="Times New Roman" w:hint="eastAsia"/>
          <w:b/>
          <w:sz w:val="24"/>
          <w:szCs w:val="24"/>
        </w:rPr>
        <w:t>:</w:t>
      </w:r>
      <w:r w:rsidRPr="00380E1F">
        <w:rPr>
          <w:rFonts w:ascii="Times New Roman" w:hAnsi="Times New Roman" w:cs="Times New Roman"/>
          <w:b/>
          <w:sz w:val="24"/>
          <w:szCs w:val="24"/>
        </w:rPr>
        <w:t xml:space="preserve"> Enhanced </w:t>
      </w:r>
      <w:r w:rsidR="00E564BB" w:rsidRPr="00380E1F">
        <w:rPr>
          <w:rFonts w:ascii="Times New Roman" w:hAnsi="Times New Roman" w:cs="Times New Roman"/>
          <w:b/>
          <w:sz w:val="24"/>
          <w:szCs w:val="24"/>
        </w:rPr>
        <w:t>E</w:t>
      </w:r>
      <w:r w:rsidRPr="00380E1F">
        <w:rPr>
          <w:rFonts w:ascii="Times New Roman" w:hAnsi="Times New Roman" w:cs="Times New Roman"/>
          <w:b/>
          <w:sz w:val="24"/>
          <w:szCs w:val="24"/>
        </w:rPr>
        <w:t xml:space="preserve">ncapsulation </w:t>
      </w:r>
      <w:r w:rsidR="00E564BB" w:rsidRPr="00380E1F">
        <w:rPr>
          <w:rFonts w:ascii="Times New Roman" w:hAnsi="Times New Roman" w:cs="Times New Roman"/>
          <w:b/>
          <w:sz w:val="24"/>
          <w:szCs w:val="24"/>
        </w:rPr>
        <w:t>E</w:t>
      </w:r>
      <w:r w:rsidRPr="00380E1F">
        <w:rPr>
          <w:rFonts w:ascii="Times New Roman" w:hAnsi="Times New Roman" w:cs="Times New Roman"/>
          <w:b/>
          <w:sz w:val="24"/>
          <w:szCs w:val="24"/>
        </w:rPr>
        <w:t>fficiency</w:t>
      </w:r>
    </w:p>
    <w:p w14:paraId="37E19D11" w14:textId="77777777" w:rsidR="007C05FD" w:rsidRPr="00380E1F" w:rsidRDefault="007C05FD" w:rsidP="007C05FD">
      <w:pPr>
        <w:spacing w:line="480" w:lineRule="auto"/>
        <w:jc w:val="center"/>
        <w:rPr>
          <w:rFonts w:ascii="Times New Roman" w:hAnsi="Times New Roman" w:cs="Times New Roman"/>
          <w:sz w:val="24"/>
          <w:szCs w:val="24"/>
        </w:rPr>
      </w:pPr>
      <w:bookmarkStart w:id="1" w:name="_Hlk138244966"/>
      <w:bookmarkEnd w:id="0"/>
      <w:r w:rsidRPr="00380E1F">
        <w:rPr>
          <w:rFonts w:ascii="Times New Roman" w:hAnsi="Times New Roman" w:cs="Times New Roman"/>
          <w:sz w:val="24"/>
          <w:szCs w:val="24"/>
        </w:rPr>
        <w:t>Shuang Dong</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Xiaoyu Li</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T</w:t>
      </w:r>
      <w:r w:rsidRPr="00380E1F">
        <w:rPr>
          <w:rFonts w:ascii="Times New Roman" w:hAnsi="Times New Roman" w:cs="Times New Roman" w:hint="eastAsia"/>
          <w:sz w:val="24"/>
          <w:szCs w:val="24"/>
        </w:rPr>
        <w:t>ian</w:t>
      </w:r>
      <w:r w:rsidRPr="00380E1F">
        <w:rPr>
          <w:rFonts w:ascii="Times New Roman" w:hAnsi="Times New Roman" w:cs="Times New Roman"/>
          <w:sz w:val="24"/>
          <w:szCs w:val="24"/>
        </w:rPr>
        <w:t xml:space="preserve"> Wang</w:t>
      </w:r>
      <w:r w:rsidRPr="00380E1F">
        <w:rPr>
          <w:rFonts w:ascii="Times New Roman" w:hAnsi="Times New Roman" w:cs="Times New Roman"/>
          <w:sz w:val="24"/>
          <w:szCs w:val="24"/>
          <w:vertAlign w:val="superscript"/>
        </w:rPr>
        <w:t>2</w:t>
      </w:r>
      <w:r w:rsidRPr="00380E1F">
        <w:rPr>
          <w:rFonts w:ascii="Times New Roman" w:hAnsi="Times New Roman" w:cs="Times New Roman"/>
          <w:sz w:val="24"/>
          <w:szCs w:val="24"/>
        </w:rPr>
        <w:t xml:space="preserve">, </w:t>
      </w:r>
      <w:proofErr w:type="spellStart"/>
      <w:r w:rsidRPr="00380E1F">
        <w:rPr>
          <w:rFonts w:ascii="Times New Roman" w:hAnsi="Times New Roman" w:cs="Times New Roman"/>
          <w:sz w:val="24"/>
          <w:szCs w:val="24"/>
        </w:rPr>
        <w:t>Yaxiao</w:t>
      </w:r>
      <w:proofErr w:type="spellEnd"/>
      <w:r w:rsidRPr="00380E1F">
        <w:rPr>
          <w:rFonts w:ascii="Times New Roman" w:hAnsi="Times New Roman" w:cs="Times New Roman"/>
          <w:sz w:val="24"/>
          <w:szCs w:val="24"/>
        </w:rPr>
        <w:t xml:space="preserve"> Wang</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xml:space="preserve">, </w:t>
      </w:r>
      <w:proofErr w:type="spellStart"/>
      <w:r w:rsidRPr="00380E1F">
        <w:rPr>
          <w:rFonts w:ascii="Times New Roman" w:hAnsi="Times New Roman" w:cs="Times New Roman"/>
          <w:sz w:val="24"/>
          <w:szCs w:val="24"/>
        </w:rPr>
        <w:t>Ruihong</w:t>
      </w:r>
      <w:proofErr w:type="spellEnd"/>
      <w:r w:rsidRPr="00380E1F">
        <w:rPr>
          <w:rFonts w:ascii="Times New Roman" w:hAnsi="Times New Roman" w:cs="Times New Roman"/>
          <w:sz w:val="24"/>
          <w:szCs w:val="24"/>
        </w:rPr>
        <w:t xml:space="preserve"> Li</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xml:space="preserve">, </w:t>
      </w:r>
      <w:proofErr w:type="spellStart"/>
      <w:r w:rsidRPr="00380E1F">
        <w:rPr>
          <w:rFonts w:ascii="Times New Roman" w:hAnsi="Times New Roman" w:cs="Times New Roman"/>
          <w:sz w:val="24"/>
          <w:szCs w:val="24"/>
        </w:rPr>
        <w:t>Chengtong</w:t>
      </w:r>
      <w:proofErr w:type="spellEnd"/>
      <w:r w:rsidRPr="00380E1F">
        <w:rPr>
          <w:rFonts w:ascii="Times New Roman" w:hAnsi="Times New Roman" w:cs="Times New Roman"/>
          <w:sz w:val="24"/>
          <w:szCs w:val="24"/>
        </w:rPr>
        <w:t xml:space="preserve"> Jing</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An Tu</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Peng Guo</w:t>
      </w:r>
      <w:r w:rsidRPr="00380E1F">
        <w:rPr>
          <w:rFonts w:ascii="Times New Roman" w:hAnsi="Times New Roman" w:cs="Times New Roman"/>
          <w:sz w:val="24"/>
          <w:szCs w:val="24"/>
          <w:vertAlign w:val="superscript"/>
        </w:rPr>
        <w:t>1,3</w:t>
      </w:r>
      <w:r w:rsidRPr="00380E1F">
        <w:rPr>
          <w:rFonts w:ascii="Times New Roman" w:hAnsi="Times New Roman" w:cs="Times New Roman"/>
          <w:sz w:val="24"/>
          <w:szCs w:val="24"/>
        </w:rPr>
        <w:t>*</w:t>
      </w:r>
    </w:p>
    <w:bookmarkEnd w:id="1"/>
    <w:p w14:paraId="4D9C2E80" w14:textId="5944DD9C" w:rsidR="007C05FD" w:rsidRPr="00380E1F" w:rsidRDefault="007C05FD" w:rsidP="007C05FD">
      <w:pPr>
        <w:spacing w:line="480" w:lineRule="auto"/>
        <w:rPr>
          <w:rFonts w:ascii="Times New Roman" w:hAnsi="Times New Roman" w:cs="Times New Roman"/>
          <w:iCs/>
          <w:sz w:val="24"/>
          <w:szCs w:val="24"/>
        </w:rPr>
      </w:pPr>
      <w:r w:rsidRPr="00380E1F">
        <w:rPr>
          <w:rFonts w:ascii="Times New Roman" w:hAnsi="Times New Roman" w:cs="Times New Roman"/>
          <w:iCs/>
          <w:sz w:val="24"/>
          <w:szCs w:val="24"/>
        </w:rPr>
        <w:t xml:space="preserve">1 </w:t>
      </w:r>
      <w:r w:rsidRPr="00380E1F">
        <w:rPr>
          <w:rFonts w:ascii="Times New Roman" w:hAnsi="Times New Roman" w:cs="Times New Roman"/>
          <w:sz w:val="24"/>
          <w:szCs w:val="24"/>
        </w:rPr>
        <w:t xml:space="preserve">School of Agricultural Engineering and Food Science, </w:t>
      </w:r>
      <w:bookmarkStart w:id="2" w:name="OLE_LINK5"/>
      <w:r w:rsidRPr="00380E1F">
        <w:rPr>
          <w:rFonts w:ascii="Times New Roman" w:hAnsi="Times New Roman" w:cs="Times New Roman"/>
          <w:sz w:val="24"/>
          <w:szCs w:val="24"/>
        </w:rPr>
        <w:t>Shandong University of Technology</w:t>
      </w:r>
      <w:bookmarkEnd w:id="2"/>
      <w:r w:rsidRPr="00380E1F">
        <w:rPr>
          <w:rFonts w:ascii="Times New Roman" w:hAnsi="Times New Roman" w:cs="Times New Roman"/>
          <w:sz w:val="24"/>
          <w:szCs w:val="24"/>
        </w:rPr>
        <w:t>, Zibo 255000, China</w:t>
      </w:r>
      <w:r w:rsidR="00931A4E" w:rsidRPr="00380E1F">
        <w:rPr>
          <w:rFonts w:ascii="Times New Roman" w:hAnsi="Times New Roman" w:cs="Times New Roman"/>
          <w:sz w:val="24"/>
          <w:szCs w:val="24"/>
        </w:rPr>
        <w:t xml:space="preserve">; </w:t>
      </w:r>
      <w:r w:rsidRPr="00380E1F">
        <w:rPr>
          <w:rFonts w:ascii="Times New Roman" w:hAnsi="Times New Roman" w:cs="Times New Roman" w:hint="eastAsia"/>
          <w:iCs/>
          <w:sz w:val="24"/>
          <w:szCs w:val="24"/>
        </w:rPr>
        <w:t>2</w:t>
      </w:r>
      <w:r w:rsidRPr="00380E1F">
        <w:rPr>
          <w:rFonts w:ascii="Times New Roman" w:hAnsi="Times New Roman" w:cs="Times New Roman"/>
          <w:iCs/>
          <w:sz w:val="24"/>
          <w:szCs w:val="24"/>
        </w:rPr>
        <w:t xml:space="preserve"> </w:t>
      </w:r>
      <w:r w:rsidRPr="00380E1F">
        <w:rPr>
          <w:rFonts w:ascii="Times New Roman" w:hAnsi="Times New Roman" w:cs="Times New Roman"/>
          <w:sz w:val="24"/>
          <w:szCs w:val="24"/>
        </w:rPr>
        <w:t>Department of Radiology, Zibo Central Hospital, Zibo 255020, China</w:t>
      </w:r>
      <w:r w:rsidR="00931A4E" w:rsidRPr="00380E1F">
        <w:rPr>
          <w:rFonts w:ascii="Times New Roman" w:hAnsi="Times New Roman" w:cs="Times New Roman"/>
          <w:sz w:val="24"/>
          <w:szCs w:val="24"/>
        </w:rPr>
        <w:t xml:space="preserve">; </w:t>
      </w:r>
      <w:r w:rsidRPr="00380E1F">
        <w:rPr>
          <w:rFonts w:ascii="Times New Roman" w:hAnsi="Times New Roman" w:cs="Times New Roman" w:hint="eastAsia"/>
          <w:iCs/>
          <w:sz w:val="24"/>
          <w:szCs w:val="24"/>
        </w:rPr>
        <w:t>3</w:t>
      </w:r>
      <w:r w:rsidRPr="00380E1F">
        <w:rPr>
          <w:rFonts w:ascii="Times New Roman" w:hAnsi="Times New Roman" w:cs="Times New Roman"/>
          <w:iCs/>
          <w:sz w:val="24"/>
          <w:szCs w:val="24"/>
        </w:rPr>
        <w:t xml:space="preserve"> Shandong </w:t>
      </w:r>
      <w:proofErr w:type="spellStart"/>
      <w:r w:rsidRPr="00380E1F">
        <w:rPr>
          <w:rFonts w:ascii="Times New Roman" w:hAnsi="Times New Roman" w:cs="Times New Roman"/>
          <w:iCs/>
          <w:sz w:val="24"/>
          <w:szCs w:val="24"/>
        </w:rPr>
        <w:t>Bandaojing</w:t>
      </w:r>
      <w:proofErr w:type="spellEnd"/>
      <w:r w:rsidRPr="00380E1F">
        <w:rPr>
          <w:rFonts w:ascii="Times New Roman" w:hAnsi="Times New Roman" w:cs="Times New Roman"/>
          <w:iCs/>
          <w:sz w:val="24"/>
          <w:szCs w:val="24"/>
        </w:rPr>
        <w:t xml:space="preserve"> Shares Co, Ltd, Zibo 256399, China</w:t>
      </w:r>
    </w:p>
    <w:p w14:paraId="37565D39" w14:textId="3E724B35" w:rsidR="007C05FD" w:rsidRPr="00380E1F" w:rsidRDefault="007C05FD" w:rsidP="007C05FD">
      <w:pPr>
        <w:adjustRightInd w:val="0"/>
        <w:snapToGrid w:val="0"/>
        <w:spacing w:line="480" w:lineRule="auto"/>
        <w:rPr>
          <w:rFonts w:ascii="Times New Roman" w:hAnsi="Times New Roman" w:cs="Times New Roman"/>
          <w:b/>
          <w:bCs/>
          <w:sz w:val="24"/>
          <w:szCs w:val="24"/>
        </w:rPr>
      </w:pPr>
    </w:p>
    <w:p w14:paraId="5BE9E6C5" w14:textId="41BC0DD7" w:rsidR="007C05FD" w:rsidRPr="00380E1F" w:rsidRDefault="007C05FD"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Materials and Methods</w:t>
      </w:r>
    </w:p>
    <w:p w14:paraId="0B37EE1F" w14:textId="56D8F2DD"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Materials</w:t>
      </w:r>
    </w:p>
    <w:p w14:paraId="7BB6D314"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 xml:space="preserve">Zein (purity of 92.8%) was purchased from </w:t>
      </w:r>
      <w:proofErr w:type="spellStart"/>
      <w:r w:rsidRPr="00380E1F">
        <w:rPr>
          <w:rFonts w:ascii="Times New Roman" w:hAnsi="Times New Roman" w:cs="Times New Roman"/>
          <w:sz w:val="24"/>
          <w:szCs w:val="24"/>
        </w:rPr>
        <w:t>Rixing</w:t>
      </w:r>
      <w:proofErr w:type="spellEnd"/>
      <w:r w:rsidRPr="00380E1F">
        <w:rPr>
          <w:rFonts w:ascii="Times New Roman" w:hAnsi="Times New Roman" w:cs="Times New Roman"/>
          <w:sz w:val="24"/>
          <w:szCs w:val="24"/>
        </w:rPr>
        <w:t xml:space="preserve"> Pharmaceutical Co., Ltd. (</w:t>
      </w:r>
      <w:proofErr w:type="spellStart"/>
      <w:r w:rsidRPr="00380E1F">
        <w:rPr>
          <w:rFonts w:ascii="Times New Roman" w:hAnsi="Times New Roman" w:cs="Times New Roman"/>
          <w:sz w:val="24"/>
          <w:szCs w:val="24"/>
        </w:rPr>
        <w:t>Gaoyou</w:t>
      </w:r>
      <w:proofErr w:type="spellEnd"/>
      <w:r w:rsidRPr="00380E1F">
        <w:rPr>
          <w:rFonts w:ascii="Times New Roman" w:hAnsi="Times New Roman" w:cs="Times New Roman"/>
          <w:sz w:val="24"/>
          <w:szCs w:val="24"/>
        </w:rPr>
        <w:t xml:space="preserve">, China). Thymol was purchased from Shanghai Macklin Biochemical Technology Co., Ltd. (Shanghai, China). 1-phenylamino-8-naphthalate (ANS) was purchased from Shanghai </w:t>
      </w:r>
      <w:proofErr w:type="spellStart"/>
      <w:r w:rsidRPr="00380E1F">
        <w:rPr>
          <w:rFonts w:ascii="Times New Roman" w:hAnsi="Times New Roman" w:cs="Times New Roman"/>
          <w:sz w:val="24"/>
          <w:szCs w:val="24"/>
        </w:rPr>
        <w:t>Yuanye</w:t>
      </w:r>
      <w:proofErr w:type="spellEnd"/>
      <w:r w:rsidRPr="00380E1F">
        <w:rPr>
          <w:rFonts w:ascii="Times New Roman" w:hAnsi="Times New Roman" w:cs="Times New Roman"/>
          <w:sz w:val="24"/>
          <w:szCs w:val="24"/>
        </w:rPr>
        <w:t xml:space="preserve"> Biochemical Technology Co., Ltd. (Shanghai, China). Total sulfhydryl kit was purchased from </w:t>
      </w:r>
      <w:proofErr w:type="spellStart"/>
      <w:r w:rsidRPr="00380E1F">
        <w:rPr>
          <w:rFonts w:ascii="Times New Roman" w:hAnsi="Times New Roman" w:cs="Times New Roman"/>
          <w:sz w:val="24"/>
          <w:szCs w:val="24"/>
        </w:rPr>
        <w:t>Solarbio</w:t>
      </w:r>
      <w:proofErr w:type="spellEnd"/>
      <w:r w:rsidRPr="00380E1F">
        <w:rPr>
          <w:rFonts w:ascii="Times New Roman" w:hAnsi="Times New Roman" w:cs="Times New Roman"/>
          <w:sz w:val="24"/>
          <w:szCs w:val="24"/>
        </w:rPr>
        <w:t xml:space="preserve"> Science &amp; Technology Co., Ltd. (</w:t>
      </w:r>
      <w:proofErr w:type="spellStart"/>
      <w:r w:rsidRPr="00380E1F">
        <w:rPr>
          <w:rFonts w:ascii="Times New Roman" w:hAnsi="Times New Roman" w:cs="Times New Roman"/>
          <w:sz w:val="24"/>
          <w:szCs w:val="24"/>
        </w:rPr>
        <w:t>Bejing</w:t>
      </w:r>
      <w:proofErr w:type="spellEnd"/>
      <w:r w:rsidRPr="00380E1F">
        <w:rPr>
          <w:rFonts w:ascii="Times New Roman" w:hAnsi="Times New Roman" w:cs="Times New Roman"/>
          <w:sz w:val="24"/>
          <w:szCs w:val="24"/>
        </w:rPr>
        <w:t xml:space="preserve">, China). Absolute ethanol and other chemical reagents were of analytical grade. </w:t>
      </w:r>
    </w:p>
    <w:p w14:paraId="2FCCB2D5" w14:textId="5EFFD9CC"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ACP pretreatment and composite particle preparation</w:t>
      </w:r>
    </w:p>
    <w:p w14:paraId="5AF565ED" w14:textId="77777777" w:rsidR="009A478A" w:rsidRPr="00380E1F" w:rsidRDefault="009A478A" w:rsidP="009A478A">
      <w:pPr>
        <w:spacing w:line="480" w:lineRule="auto"/>
        <w:ind w:firstLine="240"/>
        <w:rPr>
          <w:rFonts w:ascii="Times New Roman" w:hAnsi="Times New Roman" w:cs="Times New Roman"/>
          <w:sz w:val="24"/>
          <w:szCs w:val="24"/>
        </w:rPr>
      </w:pPr>
      <w:r w:rsidRPr="00380E1F">
        <w:rPr>
          <w:rFonts w:ascii="Times New Roman" w:hAnsi="Times New Roman" w:cs="Times New Roman"/>
          <w:sz w:val="24"/>
          <w:szCs w:val="24"/>
        </w:rPr>
        <w:t xml:space="preserve">ACP modification was conducted on the mixture of zein and thymol prior to prepare zein-thymol composite particles </w:t>
      </w:r>
      <w:bookmarkStart w:id="3" w:name="_Hlk104935832"/>
      <w:r w:rsidRPr="00380E1F">
        <w:rPr>
          <w:rFonts w:ascii="Times New Roman" w:hAnsi="Times New Roman" w:cs="Times New Roman"/>
          <w:sz w:val="24"/>
          <w:szCs w:val="24"/>
        </w:rPr>
        <w:t>by anti-solvent method</w:t>
      </w:r>
      <w:bookmarkEnd w:id="3"/>
      <w:r w:rsidRPr="00380E1F">
        <w:rPr>
          <w:rFonts w:ascii="Times New Roman" w:hAnsi="Times New Roman" w:cs="Times New Roman"/>
          <w:sz w:val="24"/>
          <w:szCs w:val="24"/>
        </w:rPr>
        <w:t xml:space="preserve"> described by Yang et al </w:t>
      </w:r>
      <w:r w:rsidRPr="00380E1F">
        <w:rPr>
          <w:rFonts w:ascii="Times New Roman" w:hAnsi="Times New Roman" w:cs="Times New Roman"/>
          <w:kern w:val="0"/>
          <w:sz w:val="24"/>
          <w:szCs w:val="24"/>
        </w:rPr>
        <w:t>[1]</w:t>
      </w:r>
      <w:r w:rsidRPr="00380E1F">
        <w:rPr>
          <w:rFonts w:ascii="Times New Roman" w:hAnsi="Times New Roman" w:cs="Times New Roman"/>
          <w:sz w:val="24"/>
          <w:szCs w:val="24"/>
        </w:rPr>
        <w:t>, as the scheme shown in Fig. 1.</w:t>
      </w:r>
    </w:p>
    <w:p w14:paraId="1354190E" w14:textId="77777777" w:rsidR="009A478A" w:rsidRPr="00380E1F" w:rsidRDefault="009A478A" w:rsidP="009A478A">
      <w:pPr>
        <w:spacing w:line="480" w:lineRule="auto"/>
        <w:ind w:firstLine="240"/>
        <w:rPr>
          <w:rFonts w:ascii="Times New Roman" w:hAnsi="Times New Roman" w:cs="Times New Roman"/>
          <w:sz w:val="24"/>
          <w:szCs w:val="24"/>
        </w:rPr>
      </w:pPr>
      <w:r w:rsidRPr="00380E1F">
        <w:rPr>
          <w:rFonts w:ascii="Times New Roman" w:hAnsi="Times New Roman" w:cs="Times New Roman"/>
          <w:sz w:val="24"/>
          <w:szCs w:val="24"/>
        </w:rPr>
        <w:t>Certain amounts of zein powders were dissolved in</w:t>
      </w:r>
      <w:bookmarkStart w:id="4" w:name="_Hlk119077600"/>
      <w:r w:rsidRPr="00380E1F">
        <w:rPr>
          <w:rFonts w:ascii="Times New Roman" w:hAnsi="Times New Roman" w:cs="Times New Roman"/>
          <w:sz w:val="24"/>
          <w:szCs w:val="24"/>
        </w:rPr>
        <w:t xml:space="preserve"> ethanol solution </w:t>
      </w:r>
      <w:bookmarkEnd w:id="4"/>
      <w:r w:rsidRPr="00380E1F">
        <w:rPr>
          <w:rFonts w:ascii="Times New Roman" w:hAnsi="Times New Roman" w:cs="Times New Roman"/>
          <w:sz w:val="24"/>
          <w:szCs w:val="24"/>
        </w:rPr>
        <w:t xml:space="preserve">(80%, v/v) to </w:t>
      </w:r>
      <w:r w:rsidRPr="00380E1F">
        <w:rPr>
          <w:rFonts w:ascii="Times New Roman" w:hAnsi="Times New Roman" w:cs="Times New Roman"/>
          <w:sz w:val="24"/>
          <w:szCs w:val="24"/>
        </w:rPr>
        <w:lastRenderedPageBreak/>
        <w:t xml:space="preserve">obtain zein solution (2.0%, w/v). Thymol was weighed and added into zein solution (Zein: thymol = 20:1, w/w, dry basis), and then magnetically stirred for 30 min for further use. The mixed solution (8 mL) was poured into a quartz glass vessel (inner diameter = 50 mm) and subjected to plasma treatment using a DBD-CTP 2000K plasma reactor (Nanjing Suman Electronics Co. Ltd., China). The diameter of the circular dielectric quartz electrode was 3 cm with discharge gap of 8 mm. ACP treatment was conducted at discharge </w:t>
      </w:r>
      <w:r w:rsidRPr="00380E1F">
        <w:rPr>
          <w:rFonts w:ascii="Times New Roman" w:hAnsi="Times New Roman" w:cs="Times New Roman" w:hint="eastAsia"/>
          <w:sz w:val="24"/>
          <w:szCs w:val="24"/>
        </w:rPr>
        <w:t>p</w:t>
      </w:r>
      <w:r w:rsidRPr="00380E1F">
        <w:rPr>
          <w:rFonts w:ascii="Times New Roman" w:hAnsi="Times New Roman" w:cs="Times New Roman"/>
          <w:sz w:val="24"/>
          <w:szCs w:val="24"/>
        </w:rPr>
        <w:t xml:space="preserve">ower of 45, 50, 60, 70 and 80 W, respectively, at fixed current (1.0±0.1 A) for 40 s. </w:t>
      </w:r>
    </w:p>
    <w:p w14:paraId="1C51ED67"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After treatment, mixed solution was injected into deionized water at a speed of 1.2 mL/min through a constant current pump (HL-2, Huxi Analytical Instrument Co., Ltd., Shanghai, China). The resultant mixture containing composite particles was vacuum evaporated at 40°C for 15 min, and then centrifuged at 1000</w:t>
      </w:r>
      <w:bookmarkStart w:id="5" w:name="OLE_LINK6"/>
      <w:r w:rsidRPr="00380E1F">
        <w:rPr>
          <w:rFonts w:ascii="Times New Roman" w:hAnsi="Times New Roman" w:cs="Times New Roman"/>
          <w:sz w:val="24"/>
          <w:szCs w:val="24"/>
        </w:rPr>
        <w:t>×</w:t>
      </w:r>
      <w:bookmarkEnd w:id="5"/>
      <w:r w:rsidRPr="00380E1F">
        <w:rPr>
          <w:rFonts w:ascii="Times New Roman" w:hAnsi="Times New Roman" w:cs="Times New Roman"/>
          <w:sz w:val="24"/>
          <w:szCs w:val="24"/>
        </w:rPr>
        <w:t>g for 5 min to obtain the supernatant. The supernatant containing composite particles was further freeze-dried for 48 h to obtain dispersed zein-thymol (ZT) composite particles.</w:t>
      </w:r>
    </w:p>
    <w:p w14:paraId="0E0D4E8E" w14:textId="185360A5"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Encapsulation efficiency (EE)</w:t>
      </w:r>
    </w:p>
    <w:p w14:paraId="2F8B51AA" w14:textId="77777777" w:rsidR="009A478A" w:rsidRPr="00380E1F" w:rsidRDefault="009A478A" w:rsidP="009A478A">
      <w:pPr>
        <w:spacing w:line="480" w:lineRule="auto"/>
        <w:ind w:firstLine="240"/>
        <w:rPr>
          <w:rFonts w:ascii="Times New Roman" w:hAnsi="Times New Roman" w:cs="Times New Roman"/>
          <w:sz w:val="24"/>
          <w:szCs w:val="24"/>
        </w:rPr>
      </w:pPr>
      <w:r w:rsidRPr="00380E1F">
        <w:rPr>
          <w:rFonts w:ascii="Times New Roman" w:hAnsi="Times New Roman" w:cs="Times New Roman"/>
          <w:sz w:val="24"/>
          <w:szCs w:val="24"/>
        </w:rPr>
        <w:t>Solutions containing</w:t>
      </w:r>
      <w:bookmarkStart w:id="6" w:name="OLE_LINK3"/>
      <w:r w:rsidRPr="00380E1F">
        <w:rPr>
          <w:rFonts w:ascii="Times New Roman" w:hAnsi="Times New Roman" w:cs="Times New Roman"/>
          <w:sz w:val="24"/>
          <w:szCs w:val="24"/>
        </w:rPr>
        <w:t xml:space="preserve"> composite particles</w:t>
      </w:r>
      <w:bookmarkEnd w:id="6"/>
      <w:r w:rsidRPr="00380E1F">
        <w:rPr>
          <w:rFonts w:ascii="Times New Roman" w:hAnsi="Times New Roman" w:cs="Times New Roman"/>
          <w:sz w:val="24"/>
          <w:szCs w:val="24"/>
        </w:rPr>
        <w:t xml:space="preserve"> (1 mg/mL, w/v, dry basis) was obtained by dissolving the lyophilized powders in absolute ethanol. The suspension was gently mixed for 1 min and then stand for 30 min at room temperature (25℃). The absorbance of the free thymol was determined, and the content of thymol was calculated according to the standard curve (regression equation: y=0.0055x+0.0765, R</w:t>
      </w:r>
      <w:r w:rsidRPr="00380E1F">
        <w:rPr>
          <w:rFonts w:ascii="Times New Roman" w:hAnsi="Times New Roman" w:cs="Times New Roman"/>
          <w:sz w:val="24"/>
          <w:szCs w:val="24"/>
          <w:vertAlign w:val="superscript"/>
        </w:rPr>
        <w:t>2</w:t>
      </w:r>
      <w:r w:rsidRPr="00380E1F">
        <w:rPr>
          <w:rFonts w:ascii="Times New Roman" w:hAnsi="Times New Roman" w:cs="Times New Roman"/>
          <w:sz w:val="24"/>
          <w:szCs w:val="24"/>
        </w:rPr>
        <w:t xml:space="preserve">=0.9989), denoted as </w:t>
      </w:r>
      <w:r w:rsidRPr="00380E1F">
        <w:rPr>
          <w:rFonts w:ascii="Times New Roman" w:hAnsi="Times New Roman" w:cs="Times New Roman"/>
          <w:i/>
          <w:iCs/>
          <w:sz w:val="24"/>
          <w:szCs w:val="24"/>
        </w:rPr>
        <w:t>W</w:t>
      </w:r>
      <w:r w:rsidRPr="00380E1F">
        <w:rPr>
          <w:rFonts w:ascii="Times New Roman" w:hAnsi="Times New Roman" w:cs="Times New Roman"/>
          <w:sz w:val="24"/>
          <w:szCs w:val="24"/>
          <w:vertAlign w:val="subscript"/>
        </w:rPr>
        <w:t>1</w:t>
      </w:r>
      <w:r w:rsidRPr="00380E1F">
        <w:rPr>
          <w:rFonts w:ascii="Times New Roman" w:hAnsi="Times New Roman" w:cs="Times New Roman"/>
          <w:sz w:val="24"/>
          <w:szCs w:val="24"/>
        </w:rPr>
        <w:t xml:space="preserve">. Then, the thymol was completely extracted by ultrasonic treatment (60 W) for 30 min at room temperature (25℃). The extract was centrifuged at </w:t>
      </w:r>
      <w:bookmarkStart w:id="7" w:name="OLE_LINK4"/>
      <w:r w:rsidRPr="00380E1F">
        <w:rPr>
          <w:rFonts w:ascii="Times New Roman" w:hAnsi="Times New Roman" w:cs="Times New Roman"/>
          <w:sz w:val="24"/>
          <w:szCs w:val="24"/>
        </w:rPr>
        <w:t>3000×g</w:t>
      </w:r>
      <w:bookmarkEnd w:id="7"/>
      <w:r w:rsidRPr="00380E1F">
        <w:rPr>
          <w:rFonts w:ascii="Times New Roman" w:hAnsi="Times New Roman" w:cs="Times New Roman"/>
          <w:sz w:val="24"/>
          <w:szCs w:val="24"/>
        </w:rPr>
        <w:t xml:space="preserve"> for 10 min, and </w:t>
      </w:r>
      <w:r w:rsidRPr="00380E1F">
        <w:rPr>
          <w:rFonts w:ascii="Times New Roman" w:hAnsi="Times New Roman" w:cs="Times New Roman"/>
          <w:sz w:val="24"/>
          <w:szCs w:val="24"/>
        </w:rPr>
        <w:lastRenderedPageBreak/>
        <w:t xml:space="preserve">the absorbance was measured to calculate the total thymol content, denoted as </w:t>
      </w:r>
      <w:r w:rsidRPr="00380E1F">
        <w:rPr>
          <w:rFonts w:ascii="Times New Roman" w:hAnsi="Times New Roman" w:cs="Times New Roman"/>
          <w:i/>
          <w:iCs/>
          <w:sz w:val="24"/>
          <w:szCs w:val="24"/>
        </w:rPr>
        <w:t>W</w:t>
      </w:r>
      <w:r w:rsidRPr="00380E1F">
        <w:rPr>
          <w:rFonts w:ascii="Times New Roman" w:hAnsi="Times New Roman" w:cs="Times New Roman"/>
          <w:sz w:val="24"/>
          <w:szCs w:val="24"/>
          <w:vertAlign w:val="subscript"/>
        </w:rPr>
        <w:t>2</w:t>
      </w:r>
      <w:r w:rsidRPr="00380E1F">
        <w:rPr>
          <w:rFonts w:ascii="Times New Roman" w:hAnsi="Times New Roman" w:cs="Times New Roman"/>
          <w:sz w:val="24"/>
          <w:szCs w:val="24"/>
        </w:rPr>
        <w:t xml:space="preserve">. The encapsulation efficiency of composite particles was calculated according to the following formula </w:t>
      </w:r>
      <w:r w:rsidRPr="00380E1F">
        <w:rPr>
          <w:rFonts w:ascii="Times New Roman" w:hAnsi="Times New Roman" w:cs="Times New Roman"/>
          <w:kern w:val="0"/>
          <w:sz w:val="24"/>
          <w:szCs w:val="24"/>
        </w:rPr>
        <w:t>[2]</w:t>
      </w:r>
      <w:r w:rsidRPr="00380E1F">
        <w:rPr>
          <w:rFonts w:ascii="Times New Roman" w:hAnsi="Times New Roman" w:cs="Times New Roman"/>
          <w:sz w:val="24"/>
          <w:szCs w:val="24"/>
        </w:rPr>
        <w:t>:</w:t>
      </w:r>
    </w:p>
    <w:p w14:paraId="0EC8A374" w14:textId="77777777" w:rsidR="009A478A" w:rsidRPr="00380E1F" w:rsidRDefault="009A478A" w:rsidP="009A478A">
      <w:pPr>
        <w:spacing w:line="480" w:lineRule="auto"/>
        <w:ind w:firstLineChars="100" w:firstLine="240"/>
        <w:jc w:val="center"/>
        <w:rPr>
          <w:rFonts w:ascii="Times New Roman" w:hAnsi="Times New Roman" w:cs="Times New Roman"/>
          <w:sz w:val="24"/>
          <w:szCs w:val="24"/>
        </w:rPr>
      </w:pPr>
      <m:oMath>
        <m:r>
          <m:rPr>
            <m:sty m:val="p"/>
          </m:rPr>
          <w:rPr>
            <w:rFonts w:ascii="Cambria Math" w:hAnsi="Cambria Math" w:cs="Times New Roman"/>
            <w:sz w:val="24"/>
            <w:szCs w:val="24"/>
          </w:rPr>
          <m:t>Encapsulation Efficiency=(</m:t>
        </m:r>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2</m:t>
            </m:r>
          </m:sub>
        </m:sSub>
        <m:r>
          <w:rPr>
            <w:rFonts w:ascii="Cambria Math" w:hAnsi="Cambria Math" w:cs="Times New Roman"/>
            <w:sz w:val="24"/>
            <w:szCs w:val="24"/>
          </w:rPr>
          <m:t>×100%</m:t>
        </m:r>
      </m:oMath>
      <w:r w:rsidRPr="00380E1F">
        <w:rPr>
          <w:rFonts w:ascii="Times New Roman" w:hAnsi="Times New Roman" w:cs="Times New Roman"/>
          <w:sz w:val="24"/>
          <w:szCs w:val="24"/>
        </w:rPr>
        <w:t xml:space="preserve">    (1)</w:t>
      </w:r>
    </w:p>
    <w:p w14:paraId="42335190" w14:textId="77777777" w:rsidR="009A478A" w:rsidRPr="00380E1F" w:rsidRDefault="009A478A" w:rsidP="009A478A">
      <w:pPr>
        <w:spacing w:line="480" w:lineRule="auto"/>
        <w:ind w:firstLine="240"/>
        <w:rPr>
          <w:rFonts w:ascii="Times New Roman" w:hAnsi="Times New Roman" w:cs="Times New Roman"/>
          <w:sz w:val="24"/>
          <w:szCs w:val="24"/>
        </w:rPr>
      </w:pPr>
      <w:r w:rsidRPr="00380E1F">
        <w:rPr>
          <w:rFonts w:ascii="Times New Roman" w:hAnsi="Times New Roman" w:cs="Times New Roman"/>
          <w:sz w:val="24"/>
          <w:szCs w:val="24"/>
        </w:rPr>
        <w:t xml:space="preserve">Where </w:t>
      </w:r>
      <w:r w:rsidRPr="00380E1F">
        <w:rPr>
          <w:rFonts w:ascii="Times New Roman" w:hAnsi="Times New Roman" w:cs="Times New Roman"/>
          <w:i/>
          <w:sz w:val="24"/>
          <w:szCs w:val="24"/>
        </w:rPr>
        <w:t>W</w:t>
      </w:r>
      <w:r w:rsidRPr="00380E1F">
        <w:rPr>
          <w:rFonts w:ascii="Times New Roman" w:hAnsi="Times New Roman" w:cs="Times New Roman"/>
          <w:iCs/>
          <w:sz w:val="24"/>
          <w:szCs w:val="24"/>
          <w:vertAlign w:val="subscript"/>
        </w:rPr>
        <w:t>1</w:t>
      </w:r>
      <w:r w:rsidRPr="00380E1F">
        <w:rPr>
          <w:rFonts w:ascii="Times New Roman" w:hAnsi="Times New Roman" w:cs="Times New Roman"/>
          <w:sz w:val="24"/>
          <w:szCs w:val="24"/>
        </w:rPr>
        <w:t xml:space="preserve"> is the content of free thymol (</w:t>
      </w:r>
      <w:proofErr w:type="spellStart"/>
      <w:r w:rsidRPr="00380E1F">
        <w:rPr>
          <w:rFonts w:ascii="Times New Roman" w:hAnsi="Times New Roman" w:cs="Times New Roman"/>
          <w:sz w:val="24"/>
          <w:szCs w:val="24"/>
        </w:rPr>
        <w:t>μg</w:t>
      </w:r>
      <w:proofErr w:type="spellEnd"/>
      <w:r w:rsidRPr="00380E1F">
        <w:rPr>
          <w:rFonts w:ascii="Times New Roman" w:hAnsi="Times New Roman" w:cs="Times New Roman"/>
          <w:sz w:val="24"/>
          <w:szCs w:val="24"/>
        </w:rPr>
        <w:t xml:space="preserve">), </w:t>
      </w:r>
      <w:r w:rsidRPr="00380E1F">
        <w:rPr>
          <w:rFonts w:ascii="Times New Roman" w:hAnsi="Times New Roman" w:cs="Times New Roman"/>
          <w:i/>
          <w:sz w:val="24"/>
          <w:szCs w:val="24"/>
        </w:rPr>
        <w:t>W</w:t>
      </w:r>
      <w:r w:rsidRPr="00380E1F">
        <w:rPr>
          <w:rFonts w:ascii="Times New Roman" w:hAnsi="Times New Roman" w:cs="Times New Roman"/>
          <w:iCs/>
          <w:sz w:val="24"/>
          <w:szCs w:val="24"/>
          <w:vertAlign w:val="subscript"/>
        </w:rPr>
        <w:t>2</w:t>
      </w:r>
      <w:r w:rsidRPr="00380E1F">
        <w:rPr>
          <w:rFonts w:ascii="Times New Roman" w:hAnsi="Times New Roman" w:cs="Times New Roman"/>
          <w:sz w:val="24"/>
          <w:szCs w:val="24"/>
        </w:rPr>
        <w:t xml:space="preserve"> is the total thymol content (</w:t>
      </w:r>
      <w:proofErr w:type="spellStart"/>
      <w:r w:rsidRPr="00380E1F">
        <w:rPr>
          <w:rFonts w:ascii="Times New Roman" w:hAnsi="Times New Roman" w:cs="Times New Roman"/>
          <w:sz w:val="24"/>
          <w:szCs w:val="24"/>
        </w:rPr>
        <w:t>μg</w:t>
      </w:r>
      <w:proofErr w:type="spellEnd"/>
      <w:r w:rsidRPr="00380E1F">
        <w:rPr>
          <w:rFonts w:ascii="Times New Roman" w:hAnsi="Times New Roman" w:cs="Times New Roman"/>
          <w:sz w:val="24"/>
          <w:szCs w:val="24"/>
        </w:rPr>
        <w:t>), m is the total mass of ZT composite particles (</w:t>
      </w:r>
      <w:proofErr w:type="spellStart"/>
      <w:r w:rsidRPr="00380E1F">
        <w:rPr>
          <w:rFonts w:ascii="Times New Roman" w:hAnsi="Times New Roman" w:cs="Times New Roman"/>
          <w:sz w:val="24"/>
          <w:szCs w:val="24"/>
        </w:rPr>
        <w:t>μg</w:t>
      </w:r>
      <w:proofErr w:type="spellEnd"/>
      <w:r w:rsidRPr="00380E1F">
        <w:rPr>
          <w:rFonts w:ascii="Times New Roman" w:hAnsi="Times New Roman" w:cs="Times New Roman"/>
          <w:sz w:val="24"/>
          <w:szCs w:val="24"/>
        </w:rPr>
        <w:t>).</w:t>
      </w:r>
    </w:p>
    <w:p w14:paraId="45CCD289" w14:textId="51AF653E"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Particle size, Zeta potential and conductivity measurement</w:t>
      </w:r>
    </w:p>
    <w:p w14:paraId="5DB5A7B6"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Z-</w:t>
      </w:r>
      <w:r w:rsidRPr="00380E1F">
        <w:rPr>
          <w:rFonts w:ascii="Times New Roman" w:hAnsi="Times New Roman" w:cs="Times New Roman"/>
          <w:sz w:val="24"/>
          <w:szCs w:val="24"/>
          <w:vertAlign w:val="subscript"/>
        </w:rPr>
        <w:t>Average</w:t>
      </w:r>
      <w:r w:rsidRPr="00380E1F">
        <w:rPr>
          <w:rFonts w:ascii="Times New Roman" w:hAnsi="Times New Roman" w:cs="Times New Roman"/>
          <w:sz w:val="24"/>
          <w:szCs w:val="24"/>
        </w:rPr>
        <w:t xml:space="preserve"> particle size, Zeta potential and conductivity of ZT composite particles were determined by a laser nanoparticle size analyzer (</w:t>
      </w:r>
      <w:proofErr w:type="spellStart"/>
      <w:r w:rsidRPr="00380E1F">
        <w:rPr>
          <w:rFonts w:ascii="Times New Roman" w:hAnsi="Times New Roman" w:cs="Times New Roman"/>
          <w:sz w:val="24"/>
          <w:szCs w:val="24"/>
        </w:rPr>
        <w:t>BeNano</w:t>
      </w:r>
      <w:proofErr w:type="spellEnd"/>
      <w:r w:rsidRPr="00380E1F">
        <w:rPr>
          <w:rFonts w:ascii="Times New Roman" w:hAnsi="Times New Roman" w:cs="Times New Roman"/>
          <w:sz w:val="24"/>
          <w:szCs w:val="24"/>
        </w:rPr>
        <w:t xml:space="preserve"> 90 Zeta, Dandong </w:t>
      </w:r>
      <w:proofErr w:type="spellStart"/>
      <w:r w:rsidRPr="00380E1F">
        <w:rPr>
          <w:rFonts w:ascii="Times New Roman" w:hAnsi="Times New Roman" w:cs="Times New Roman"/>
          <w:sz w:val="24"/>
          <w:szCs w:val="24"/>
        </w:rPr>
        <w:t>Baite</w:t>
      </w:r>
      <w:proofErr w:type="spellEnd"/>
      <w:r w:rsidRPr="00380E1F">
        <w:rPr>
          <w:rFonts w:ascii="Times New Roman" w:hAnsi="Times New Roman" w:cs="Times New Roman"/>
          <w:sz w:val="24"/>
          <w:szCs w:val="24"/>
        </w:rPr>
        <w:t xml:space="preserve"> Co., Ltd., China). The measurement conditions were as follows: particle diameter detection angle 90°, Zeta potential detection wavelength 671 nm. </w:t>
      </w:r>
    </w:p>
    <w:p w14:paraId="1CEFD812" w14:textId="50CBEA6B"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Scanning electron microscopy (SEM)</w:t>
      </w:r>
    </w:p>
    <w:p w14:paraId="3840F40B"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The ZT composite particle solutions (0.4%, w/v) were prepared and added dropwise on the silicon wafer, followed by dried naturally at room temperature. Silicon wafer was fixed on the sample table with conductive adhesive. The sample was sprayed with gold twice and then observed using a field emission scanning electron microscope (Quanta200F, FEI USA).</w:t>
      </w:r>
    </w:p>
    <w:p w14:paraId="2EDF2B1B" w14:textId="39ECDE1E"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Fourier transform infrared spectroscopy (FTIR)</w:t>
      </w:r>
    </w:p>
    <w:p w14:paraId="42856DDF"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The molecular structure of the ZT composite particles was characterized by Fourier transform infrared spectrometer (FTIR, Nicolet 5700, USA). Spectra of raw and treated samples were collected in the range of 4000 ~ 400 cm</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Each spectrum was collected at a resolution of 4 cm</w:t>
      </w:r>
      <w:r w:rsidRPr="00380E1F">
        <w:rPr>
          <w:rFonts w:ascii="Times New Roman" w:hAnsi="Times New Roman" w:cs="Times New Roman"/>
          <w:sz w:val="24"/>
          <w:szCs w:val="24"/>
          <w:vertAlign w:val="superscript"/>
        </w:rPr>
        <w:t>-1</w:t>
      </w:r>
      <w:r w:rsidRPr="00380E1F">
        <w:rPr>
          <w:rFonts w:ascii="Times New Roman" w:hAnsi="Times New Roman" w:cs="Times New Roman"/>
          <w:sz w:val="24"/>
          <w:szCs w:val="24"/>
        </w:rPr>
        <w:t xml:space="preserve"> with an accumulation of 32 scans, and the air was used as the </w:t>
      </w:r>
      <w:r w:rsidRPr="00380E1F">
        <w:rPr>
          <w:rFonts w:ascii="Times New Roman" w:hAnsi="Times New Roman" w:cs="Times New Roman"/>
          <w:sz w:val="24"/>
          <w:szCs w:val="24"/>
        </w:rPr>
        <w:lastRenderedPageBreak/>
        <w:t>blank background.</w:t>
      </w:r>
    </w:p>
    <w:p w14:paraId="13D4CD4B" w14:textId="4F11F72B"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X-ray diffraction (XRD)</w:t>
      </w:r>
    </w:p>
    <w:p w14:paraId="65D48272"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 xml:space="preserve">The microstructure of freeze-dried samples was determined by an X-ray diffractometer with a Cu Kα radiation (D8, Bruker, Germany). The samples were scanned from 3° to 30° (2θ) at a scan step of 2°/min. The system was operated at 40 KV and 200 mA. The diffractograms were analyzed using JADE 6.5 software. </w:t>
      </w:r>
    </w:p>
    <w:p w14:paraId="249D4534" w14:textId="7F441764"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Fluorescence Spectrum</w:t>
      </w:r>
    </w:p>
    <w:p w14:paraId="4074A40C"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Fluorescence spectra were measured by a fluorescence spectrophotometer (RF6000, Shimadzu, Japan). 1.0 mg of ZT composite particles was added to 5 mL ethanol-water solution (80%, v/v). The solution was allowed to stand for 30 min before the measurement. The excitation wavelength was set as 280 nm, and the emission wavelength range was 290 ~ 420 nm.</w:t>
      </w:r>
    </w:p>
    <w:p w14:paraId="55C63720" w14:textId="7242514F"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Free sulfhydryl and disulfide bond content</w:t>
      </w:r>
    </w:p>
    <w:p w14:paraId="303DAD81"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The content of free sulfhydryl was determined by DTNB colorimetric method</w:t>
      </w:r>
      <w:r w:rsidRPr="00380E1F">
        <w:rPr>
          <w:rFonts w:ascii="Times New Roman" w:hAnsi="Times New Roman" w:cs="Times New Roman"/>
          <w:kern w:val="0"/>
          <w:sz w:val="24"/>
          <w:szCs w:val="24"/>
        </w:rPr>
        <w:t xml:space="preserve"> [3]</w:t>
      </w:r>
      <w:r w:rsidRPr="00380E1F">
        <w:rPr>
          <w:rFonts w:ascii="Times New Roman" w:hAnsi="Times New Roman" w:cs="Times New Roman"/>
          <w:sz w:val="24"/>
          <w:szCs w:val="24"/>
        </w:rPr>
        <w:t xml:space="preserve">. The samples treated under different plasma conditions were added into the centrifuge tube and centrifuged at 3000×g for 10 min. 2 mL of supernatant was taken and added with 4 mL of urea buffer. Then 40 </w:t>
      </w:r>
      <w:proofErr w:type="spellStart"/>
      <w:r w:rsidRPr="00380E1F">
        <w:rPr>
          <w:rFonts w:ascii="Times New Roman" w:hAnsi="Times New Roman" w:cs="Times New Roman"/>
          <w:sz w:val="24"/>
          <w:szCs w:val="24"/>
        </w:rPr>
        <w:t>μL</w:t>
      </w:r>
      <w:proofErr w:type="spellEnd"/>
      <w:r w:rsidRPr="00380E1F">
        <w:rPr>
          <w:rFonts w:ascii="Times New Roman" w:hAnsi="Times New Roman" w:cs="Times New Roman"/>
          <w:sz w:val="24"/>
          <w:szCs w:val="24"/>
        </w:rPr>
        <w:t xml:space="preserve"> of Ellman' s reagent was added and mixed by vortex oscillator in the dark for 30 min at room temperature. Zein solution without plasma treatment was used as blank control. The absorbance was measured at 412 nm by spectrophotometer. The calculation formula of free sulfhydryl concentration was as follows:</w:t>
      </w:r>
    </w:p>
    <w:p w14:paraId="4935F066" w14:textId="77777777" w:rsidR="009A478A" w:rsidRPr="00380E1F" w:rsidRDefault="009A478A" w:rsidP="009A478A">
      <w:pPr>
        <w:spacing w:line="480" w:lineRule="auto"/>
        <w:ind w:firstLineChars="200" w:firstLine="480"/>
        <w:jc w:val="center"/>
        <w:rPr>
          <w:rFonts w:ascii="Times New Roman" w:hAnsi="Times New Roman" w:cs="Times New Roman"/>
          <w:sz w:val="24"/>
          <w:szCs w:val="24"/>
        </w:rPr>
      </w:pPr>
      <m:oMath>
        <m:r>
          <m:rPr>
            <m:sty m:val="p"/>
          </m:rPr>
          <w:rPr>
            <w:rFonts w:ascii="Cambria Math" w:hAnsi="Cambria Math" w:cs="Times New Roman"/>
            <w:sz w:val="24"/>
            <w:szCs w:val="24"/>
          </w:rPr>
          <m:t>Free sulfhydryl content (μmol/g)=</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73.35×</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412</m:t>
                </m:r>
              </m:sub>
            </m:sSub>
            <m:r>
              <w:rPr>
                <w:rFonts w:ascii="Cambria Math" w:hAnsi="Cambria Math" w:cs="Times New Roman"/>
                <w:sz w:val="24"/>
                <w:szCs w:val="24"/>
              </w:rPr>
              <m:t>×D</m:t>
            </m:r>
            <m:ctrlPr>
              <w:rPr>
                <w:rFonts w:ascii="Cambria Math" w:hAnsi="Cambria Math" w:cs="Times New Roman"/>
                <w:i/>
                <w:sz w:val="24"/>
                <w:szCs w:val="24"/>
              </w:rPr>
            </m:ctrlPr>
          </m:e>
        </m:d>
        <m:r>
          <w:rPr>
            <w:rFonts w:ascii="Cambria Math" w:hAnsi="Cambria Math" w:cs="Times New Roman"/>
            <w:sz w:val="24"/>
            <w:szCs w:val="24"/>
          </w:rPr>
          <m:t>/C</m:t>
        </m:r>
      </m:oMath>
      <w:r w:rsidRPr="00380E1F">
        <w:rPr>
          <w:rFonts w:ascii="Times New Roman" w:hAnsi="Times New Roman" w:cs="Times New Roman"/>
          <w:sz w:val="24"/>
          <w:szCs w:val="24"/>
        </w:rPr>
        <w:t xml:space="preserve">    (2)</w:t>
      </w:r>
    </w:p>
    <w:p w14:paraId="35545E49"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lastRenderedPageBreak/>
        <w:t xml:space="preserve">Where </w:t>
      </w:r>
      <w:r w:rsidRPr="00380E1F">
        <w:rPr>
          <w:rFonts w:ascii="Times New Roman" w:hAnsi="Times New Roman" w:cs="Times New Roman"/>
          <w:i/>
          <w:iCs/>
          <w:sz w:val="24"/>
          <w:szCs w:val="24"/>
        </w:rPr>
        <w:t>A</w:t>
      </w:r>
      <w:r w:rsidRPr="00380E1F">
        <w:rPr>
          <w:rFonts w:ascii="Times New Roman" w:hAnsi="Times New Roman" w:cs="Times New Roman"/>
          <w:sz w:val="24"/>
          <w:szCs w:val="24"/>
          <w:vertAlign w:val="subscript"/>
        </w:rPr>
        <w:t>412</w:t>
      </w:r>
      <w:r w:rsidRPr="00380E1F">
        <w:rPr>
          <w:rFonts w:ascii="Times New Roman" w:hAnsi="Times New Roman" w:cs="Times New Roman"/>
          <w:sz w:val="24"/>
          <w:szCs w:val="24"/>
        </w:rPr>
        <w:t xml:space="preserve"> is the 412 nm absorbance value, </w:t>
      </w:r>
      <w:r w:rsidRPr="00380E1F">
        <w:rPr>
          <w:rFonts w:ascii="Times New Roman" w:hAnsi="Times New Roman" w:cs="Times New Roman"/>
          <w:i/>
          <w:iCs/>
          <w:sz w:val="24"/>
          <w:szCs w:val="24"/>
        </w:rPr>
        <w:t>C</w:t>
      </w:r>
      <w:r w:rsidRPr="00380E1F">
        <w:rPr>
          <w:rFonts w:ascii="Times New Roman" w:hAnsi="Times New Roman" w:cs="Times New Roman"/>
          <w:sz w:val="24"/>
          <w:szCs w:val="24"/>
        </w:rPr>
        <w:t xml:space="preserve"> is the sample protein content (mg/mL), and D is the dilution multiple.</w:t>
      </w:r>
    </w:p>
    <w:p w14:paraId="00B1D936"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The content of disulfide bond was calculated by the content of free sulfhydryl and total sulfhydryl which measured by total sulfhydryl kit according to the formula as follows:</w:t>
      </w:r>
    </w:p>
    <w:p w14:paraId="41E6930E" w14:textId="6D3C4622" w:rsidR="009A478A" w:rsidRPr="00380E1F" w:rsidRDefault="009A478A" w:rsidP="00380E1F">
      <w:pPr>
        <w:spacing w:line="480" w:lineRule="auto"/>
        <w:rPr>
          <w:rFonts w:ascii="Times New Roman" w:hAnsi="Times New Roman" w:cs="Times New Roman"/>
          <w:sz w:val="24"/>
          <w:szCs w:val="24"/>
        </w:rPr>
      </w:pPr>
      <w:r w:rsidRPr="00380E1F">
        <w:rPr>
          <w:rFonts w:ascii="Times New Roman" w:hAnsi="Times New Roman" w:cs="Times New Roman"/>
          <w:sz w:val="24"/>
          <w:szCs w:val="24"/>
        </w:rPr>
        <w:t xml:space="preserve"> </w:t>
      </w:r>
      <m:oMath>
        <m:r>
          <m:rPr>
            <m:sty m:val="p"/>
          </m:rPr>
          <w:rPr>
            <w:rFonts w:ascii="Cambria Math" w:hAnsi="Cambria Math" w:cs="Times New Roman"/>
            <w:sz w:val="24"/>
            <w:szCs w:val="24"/>
          </w:rPr>
          <m:t>Disulfide bond content (μmol/g)=(Total sulfhydryl-Free Sulfhydryl)/2</m:t>
        </m:r>
      </m:oMath>
      <w:r w:rsidRPr="00380E1F">
        <w:rPr>
          <w:rFonts w:ascii="Times New Roman" w:hAnsi="Times New Roman" w:cs="Times New Roman"/>
          <w:sz w:val="24"/>
          <w:szCs w:val="24"/>
        </w:rPr>
        <w:t xml:space="preserve">  (3)</w:t>
      </w:r>
    </w:p>
    <w:p w14:paraId="45A460E5" w14:textId="753638CF"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Surface hydrophobicity</w:t>
      </w:r>
    </w:p>
    <w:p w14:paraId="4E260A35"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 xml:space="preserve">The surface hydrophobicity of the ZT composite particles was determined by the 1-phenylamino-8-naphthalate (ANS) fluorescence probe method </w:t>
      </w:r>
      <w:r w:rsidRPr="00380E1F">
        <w:rPr>
          <w:rFonts w:ascii="Times New Roman" w:hAnsi="Times New Roman" w:cs="Times New Roman"/>
          <w:kern w:val="0"/>
          <w:sz w:val="24"/>
          <w:szCs w:val="24"/>
        </w:rPr>
        <w:t>[4]</w:t>
      </w:r>
      <w:r w:rsidRPr="00380E1F">
        <w:rPr>
          <w:rFonts w:ascii="Times New Roman" w:hAnsi="Times New Roman" w:cs="Times New Roman"/>
          <w:noProof/>
          <w:sz w:val="24"/>
          <w:szCs w:val="24"/>
        </w:rPr>
        <w:t xml:space="preserve"> </w:t>
      </w:r>
      <w:r w:rsidRPr="00380E1F">
        <w:rPr>
          <w:rFonts w:ascii="Times New Roman" w:hAnsi="Times New Roman" w:cs="Times New Roman"/>
          <w:sz w:val="24"/>
          <w:szCs w:val="24"/>
        </w:rPr>
        <w:t xml:space="preserve">using a fluorescence spectrophotometer (RF6000, Shimadzu, Japan). The protein concentrations of samples treated under different plasma conditions were determined by the biuret method. Briefly, the sample was dissolved and diluted with phosphate buffer (0.01 mol/L) into different concentration (dilution multiple ranged from 20 to 100). 20 </w:t>
      </w:r>
      <w:proofErr w:type="spellStart"/>
      <w:r w:rsidRPr="00380E1F">
        <w:rPr>
          <w:rFonts w:ascii="Times New Roman" w:hAnsi="Times New Roman" w:cs="Times New Roman"/>
          <w:sz w:val="24"/>
          <w:szCs w:val="24"/>
        </w:rPr>
        <w:t>μL</w:t>
      </w:r>
      <w:proofErr w:type="spellEnd"/>
      <w:r w:rsidRPr="00380E1F">
        <w:rPr>
          <w:rFonts w:ascii="Times New Roman" w:hAnsi="Times New Roman" w:cs="Times New Roman"/>
          <w:sz w:val="24"/>
          <w:szCs w:val="24"/>
        </w:rPr>
        <w:t xml:space="preserve"> of ANS solution (8 mmol/L) was added to each sample solution (4 mL) and thoroughly mixed. After that, the mixture was subjected to dark reaction at room temperature for 20 min, followed by measurement of the fluorescence intensity. The measurement conditions were set as follows, excitation wavelength of 390 nm, emission wavelength of 470 nm and emission slit width of 5 nm. The collected fluorescence intensity was correlated linearly with the protein concentration. The slope of the curves was corresponded to the surface hydrophobicity of the protein.</w:t>
      </w:r>
    </w:p>
    <w:p w14:paraId="24626501" w14:textId="3C2E59CE"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Differential scanning calorimetry (DSC)</w:t>
      </w:r>
    </w:p>
    <w:p w14:paraId="6DC9915B"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 xml:space="preserve">The thermal property of ZT composite particles was determined by a differential </w:t>
      </w:r>
      <w:r w:rsidRPr="00380E1F">
        <w:rPr>
          <w:rFonts w:ascii="Times New Roman" w:hAnsi="Times New Roman" w:cs="Times New Roman"/>
          <w:sz w:val="24"/>
          <w:szCs w:val="24"/>
        </w:rPr>
        <w:lastRenderedPageBreak/>
        <w:t xml:space="preserve">scanning calorimeter (Q2000, TA USA). Accurate amounts of pre-dried samples were weighed (5.0 mg) and transferred into a sealed 40 </w:t>
      </w:r>
      <w:proofErr w:type="spellStart"/>
      <w:r w:rsidRPr="00380E1F">
        <w:rPr>
          <w:rFonts w:ascii="Times New Roman" w:hAnsi="Times New Roman" w:cs="Times New Roman"/>
          <w:sz w:val="24"/>
          <w:szCs w:val="24"/>
        </w:rPr>
        <w:t>μL</w:t>
      </w:r>
      <w:proofErr w:type="spellEnd"/>
      <w:r w:rsidRPr="00380E1F">
        <w:rPr>
          <w:rFonts w:ascii="Times New Roman" w:hAnsi="Times New Roman" w:cs="Times New Roman"/>
          <w:sz w:val="24"/>
          <w:szCs w:val="24"/>
        </w:rPr>
        <w:t xml:space="preserve"> aluminum pan. The procedure was performed by heating from 20°C to 200°C at a rate of 10°C/min. The empty pan was used as the blank control.</w:t>
      </w:r>
    </w:p>
    <w:p w14:paraId="68DA4086" w14:textId="5938105F" w:rsidR="009A478A" w:rsidRPr="00380E1F" w:rsidRDefault="009A478A" w:rsidP="009A478A">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Statistical analysis</w:t>
      </w:r>
    </w:p>
    <w:p w14:paraId="17EA473F" w14:textId="77777777" w:rsidR="009A478A" w:rsidRPr="00380E1F" w:rsidRDefault="009A478A" w:rsidP="009A478A">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Results are presented as the mean values ± standard deviations. Statistical analysis was performed using the SPSS statistical software (version 22.0, IBM Corp., USA) and significant differences were detected by the Tukey’s multiple comparison tests (</w:t>
      </w:r>
      <w:r w:rsidRPr="00380E1F">
        <w:rPr>
          <w:rFonts w:ascii="Times New Roman" w:hAnsi="Times New Roman" w:cs="Times New Roman"/>
          <w:i/>
          <w:iCs/>
          <w:sz w:val="24"/>
          <w:szCs w:val="24"/>
        </w:rPr>
        <w:t>p</w:t>
      </w:r>
      <w:r w:rsidRPr="00380E1F">
        <w:rPr>
          <w:rFonts w:ascii="Times New Roman" w:hAnsi="Times New Roman" w:cs="Times New Roman"/>
          <w:sz w:val="24"/>
          <w:szCs w:val="24"/>
        </w:rPr>
        <w:t xml:space="preserve"> &lt; 0.05). A</w:t>
      </w:r>
      <w:r w:rsidRPr="00380E1F">
        <w:rPr>
          <w:rFonts w:ascii="Times New Roman" w:hAnsi="Times New Roman" w:cs="Times New Roman" w:hint="eastAsia"/>
          <w:sz w:val="24"/>
          <w:szCs w:val="24"/>
        </w:rPr>
        <w:t>l</w:t>
      </w:r>
      <w:r w:rsidRPr="00380E1F">
        <w:rPr>
          <w:rFonts w:ascii="Times New Roman" w:hAnsi="Times New Roman" w:cs="Times New Roman"/>
          <w:sz w:val="24"/>
          <w:szCs w:val="24"/>
        </w:rPr>
        <w:t>l figures were presented by Origin 8.0 software.</w:t>
      </w:r>
    </w:p>
    <w:p w14:paraId="613B3ACA" w14:textId="0557F6A9" w:rsidR="00A86264" w:rsidRPr="00380E1F" w:rsidRDefault="00A86264" w:rsidP="00A86264">
      <w:pPr>
        <w:spacing w:line="480" w:lineRule="auto"/>
        <w:rPr>
          <w:rFonts w:ascii="Times New Roman" w:hAnsi="Times New Roman" w:cs="Times New Roman"/>
          <w:b/>
          <w:bCs/>
          <w:sz w:val="24"/>
          <w:szCs w:val="24"/>
        </w:rPr>
      </w:pPr>
      <w:r w:rsidRPr="00380E1F">
        <w:rPr>
          <w:rFonts w:ascii="Times New Roman" w:hAnsi="Times New Roman" w:cs="Times New Roman"/>
          <w:b/>
          <w:bCs/>
          <w:sz w:val="24"/>
          <w:szCs w:val="24"/>
        </w:rPr>
        <w:t>Reference</w:t>
      </w:r>
    </w:p>
    <w:p w14:paraId="5F8AFDA5" w14:textId="77777777" w:rsidR="009A478A" w:rsidRPr="00380E1F" w:rsidRDefault="009A478A" w:rsidP="009A478A">
      <w:pPr>
        <w:pStyle w:val="EndNoteBibliography"/>
        <w:numPr>
          <w:ilvl w:val="0"/>
          <w:numId w:val="1"/>
        </w:numPr>
        <w:spacing w:line="480" w:lineRule="auto"/>
        <w:rPr>
          <w:color w:val="000000" w:themeColor="text1"/>
          <w:sz w:val="24"/>
          <w:szCs w:val="24"/>
        </w:rPr>
      </w:pPr>
      <w:r w:rsidRPr="00380E1F">
        <w:rPr>
          <w:sz w:val="24"/>
          <w:szCs w:val="24"/>
        </w:rPr>
        <w:t>Yang SF, Liu L, Chen HQ, Wei Y, Dai L, Liu JF, Yuan F, Mao LK, Li ZG, Chen F, Gao YX (2020) Impact of different crosslinking agents on functional properties of curcumin-loaded gliadin-chitosan composite nanoparticles. Food Hydrocolloids 112:106258.</w:t>
      </w:r>
      <w:r w:rsidRPr="00380E1F">
        <w:rPr>
          <w:color w:val="000000" w:themeColor="text1"/>
          <w:sz w:val="24"/>
          <w:szCs w:val="24"/>
        </w:rPr>
        <w:t xml:space="preserve"> </w:t>
      </w:r>
      <w:hyperlink r:id="rId7" w:history="1">
        <w:r w:rsidRPr="00380E1F">
          <w:rPr>
            <w:rStyle w:val="a7"/>
            <w:color w:val="000000" w:themeColor="text1"/>
            <w:sz w:val="24"/>
            <w:szCs w:val="24"/>
          </w:rPr>
          <w:t>https://doi.org/10.1016/j.foodhyd.2020.106258</w:t>
        </w:r>
      </w:hyperlink>
    </w:p>
    <w:p w14:paraId="723199B3" w14:textId="77777777" w:rsidR="009A478A" w:rsidRPr="00380E1F" w:rsidRDefault="009A478A" w:rsidP="009A478A">
      <w:pPr>
        <w:pStyle w:val="EndNoteBibliography"/>
        <w:numPr>
          <w:ilvl w:val="0"/>
          <w:numId w:val="1"/>
        </w:numPr>
        <w:spacing w:line="480" w:lineRule="auto"/>
        <w:rPr>
          <w:sz w:val="24"/>
          <w:szCs w:val="24"/>
        </w:rPr>
      </w:pPr>
      <w:r w:rsidRPr="00380E1F">
        <w:rPr>
          <w:sz w:val="24"/>
          <w:szCs w:val="24"/>
        </w:rPr>
        <w:t>Liu T, Liu L (2020) Fabrication and characterization of chitosan nanoemulsions loading thymol or thyme essential oil for the preservation of refrigerated pork. Int J Biol Macromol 162:1509-1515.</w:t>
      </w:r>
      <w:r w:rsidRPr="00380E1F">
        <w:rPr>
          <w:color w:val="000000" w:themeColor="text1"/>
          <w:sz w:val="24"/>
          <w:szCs w:val="24"/>
        </w:rPr>
        <w:t xml:space="preserve"> </w:t>
      </w:r>
      <w:hyperlink r:id="rId8" w:history="1">
        <w:r w:rsidRPr="00380E1F">
          <w:rPr>
            <w:rStyle w:val="a7"/>
            <w:color w:val="000000" w:themeColor="text1"/>
            <w:sz w:val="24"/>
            <w:szCs w:val="24"/>
          </w:rPr>
          <w:t>https://doi.org/10.1016/j.ijbiomac.2020.07.207</w:t>
        </w:r>
      </w:hyperlink>
    </w:p>
    <w:p w14:paraId="73E26468" w14:textId="77777777" w:rsidR="009A478A" w:rsidRPr="00380E1F" w:rsidRDefault="009A478A" w:rsidP="009A478A">
      <w:pPr>
        <w:pStyle w:val="EndNoteBibliography"/>
        <w:numPr>
          <w:ilvl w:val="0"/>
          <w:numId w:val="1"/>
        </w:numPr>
        <w:wordWrap w:val="0"/>
        <w:spacing w:line="480" w:lineRule="auto"/>
        <w:ind w:left="442" w:hanging="442"/>
        <w:rPr>
          <w:color w:val="000000" w:themeColor="text1"/>
          <w:sz w:val="24"/>
          <w:szCs w:val="24"/>
        </w:rPr>
      </w:pPr>
      <w:r w:rsidRPr="00380E1F">
        <w:rPr>
          <w:sz w:val="24"/>
          <w:szCs w:val="24"/>
        </w:rPr>
        <w:t>Li N, Yu JJ, Jin N, Chen Y, Li SH, Chen Y (2020) Modification of the physicochemical and structural characteristics of zein suspension by dielectricbarrier discharge cold plasma treatment. J Food Sci 85:2452-2460.</w:t>
      </w:r>
      <w:r w:rsidRPr="00380E1F">
        <w:rPr>
          <w:rFonts w:asciiTheme="minorHAnsi" w:hAnsiTheme="minorHAnsi" w:cstheme="minorBidi"/>
          <w:noProof w:val="0"/>
          <w:color w:val="000000" w:themeColor="text1"/>
          <w:sz w:val="24"/>
          <w:szCs w:val="24"/>
        </w:rPr>
        <w:t xml:space="preserve"> </w:t>
      </w:r>
      <w:hyperlink r:id="rId9" w:history="1">
        <w:r w:rsidRPr="00380E1F">
          <w:rPr>
            <w:rStyle w:val="a7"/>
            <w:color w:val="000000" w:themeColor="text1"/>
            <w:sz w:val="24"/>
            <w:szCs w:val="24"/>
          </w:rPr>
          <w:t>https://doi.org/10.1111/1750-3841.15350</w:t>
        </w:r>
      </w:hyperlink>
    </w:p>
    <w:p w14:paraId="4F32D7B3" w14:textId="5E823E2F" w:rsidR="009A478A" w:rsidRPr="00380E1F" w:rsidRDefault="009A478A" w:rsidP="009A478A">
      <w:pPr>
        <w:pStyle w:val="EndNoteBibliography"/>
        <w:numPr>
          <w:ilvl w:val="0"/>
          <w:numId w:val="1"/>
        </w:numPr>
        <w:wordWrap w:val="0"/>
        <w:spacing w:line="480" w:lineRule="auto"/>
        <w:ind w:left="442" w:hanging="442"/>
        <w:rPr>
          <w:sz w:val="24"/>
          <w:szCs w:val="24"/>
        </w:rPr>
      </w:pPr>
      <w:r w:rsidRPr="00380E1F">
        <w:rPr>
          <w:sz w:val="24"/>
          <w:szCs w:val="24"/>
        </w:rPr>
        <w:t>Yan SZ, Xu JW, Zhang S, Li Y (2021) Effects of flexibility and surface h</w:t>
      </w:r>
      <w:r w:rsidRPr="00380E1F">
        <w:rPr>
          <w:sz w:val="24"/>
          <w:szCs w:val="24"/>
        </w:rPr>
        <w:lastRenderedPageBreak/>
        <w:t>ydrophobicity on emulsifying properties: Ultrasound-treated soybean protein isolate. LWT 142: 110881.</w:t>
      </w:r>
      <w:r w:rsidRPr="007E328A">
        <w:rPr>
          <w:rStyle w:val="a7"/>
          <w:color w:val="000000" w:themeColor="text1"/>
        </w:rPr>
        <w:t xml:space="preserve"> </w:t>
      </w:r>
      <w:hyperlink r:id="rId10" w:history="1">
        <w:r w:rsidR="00D02E9F" w:rsidRPr="007E328A">
          <w:rPr>
            <w:rStyle w:val="a7"/>
            <w:color w:val="000000" w:themeColor="text1"/>
            <w:sz w:val="24"/>
            <w:szCs w:val="24"/>
          </w:rPr>
          <w:t>https://doi.org/10.1016/j.lwt.2021.110881</w:t>
        </w:r>
      </w:hyperlink>
    </w:p>
    <w:p w14:paraId="34499261" w14:textId="39419BE1" w:rsidR="00D02E9F" w:rsidRPr="00380E1F" w:rsidRDefault="008C7EB9" w:rsidP="008C7EB9">
      <w:pPr>
        <w:spacing w:line="480" w:lineRule="auto"/>
        <w:rPr>
          <w:rFonts w:ascii="Times New Roman" w:hAnsi="Times New Roman" w:cs="Times New Roman"/>
          <w:b/>
          <w:bCs/>
          <w:sz w:val="24"/>
          <w:szCs w:val="24"/>
        </w:rPr>
      </w:pPr>
      <w:r w:rsidRPr="00380E1F">
        <w:rPr>
          <w:rFonts w:ascii="Times New Roman" w:hAnsi="Times New Roman" w:cs="Times New Roman"/>
          <w:b/>
          <w:bCs/>
          <w:sz w:val="24"/>
          <w:szCs w:val="24"/>
        </w:rPr>
        <w:t>Results and discussion</w:t>
      </w:r>
    </w:p>
    <w:p w14:paraId="324AE539" w14:textId="77777777" w:rsidR="00C95A48" w:rsidRPr="00380E1F" w:rsidRDefault="00C95A48" w:rsidP="00C95A48">
      <w:pPr>
        <w:pStyle w:val="2"/>
        <w:spacing w:before="0" w:after="0" w:line="480" w:lineRule="auto"/>
        <w:rPr>
          <w:rFonts w:ascii="Times New Roman" w:hAnsi="Times New Roman" w:cs="Times New Roman"/>
          <w:sz w:val="24"/>
          <w:szCs w:val="24"/>
        </w:rPr>
      </w:pPr>
      <w:r w:rsidRPr="00380E1F">
        <w:rPr>
          <w:rFonts w:ascii="Times New Roman" w:hAnsi="Times New Roman" w:cs="Times New Roman"/>
          <w:sz w:val="24"/>
          <w:szCs w:val="24"/>
        </w:rPr>
        <w:t>Thermal property</w:t>
      </w:r>
    </w:p>
    <w:p w14:paraId="7E488EB9" w14:textId="4F7B8AD7" w:rsidR="00C95A48" w:rsidRPr="00380E1F" w:rsidRDefault="00C95A48" w:rsidP="00C95A48">
      <w:pPr>
        <w:spacing w:line="480" w:lineRule="auto"/>
        <w:ind w:firstLine="420"/>
        <w:rPr>
          <w:rFonts w:ascii="Times New Roman" w:hAnsi="Times New Roman" w:cs="Times New Roman"/>
          <w:sz w:val="24"/>
          <w:szCs w:val="24"/>
        </w:rPr>
      </w:pPr>
      <w:r w:rsidRPr="00380E1F">
        <w:rPr>
          <w:rFonts w:ascii="Times New Roman" w:hAnsi="Times New Roman" w:cs="Times New Roman"/>
          <w:sz w:val="24"/>
          <w:szCs w:val="24"/>
        </w:rPr>
        <w:t>DSC thermal diagrams</w:t>
      </w:r>
      <w:r w:rsidRPr="00380E1F" w:rsidDel="00A83341">
        <w:rPr>
          <w:rFonts w:ascii="Times New Roman" w:hAnsi="Times New Roman" w:cs="Times New Roman"/>
          <w:sz w:val="24"/>
          <w:szCs w:val="24"/>
        </w:rPr>
        <w:t xml:space="preserve"> </w:t>
      </w:r>
      <w:r w:rsidRPr="00380E1F">
        <w:rPr>
          <w:rFonts w:ascii="Times New Roman" w:hAnsi="Times New Roman" w:cs="Times New Roman"/>
          <w:sz w:val="24"/>
          <w:szCs w:val="24"/>
        </w:rPr>
        <w:t xml:space="preserve">of raw and plasma-treated samples were shown in Fig. </w:t>
      </w:r>
      <w:r w:rsidR="001D13BF">
        <w:rPr>
          <w:rFonts w:ascii="Times New Roman" w:hAnsi="Times New Roman" w:cs="Times New Roman"/>
          <w:sz w:val="24"/>
          <w:szCs w:val="24"/>
        </w:rPr>
        <w:t>2</w:t>
      </w:r>
      <w:r w:rsidRPr="00380E1F">
        <w:rPr>
          <w:rFonts w:ascii="Times New Roman" w:hAnsi="Times New Roman" w:cs="Times New Roman"/>
          <w:sz w:val="24"/>
          <w:szCs w:val="24"/>
        </w:rPr>
        <w:t>. The wide endothermic peak was corresponded to the denaturation temperature (T</w:t>
      </w:r>
      <w:r w:rsidRPr="00380E1F">
        <w:rPr>
          <w:rFonts w:ascii="Times New Roman" w:hAnsi="Times New Roman" w:cs="Times New Roman"/>
          <w:sz w:val="24"/>
          <w:szCs w:val="24"/>
          <w:vertAlign w:val="subscript"/>
        </w:rPr>
        <w:t>d</w:t>
      </w:r>
      <w:r w:rsidRPr="00380E1F">
        <w:rPr>
          <w:rFonts w:ascii="Times New Roman" w:hAnsi="Times New Roman" w:cs="Times New Roman"/>
          <w:sz w:val="24"/>
          <w:szCs w:val="24"/>
        </w:rPr>
        <w:t>) of zein [</w:t>
      </w:r>
      <w:r w:rsidR="008C7EB9" w:rsidRPr="00380E1F">
        <w:rPr>
          <w:rFonts w:ascii="Times New Roman" w:hAnsi="Times New Roman" w:cs="Times New Roman"/>
          <w:sz w:val="24"/>
          <w:szCs w:val="24"/>
        </w:rPr>
        <w:t>1</w:t>
      </w:r>
      <w:r w:rsidRPr="00380E1F">
        <w:rPr>
          <w:rFonts w:ascii="Times New Roman" w:hAnsi="Times New Roman" w:cs="Times New Roman"/>
          <w:sz w:val="24"/>
          <w:szCs w:val="24"/>
        </w:rPr>
        <w:t>]. Changes of T</w:t>
      </w:r>
      <w:r w:rsidRPr="00380E1F">
        <w:rPr>
          <w:rFonts w:ascii="Times New Roman" w:hAnsi="Times New Roman" w:cs="Times New Roman"/>
          <w:sz w:val="24"/>
          <w:szCs w:val="24"/>
          <w:vertAlign w:val="subscript"/>
        </w:rPr>
        <w:t>d</w:t>
      </w:r>
      <w:r w:rsidRPr="00380E1F">
        <w:rPr>
          <w:rFonts w:ascii="Times New Roman" w:hAnsi="Times New Roman" w:cs="Times New Roman"/>
          <w:sz w:val="24"/>
          <w:szCs w:val="24"/>
        </w:rPr>
        <w:t xml:space="preserve"> in DSC curves was analyzed to reflect the thermal stability of ZT composite particles. Generally, the T</w:t>
      </w:r>
      <w:r w:rsidRPr="00380E1F">
        <w:rPr>
          <w:rFonts w:ascii="Times New Roman" w:hAnsi="Times New Roman" w:cs="Times New Roman"/>
          <w:sz w:val="24"/>
          <w:szCs w:val="24"/>
          <w:vertAlign w:val="subscript"/>
        </w:rPr>
        <w:t>d</w:t>
      </w:r>
      <w:r w:rsidRPr="00380E1F">
        <w:rPr>
          <w:rFonts w:ascii="Times New Roman" w:hAnsi="Times New Roman" w:cs="Times New Roman"/>
          <w:sz w:val="24"/>
          <w:szCs w:val="24"/>
        </w:rPr>
        <w:t xml:space="preserve"> of plasma-treated ZT composite particles was increased after ACP treatment as the peak curves of all the samples shifted to the higher temperature range. The T</w:t>
      </w:r>
      <w:r w:rsidRPr="00380E1F">
        <w:rPr>
          <w:rFonts w:ascii="Times New Roman" w:hAnsi="Times New Roman" w:cs="Times New Roman"/>
          <w:sz w:val="24"/>
          <w:szCs w:val="24"/>
          <w:vertAlign w:val="subscript"/>
        </w:rPr>
        <w:t>d</w:t>
      </w:r>
      <w:r w:rsidRPr="00380E1F">
        <w:rPr>
          <w:rFonts w:ascii="Times New Roman" w:hAnsi="Times New Roman" w:cs="Times New Roman"/>
          <w:sz w:val="24"/>
          <w:szCs w:val="24"/>
        </w:rPr>
        <w:t xml:space="preserve"> of the untreated samples was 84.9°C, and it reached up to 87.3°C at 50 W. The results indicated that the thermal stability of ZT composite particles was improved and the molecular interaction between thymol and zein was enhanced. The reason might be that ACP treatment promoted the formation of more hydrogen bonds which increased the combination between zein and thymol. However, the higher treatment intensity (60~80 W) could generate irreversible damage to the spatial structure of zein which led to the loose conformation structure as shown by the subsequent slightly declined T</w:t>
      </w:r>
      <w:r w:rsidRPr="00380E1F">
        <w:rPr>
          <w:rFonts w:ascii="Times New Roman" w:hAnsi="Times New Roman" w:cs="Times New Roman"/>
          <w:sz w:val="24"/>
          <w:szCs w:val="24"/>
          <w:vertAlign w:val="subscript"/>
        </w:rPr>
        <w:t>d</w:t>
      </w:r>
      <w:r w:rsidRPr="00380E1F">
        <w:rPr>
          <w:rFonts w:ascii="Times New Roman" w:hAnsi="Times New Roman" w:cs="Times New Roman"/>
          <w:sz w:val="24"/>
          <w:szCs w:val="24"/>
        </w:rPr>
        <w:t>, in good accordance with the FTIR results. It was known that thymol was susceptible to heat with poor thermal stability [</w:t>
      </w:r>
      <w:r w:rsidR="008C7EB9" w:rsidRPr="00380E1F">
        <w:rPr>
          <w:rFonts w:ascii="Times New Roman" w:hAnsi="Times New Roman" w:cs="Times New Roman"/>
          <w:sz w:val="24"/>
          <w:szCs w:val="24"/>
        </w:rPr>
        <w:t>2</w:t>
      </w:r>
      <w:r w:rsidRPr="00380E1F">
        <w:rPr>
          <w:rFonts w:ascii="Times New Roman" w:hAnsi="Times New Roman" w:cs="Times New Roman"/>
          <w:sz w:val="24"/>
          <w:szCs w:val="24"/>
        </w:rPr>
        <w:t>] and the results here showed the thermal stability of thymol embedded within zein micelles had been improved, indicating that ACP treatment had the application potential to develop zein as a thermal-stable wall material.</w:t>
      </w:r>
    </w:p>
    <w:p w14:paraId="3C9EAC1B" w14:textId="77777777" w:rsidR="001D13BF" w:rsidRDefault="001D13BF" w:rsidP="00A86264">
      <w:pPr>
        <w:spacing w:line="480" w:lineRule="auto"/>
        <w:rPr>
          <w:rFonts w:ascii="Times New Roman" w:hAnsi="Times New Roman" w:cs="Times New Roman"/>
          <w:b/>
          <w:bCs/>
          <w:sz w:val="24"/>
          <w:szCs w:val="24"/>
        </w:rPr>
      </w:pPr>
    </w:p>
    <w:p w14:paraId="47012E2B" w14:textId="518A2AF4" w:rsidR="00A86264" w:rsidRPr="00380E1F" w:rsidRDefault="00A86264" w:rsidP="00A86264">
      <w:pPr>
        <w:spacing w:line="480" w:lineRule="auto"/>
        <w:rPr>
          <w:rFonts w:ascii="Times New Roman" w:hAnsi="Times New Roman" w:cs="Times New Roman"/>
          <w:b/>
          <w:bCs/>
          <w:sz w:val="24"/>
          <w:szCs w:val="24"/>
        </w:rPr>
      </w:pPr>
      <w:r w:rsidRPr="00380E1F">
        <w:rPr>
          <w:rFonts w:ascii="Times New Roman" w:hAnsi="Times New Roman" w:cs="Times New Roman"/>
          <w:b/>
          <w:bCs/>
          <w:sz w:val="24"/>
          <w:szCs w:val="24"/>
        </w:rPr>
        <w:lastRenderedPageBreak/>
        <w:t>Reference</w:t>
      </w:r>
    </w:p>
    <w:p w14:paraId="46CDCB93" w14:textId="7CC1FD70" w:rsidR="00C95A48" w:rsidRPr="00380E1F" w:rsidRDefault="00C95A48" w:rsidP="008C7EB9">
      <w:pPr>
        <w:pStyle w:val="EndNoteBibliography"/>
        <w:numPr>
          <w:ilvl w:val="0"/>
          <w:numId w:val="2"/>
        </w:numPr>
        <w:spacing w:line="480" w:lineRule="auto"/>
        <w:rPr>
          <w:sz w:val="24"/>
          <w:szCs w:val="24"/>
        </w:rPr>
      </w:pPr>
      <w:r w:rsidRPr="00380E1F">
        <w:rPr>
          <w:sz w:val="24"/>
          <w:szCs w:val="24"/>
        </w:rPr>
        <w:t>Chen Y, Ye R, Liu J (2014) Effects of different concentrations of ethanol and isopropanol on physicochemical properties of zein-based films. Ind Crop Prod 53: 140-147.</w:t>
      </w:r>
      <w:r w:rsidRPr="00380E1F">
        <w:rPr>
          <w:color w:val="000000" w:themeColor="text1"/>
          <w:sz w:val="24"/>
          <w:szCs w:val="24"/>
        </w:rPr>
        <w:t xml:space="preserve"> </w:t>
      </w:r>
      <w:bookmarkStart w:id="8" w:name="_Hlk139579180"/>
      <w:r w:rsidRPr="00380E1F">
        <w:rPr>
          <w:color w:val="000000" w:themeColor="text1"/>
          <w:sz w:val="24"/>
          <w:szCs w:val="24"/>
        </w:rPr>
        <w:fldChar w:fldCharType="begin"/>
      </w:r>
      <w:r w:rsidRPr="00380E1F">
        <w:rPr>
          <w:color w:val="000000" w:themeColor="text1"/>
          <w:sz w:val="24"/>
          <w:szCs w:val="24"/>
        </w:rPr>
        <w:instrText>HYPERLINK "https://doi.org/10.1016/j.indcrop.2013.12.034"</w:instrText>
      </w:r>
      <w:r w:rsidRPr="00380E1F">
        <w:rPr>
          <w:color w:val="000000" w:themeColor="text1"/>
          <w:sz w:val="24"/>
          <w:szCs w:val="24"/>
        </w:rPr>
      </w:r>
      <w:r w:rsidRPr="00380E1F">
        <w:rPr>
          <w:color w:val="000000" w:themeColor="text1"/>
          <w:sz w:val="24"/>
          <w:szCs w:val="24"/>
        </w:rPr>
        <w:fldChar w:fldCharType="separate"/>
      </w:r>
      <w:r w:rsidRPr="00380E1F">
        <w:rPr>
          <w:rStyle w:val="a7"/>
          <w:color w:val="000000" w:themeColor="text1"/>
          <w:sz w:val="24"/>
          <w:szCs w:val="24"/>
        </w:rPr>
        <w:t>https://doi.org/10.1016/j.indcrop.2013.12.034</w:t>
      </w:r>
      <w:r w:rsidRPr="00380E1F">
        <w:rPr>
          <w:color w:val="000000" w:themeColor="text1"/>
          <w:sz w:val="24"/>
          <w:szCs w:val="24"/>
        </w:rPr>
        <w:fldChar w:fldCharType="end"/>
      </w:r>
      <w:bookmarkEnd w:id="8"/>
    </w:p>
    <w:p w14:paraId="2CAB06B9" w14:textId="147F4719" w:rsidR="00A86264" w:rsidRPr="00380E1F" w:rsidRDefault="00C95A48" w:rsidP="00A86264">
      <w:pPr>
        <w:pStyle w:val="EndNoteBibliography"/>
        <w:numPr>
          <w:ilvl w:val="0"/>
          <w:numId w:val="2"/>
        </w:numPr>
        <w:wordWrap w:val="0"/>
        <w:spacing w:line="480" w:lineRule="auto"/>
        <w:rPr>
          <w:color w:val="000000" w:themeColor="text1"/>
          <w:sz w:val="24"/>
          <w:szCs w:val="24"/>
        </w:rPr>
      </w:pPr>
      <w:bookmarkStart w:id="9" w:name="_Hlk139626225"/>
      <w:r w:rsidRPr="00380E1F">
        <w:rPr>
          <w:sz w:val="24"/>
          <w:szCs w:val="24"/>
        </w:rPr>
        <w:t>Sun C, Cao J, Wang Y, Chen J, Huang L, Zhang H, Wu J, Sun C (2021)Ultrasound-mediated molecular self-assemble of thymol with 2-hydroxypropyl-beta-cyclodextrin for fruit preservation. Food Chem 363:130327.</w:t>
      </w:r>
      <w:r w:rsidRPr="00380E1F">
        <w:rPr>
          <w:rFonts w:asciiTheme="minorHAnsi" w:hAnsiTheme="minorHAnsi" w:cstheme="minorBidi"/>
          <w:noProof w:val="0"/>
          <w:color w:val="000000" w:themeColor="text1"/>
          <w:sz w:val="24"/>
          <w:szCs w:val="24"/>
        </w:rPr>
        <w:t xml:space="preserve"> </w:t>
      </w:r>
      <w:hyperlink r:id="rId11" w:history="1">
        <w:r w:rsidRPr="00380E1F">
          <w:rPr>
            <w:rStyle w:val="a7"/>
            <w:color w:val="000000" w:themeColor="text1"/>
            <w:sz w:val="24"/>
            <w:szCs w:val="24"/>
          </w:rPr>
          <w:t>https://doi.org/10.1016/j.indcrop.2013.12.034</w:t>
        </w:r>
      </w:hyperlink>
      <w:bookmarkEnd w:id="9"/>
    </w:p>
    <w:p w14:paraId="114939DC" w14:textId="49430F33" w:rsidR="00A86264" w:rsidRPr="00380E1F" w:rsidRDefault="00A86264" w:rsidP="00A86264">
      <w:pPr>
        <w:pStyle w:val="EndNoteBibliography"/>
        <w:wordWrap w:val="0"/>
        <w:spacing w:line="480" w:lineRule="auto"/>
        <w:rPr>
          <w:b/>
          <w:bCs/>
          <w:sz w:val="24"/>
          <w:szCs w:val="24"/>
        </w:rPr>
      </w:pPr>
      <w:r w:rsidRPr="00380E1F">
        <w:rPr>
          <w:rFonts w:hint="eastAsia"/>
          <w:b/>
          <w:bCs/>
          <w:sz w:val="24"/>
          <w:szCs w:val="24"/>
        </w:rPr>
        <w:t>Fi</w:t>
      </w:r>
      <w:r w:rsidRPr="00380E1F">
        <w:rPr>
          <w:b/>
          <w:bCs/>
          <w:sz w:val="24"/>
          <w:szCs w:val="24"/>
        </w:rPr>
        <w:t>gure:</w:t>
      </w:r>
    </w:p>
    <w:p w14:paraId="413D712F" w14:textId="15992ED9" w:rsidR="00A86264" w:rsidRPr="00380E1F" w:rsidRDefault="00372880" w:rsidP="00F54536">
      <w:pPr>
        <w:pStyle w:val="a8"/>
        <w:spacing w:line="480" w:lineRule="auto"/>
        <w:ind w:left="440" w:firstLineChars="0" w:firstLine="0"/>
        <w:jc w:val="center"/>
        <w:rPr>
          <w:rFonts w:ascii="Times New Roman" w:hAnsi="Times New Roman" w:cs="Times New Roman"/>
          <w:sz w:val="24"/>
          <w:szCs w:val="24"/>
        </w:rPr>
      </w:pPr>
      <w:r w:rsidRPr="00380E1F">
        <w:rPr>
          <w:noProof/>
        </w:rPr>
        <w:drawing>
          <wp:inline distT="0" distB="0" distL="0" distR="0" wp14:anchorId="4B7F4BA0" wp14:editId="0293CB88">
            <wp:extent cx="5484198" cy="1132362"/>
            <wp:effectExtent l="0" t="0" r="2540" b="0"/>
            <wp:docPr id="3113170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0587" cy="1133681"/>
                    </a:xfrm>
                    <a:prstGeom prst="rect">
                      <a:avLst/>
                    </a:prstGeom>
                    <a:noFill/>
                    <a:ln>
                      <a:noFill/>
                    </a:ln>
                  </pic:spPr>
                </pic:pic>
              </a:graphicData>
            </a:graphic>
          </wp:inline>
        </w:drawing>
      </w:r>
    </w:p>
    <w:p w14:paraId="6D2BDDC1" w14:textId="0F86BF5A" w:rsidR="00A86264" w:rsidRPr="00380E1F" w:rsidRDefault="00A86264" w:rsidP="00A86264">
      <w:pPr>
        <w:pStyle w:val="a8"/>
        <w:spacing w:line="480" w:lineRule="auto"/>
        <w:ind w:left="440" w:firstLineChars="0" w:firstLine="0"/>
        <w:jc w:val="center"/>
        <w:rPr>
          <w:rFonts w:ascii="Times New Roman" w:hAnsi="Times New Roman" w:cs="Times New Roman"/>
          <w:sz w:val="24"/>
          <w:szCs w:val="24"/>
        </w:rPr>
      </w:pPr>
      <w:r w:rsidRPr="00380E1F">
        <w:rPr>
          <w:rFonts w:ascii="Times New Roman" w:hAnsi="Times New Roman" w:cs="Times New Roman"/>
          <w:b/>
          <w:bCs/>
          <w:sz w:val="24"/>
          <w:szCs w:val="24"/>
        </w:rPr>
        <w:t>Fig. 1.</w:t>
      </w:r>
      <w:r w:rsidRPr="00380E1F">
        <w:rPr>
          <w:rFonts w:ascii="Times New Roman" w:hAnsi="Times New Roman" w:cs="Times New Roman"/>
          <w:sz w:val="24"/>
          <w:szCs w:val="24"/>
        </w:rPr>
        <w:t xml:space="preserve"> Schematic diagram of ACP treatment and preparation of </w:t>
      </w:r>
      <w:r w:rsidR="001D13BF">
        <w:rPr>
          <w:rFonts w:ascii="Times New Roman" w:hAnsi="Times New Roman" w:cs="Times New Roman"/>
          <w:sz w:val="24"/>
          <w:szCs w:val="24"/>
        </w:rPr>
        <w:t>ZT</w:t>
      </w:r>
      <w:r w:rsidRPr="00380E1F">
        <w:rPr>
          <w:rFonts w:ascii="Times New Roman" w:hAnsi="Times New Roman" w:cs="Times New Roman"/>
          <w:sz w:val="24"/>
          <w:szCs w:val="24"/>
        </w:rPr>
        <w:t xml:space="preserve"> composite particles</w:t>
      </w:r>
    </w:p>
    <w:p w14:paraId="46E73278" w14:textId="3BEFDDA6" w:rsidR="00A86264" w:rsidRPr="00380E1F" w:rsidRDefault="007161D9" w:rsidP="00A86264">
      <w:pPr>
        <w:pStyle w:val="a8"/>
        <w:spacing w:line="480" w:lineRule="auto"/>
        <w:ind w:left="440" w:firstLineChars="0" w:firstLine="0"/>
        <w:jc w:val="center"/>
      </w:pPr>
      <w:r w:rsidRPr="00380E1F">
        <w:rPr>
          <w:noProof/>
        </w:rPr>
        <w:drawing>
          <wp:inline distT="0" distB="0" distL="0" distR="0" wp14:anchorId="3B27D3C7" wp14:editId="5D1F7842">
            <wp:extent cx="3705270" cy="2835383"/>
            <wp:effectExtent l="0" t="0" r="0" b="3175"/>
            <wp:docPr id="1540474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4299" cy="2865249"/>
                    </a:xfrm>
                    <a:prstGeom prst="rect">
                      <a:avLst/>
                    </a:prstGeom>
                    <a:noFill/>
                    <a:ln>
                      <a:noFill/>
                    </a:ln>
                  </pic:spPr>
                </pic:pic>
              </a:graphicData>
            </a:graphic>
          </wp:inline>
        </w:drawing>
      </w:r>
    </w:p>
    <w:p w14:paraId="0E496F98" w14:textId="0325B700" w:rsidR="00C95A48" w:rsidRPr="00A86264" w:rsidRDefault="00A86264" w:rsidP="00A86264">
      <w:pPr>
        <w:pStyle w:val="a8"/>
        <w:spacing w:line="480" w:lineRule="auto"/>
        <w:ind w:left="440" w:firstLineChars="0" w:firstLine="0"/>
        <w:jc w:val="center"/>
        <w:rPr>
          <w:rFonts w:ascii="Times New Roman" w:hAnsi="Times New Roman" w:cs="Times New Roman"/>
          <w:sz w:val="24"/>
          <w:szCs w:val="24"/>
        </w:rPr>
      </w:pPr>
      <w:r w:rsidRPr="00380E1F">
        <w:rPr>
          <w:rFonts w:ascii="Times New Roman" w:hAnsi="Times New Roman" w:cs="Times New Roman"/>
          <w:b/>
          <w:bCs/>
          <w:sz w:val="24"/>
          <w:szCs w:val="24"/>
        </w:rPr>
        <w:t xml:space="preserve">Fig. </w:t>
      </w:r>
      <w:r w:rsidR="001D13BF">
        <w:rPr>
          <w:rFonts w:ascii="Times New Roman" w:hAnsi="Times New Roman" w:cs="Times New Roman"/>
          <w:b/>
          <w:bCs/>
          <w:sz w:val="24"/>
          <w:szCs w:val="24"/>
        </w:rPr>
        <w:t>2</w:t>
      </w:r>
      <w:r w:rsidRPr="00380E1F">
        <w:rPr>
          <w:rFonts w:ascii="Times New Roman" w:hAnsi="Times New Roman" w:cs="Times New Roman"/>
          <w:b/>
          <w:bCs/>
          <w:sz w:val="24"/>
          <w:szCs w:val="24"/>
        </w:rPr>
        <w:t>.</w:t>
      </w:r>
      <w:r w:rsidRPr="00380E1F">
        <w:rPr>
          <w:rFonts w:ascii="Times New Roman" w:hAnsi="Times New Roman" w:cs="Times New Roman"/>
          <w:sz w:val="24"/>
          <w:szCs w:val="24"/>
        </w:rPr>
        <w:t xml:space="preserve"> DSC curves of ZT composite particles</w:t>
      </w:r>
    </w:p>
    <w:sectPr w:rsidR="00C95A48" w:rsidRPr="00A86264" w:rsidSect="00A862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6FB39" w14:textId="77777777" w:rsidR="005E7C96" w:rsidRDefault="005E7C96" w:rsidP="009A478A">
      <w:r>
        <w:separator/>
      </w:r>
    </w:p>
  </w:endnote>
  <w:endnote w:type="continuationSeparator" w:id="0">
    <w:p w14:paraId="48EF18A2" w14:textId="77777777" w:rsidR="005E7C96" w:rsidRDefault="005E7C96" w:rsidP="009A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7777" w14:textId="77777777" w:rsidR="005E7C96" w:rsidRDefault="005E7C96" w:rsidP="009A478A">
      <w:r>
        <w:separator/>
      </w:r>
    </w:p>
  </w:footnote>
  <w:footnote w:type="continuationSeparator" w:id="0">
    <w:p w14:paraId="51D3CAB8" w14:textId="77777777" w:rsidR="005E7C96" w:rsidRDefault="005E7C96" w:rsidP="009A4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E033C"/>
    <w:multiLevelType w:val="hybridMultilevel"/>
    <w:tmpl w:val="8358431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A7A794A"/>
    <w:multiLevelType w:val="hybridMultilevel"/>
    <w:tmpl w:val="AEA6C7BC"/>
    <w:lvl w:ilvl="0" w:tplc="985C73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20950390">
    <w:abstractNumId w:val="0"/>
  </w:num>
  <w:num w:numId="2" w16cid:durableId="82077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83"/>
    <w:rsid w:val="00047143"/>
    <w:rsid w:val="001D13BF"/>
    <w:rsid w:val="001F5131"/>
    <w:rsid w:val="00211AA2"/>
    <w:rsid w:val="00341D4D"/>
    <w:rsid w:val="00372880"/>
    <w:rsid w:val="00380E1F"/>
    <w:rsid w:val="00474E4D"/>
    <w:rsid w:val="005E7C96"/>
    <w:rsid w:val="00602B17"/>
    <w:rsid w:val="00611883"/>
    <w:rsid w:val="00697BFC"/>
    <w:rsid w:val="007161D9"/>
    <w:rsid w:val="00750000"/>
    <w:rsid w:val="007C05FD"/>
    <w:rsid w:val="007E328A"/>
    <w:rsid w:val="00821A04"/>
    <w:rsid w:val="008C7EB9"/>
    <w:rsid w:val="008F7873"/>
    <w:rsid w:val="00920EA1"/>
    <w:rsid w:val="00931A4E"/>
    <w:rsid w:val="009A478A"/>
    <w:rsid w:val="00A86264"/>
    <w:rsid w:val="00C95A48"/>
    <w:rsid w:val="00D02E9F"/>
    <w:rsid w:val="00D67D29"/>
    <w:rsid w:val="00DF24CB"/>
    <w:rsid w:val="00E564BB"/>
    <w:rsid w:val="00F54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FAA80"/>
  <w15:chartTrackingRefBased/>
  <w15:docId w15:val="{25A76E41-7E41-4DE6-8BC5-5C92B859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78A"/>
    <w:pPr>
      <w:widowControl w:val="0"/>
      <w:jc w:val="both"/>
    </w:pPr>
  </w:style>
  <w:style w:type="paragraph" w:styleId="2">
    <w:name w:val="heading 2"/>
    <w:basedOn w:val="a"/>
    <w:next w:val="a"/>
    <w:link w:val="20"/>
    <w:uiPriority w:val="9"/>
    <w:unhideWhenUsed/>
    <w:qFormat/>
    <w:rsid w:val="009A478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478A"/>
    <w:pPr>
      <w:tabs>
        <w:tab w:val="center" w:pos="4153"/>
        <w:tab w:val="right" w:pos="8306"/>
      </w:tabs>
      <w:snapToGrid w:val="0"/>
      <w:jc w:val="center"/>
    </w:pPr>
    <w:rPr>
      <w:sz w:val="18"/>
      <w:szCs w:val="18"/>
    </w:rPr>
  </w:style>
  <w:style w:type="character" w:customStyle="1" w:styleId="a4">
    <w:name w:val="页眉 字符"/>
    <w:basedOn w:val="a0"/>
    <w:link w:val="a3"/>
    <w:uiPriority w:val="99"/>
    <w:rsid w:val="009A478A"/>
    <w:rPr>
      <w:sz w:val="18"/>
      <w:szCs w:val="18"/>
    </w:rPr>
  </w:style>
  <w:style w:type="paragraph" w:styleId="a5">
    <w:name w:val="footer"/>
    <w:basedOn w:val="a"/>
    <w:link w:val="a6"/>
    <w:uiPriority w:val="99"/>
    <w:unhideWhenUsed/>
    <w:rsid w:val="009A478A"/>
    <w:pPr>
      <w:tabs>
        <w:tab w:val="center" w:pos="4153"/>
        <w:tab w:val="right" w:pos="8306"/>
      </w:tabs>
      <w:snapToGrid w:val="0"/>
      <w:jc w:val="left"/>
    </w:pPr>
    <w:rPr>
      <w:sz w:val="18"/>
      <w:szCs w:val="18"/>
    </w:rPr>
  </w:style>
  <w:style w:type="character" w:customStyle="1" w:styleId="a6">
    <w:name w:val="页脚 字符"/>
    <w:basedOn w:val="a0"/>
    <w:link w:val="a5"/>
    <w:uiPriority w:val="99"/>
    <w:rsid w:val="009A478A"/>
    <w:rPr>
      <w:sz w:val="18"/>
      <w:szCs w:val="18"/>
    </w:rPr>
  </w:style>
  <w:style w:type="character" w:customStyle="1" w:styleId="20">
    <w:name w:val="标题 2 字符"/>
    <w:basedOn w:val="a0"/>
    <w:link w:val="2"/>
    <w:uiPriority w:val="9"/>
    <w:rsid w:val="009A478A"/>
    <w:rPr>
      <w:rFonts w:asciiTheme="majorHAnsi" w:eastAsiaTheme="majorEastAsia" w:hAnsiTheme="majorHAnsi" w:cstheme="majorBidi"/>
      <w:b/>
      <w:bCs/>
      <w:sz w:val="32"/>
      <w:szCs w:val="32"/>
    </w:rPr>
  </w:style>
  <w:style w:type="paragraph" w:customStyle="1" w:styleId="EndNoteBibliography">
    <w:name w:val="EndNote Bibliography"/>
    <w:basedOn w:val="a"/>
    <w:link w:val="EndNoteBibliographyChar"/>
    <w:rsid w:val="009A478A"/>
    <w:rPr>
      <w:rFonts w:ascii="Times New Roman" w:hAnsi="Times New Roman" w:cs="Times New Roman"/>
      <w:noProof/>
      <w:sz w:val="20"/>
    </w:rPr>
  </w:style>
  <w:style w:type="character" w:customStyle="1" w:styleId="EndNoteBibliographyChar">
    <w:name w:val="EndNote Bibliography Char"/>
    <w:basedOn w:val="a0"/>
    <w:link w:val="EndNoteBibliography"/>
    <w:rsid w:val="009A478A"/>
    <w:rPr>
      <w:rFonts w:ascii="Times New Roman" w:hAnsi="Times New Roman" w:cs="Times New Roman"/>
      <w:noProof/>
      <w:sz w:val="20"/>
    </w:rPr>
  </w:style>
  <w:style w:type="character" w:styleId="a7">
    <w:name w:val="Hyperlink"/>
    <w:basedOn w:val="a0"/>
    <w:uiPriority w:val="99"/>
    <w:unhideWhenUsed/>
    <w:rsid w:val="009A478A"/>
    <w:rPr>
      <w:color w:val="0000FF"/>
      <w:u w:val="single"/>
    </w:rPr>
  </w:style>
  <w:style w:type="paragraph" w:styleId="a8">
    <w:name w:val="List Paragraph"/>
    <w:basedOn w:val="a"/>
    <w:uiPriority w:val="34"/>
    <w:qFormat/>
    <w:rsid w:val="00D02E9F"/>
    <w:pPr>
      <w:ind w:firstLineChars="200" w:firstLine="420"/>
    </w:pPr>
  </w:style>
  <w:style w:type="character" w:styleId="a9">
    <w:name w:val="Unresolved Mention"/>
    <w:basedOn w:val="a0"/>
    <w:uiPriority w:val="99"/>
    <w:semiHidden/>
    <w:unhideWhenUsed/>
    <w:rsid w:val="00D02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biomac.2020.07.207" TargetMode="External"/><Relationship Id="rId13"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hyperlink" Target="https://doi.org/10.1016/j.foodhyd.2020.106258" TargetMode="External"/><Relationship Id="rId12"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indcrop.2013.12.0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16/j.lwt.2021.110881" TargetMode="External"/><Relationship Id="rId4" Type="http://schemas.openxmlformats.org/officeDocument/2006/relationships/webSettings" Target="webSettings.xml"/><Relationship Id="rId9" Type="http://schemas.openxmlformats.org/officeDocument/2006/relationships/hyperlink" Target="https://doi.org/10.1111/1750-3841.1535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1726</Words>
  <Characters>9839</Characters>
  <Application>Microsoft Office Word</Application>
  <DocSecurity>0</DocSecurity>
  <Lines>81</Lines>
  <Paragraphs>23</Paragraphs>
  <ScaleCrop>false</ScaleCrop>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 爽</dc:creator>
  <cp:keywords/>
  <dc:description/>
  <cp:lastModifiedBy>董 爽</cp:lastModifiedBy>
  <cp:revision>33</cp:revision>
  <dcterms:created xsi:type="dcterms:W3CDTF">2023-07-10T07:15:00Z</dcterms:created>
  <dcterms:modified xsi:type="dcterms:W3CDTF">2023-07-18T04:08:00Z</dcterms:modified>
</cp:coreProperties>
</file>