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41208" w14:textId="0C49BFE9" w:rsidR="00B964A4" w:rsidRPr="00E10B54" w:rsidRDefault="001308A3" w:rsidP="002D58B6">
      <w:pPr>
        <w:rPr>
          <w:rStyle w:val="a6"/>
          <w:rFonts w:ascii="Times New Roman" w:hAnsi="Times New Roman"/>
          <w:b/>
          <w:bCs/>
          <w:color w:val="auto"/>
          <w:sz w:val="24"/>
          <w:szCs w:val="24"/>
        </w:rPr>
      </w:pPr>
      <w:r>
        <w:rPr>
          <w:rStyle w:val="a6"/>
          <w:rFonts w:ascii="Times New Roman" w:hAnsi="Times New Roman"/>
          <w:b/>
          <w:bCs/>
          <w:color w:val="auto"/>
          <w:sz w:val="24"/>
          <w:szCs w:val="24"/>
        </w:rPr>
        <w:t xml:space="preserve">Supplementary </w:t>
      </w:r>
      <w:r w:rsidR="00000000" w:rsidRPr="001A4173">
        <w:rPr>
          <w:rStyle w:val="a6"/>
          <w:rFonts w:ascii="Times New Roman" w:hAnsi="Times New Roman"/>
          <w:b/>
          <w:bCs/>
          <w:color w:val="auto"/>
          <w:sz w:val="24"/>
          <w:szCs w:val="24"/>
        </w:rPr>
        <w:t>Figure</w:t>
      </w:r>
      <w:r w:rsidR="00561838">
        <w:rPr>
          <w:rStyle w:val="a6"/>
          <w:rFonts w:ascii="Times New Roman" w:hAnsi="Times New Roman" w:hint="eastAsia"/>
          <w:b/>
          <w:bCs/>
          <w:color w:val="auto"/>
          <w:sz w:val="24"/>
          <w:szCs w:val="24"/>
        </w:rPr>
        <w:t xml:space="preserve"> </w:t>
      </w:r>
      <w:r w:rsidR="00561838">
        <w:rPr>
          <w:rStyle w:val="a6"/>
          <w:rFonts w:ascii="Times New Roman" w:hAnsi="Times New Roman"/>
          <w:b/>
          <w:bCs/>
          <w:color w:val="auto"/>
          <w:sz w:val="24"/>
          <w:szCs w:val="24"/>
        </w:rPr>
        <w:t>Legend</w:t>
      </w:r>
      <w:r w:rsidR="00000000" w:rsidRPr="001A4173">
        <w:rPr>
          <w:rStyle w:val="a6"/>
          <w:rFonts w:ascii="Times New Roman" w:hAnsi="Times New Roman"/>
          <w:b/>
          <w:bCs/>
          <w:color w:val="auto"/>
          <w:sz w:val="24"/>
          <w:szCs w:val="24"/>
        </w:rPr>
        <w:t>s</w:t>
      </w:r>
      <w:bookmarkStart w:id="0" w:name="_Hlk130236273"/>
    </w:p>
    <w:bookmarkEnd w:id="0"/>
    <w:p w14:paraId="3D175A54" w14:textId="5FE9ABE2" w:rsidR="00025B4E" w:rsidRPr="00062316" w:rsidRDefault="00025B4E" w:rsidP="00062316">
      <w:pPr>
        <w:pStyle w:val="a9"/>
        <w:rPr>
          <w:rStyle w:val="a6"/>
          <w:rFonts w:ascii="Times New Roman" w:hAnsi="Times New Roman"/>
          <w:color w:val="auto"/>
          <w:sz w:val="24"/>
          <w:szCs w:val="24"/>
        </w:rPr>
      </w:pPr>
      <w:r>
        <w:rPr>
          <w:rStyle w:val="a6"/>
          <w:rFonts w:ascii="Times New Roman" w:hAnsi="Times New Roman" w:hint="eastAsia"/>
          <w:b/>
          <w:bCs/>
          <w:color w:val="auto"/>
          <w:sz w:val="24"/>
          <w:szCs w:val="24"/>
        </w:rPr>
        <w:t>Supplementary</w:t>
      </w:r>
      <w:r>
        <w:rPr>
          <w:rStyle w:val="a6"/>
          <w:rFonts w:ascii="Times New Roman" w:hAnsi="Times New Roman"/>
          <w:b/>
          <w:bCs/>
          <w:color w:val="auto"/>
          <w:sz w:val="24"/>
          <w:szCs w:val="24"/>
        </w:rPr>
        <w:t xml:space="preserve"> </w:t>
      </w:r>
      <w:r>
        <w:rPr>
          <w:rStyle w:val="a6"/>
          <w:rFonts w:ascii="Times New Roman" w:hAnsi="Times New Roman" w:hint="eastAsia"/>
          <w:b/>
          <w:bCs/>
          <w:color w:val="auto"/>
          <w:sz w:val="24"/>
          <w:szCs w:val="24"/>
        </w:rPr>
        <w:t>Fig</w:t>
      </w:r>
      <w:r>
        <w:rPr>
          <w:rStyle w:val="a6"/>
          <w:rFonts w:ascii="Times New Roman" w:hAnsi="Times New Roman"/>
          <w:b/>
          <w:bCs/>
          <w:color w:val="auto"/>
          <w:sz w:val="24"/>
          <w:szCs w:val="24"/>
        </w:rPr>
        <w:t>. 1</w:t>
      </w:r>
    </w:p>
    <w:p w14:paraId="43F10A61" w14:textId="77777777" w:rsidR="00025B4E" w:rsidRDefault="00025B4E" w:rsidP="00025B4E">
      <w:pPr>
        <w:rPr>
          <w:rStyle w:val="a6"/>
          <w:rFonts w:ascii="Times New Roman" w:hAnsi="Times New Roman"/>
          <w:color w:val="auto"/>
          <w:sz w:val="24"/>
          <w:szCs w:val="24"/>
        </w:rPr>
      </w:pPr>
      <w:r>
        <w:rPr>
          <w:rStyle w:val="a6"/>
          <w:rFonts w:ascii="Times New Roman" w:hAnsi="Times New Roman"/>
          <w:color w:val="auto"/>
          <w:sz w:val="24"/>
          <w:szCs w:val="24"/>
        </w:rPr>
        <w:t>A</w:t>
      </w:r>
      <w:r w:rsidRPr="001A4173">
        <w:rPr>
          <w:rStyle w:val="a6"/>
          <w:rFonts w:ascii="Times New Roman" w:hAnsi="Times New Roman"/>
          <w:color w:val="auto"/>
          <w:sz w:val="24"/>
          <w:szCs w:val="24"/>
        </w:rPr>
        <w:t xml:space="preserve"> representative embryo</w:t>
      </w:r>
      <w:r>
        <w:rPr>
          <w:rStyle w:val="a6"/>
          <w:rFonts w:ascii="Times New Roman" w:hAnsi="Times New Roman"/>
          <w:color w:val="auto"/>
          <w:sz w:val="24"/>
          <w:szCs w:val="24"/>
        </w:rPr>
        <w:t xml:space="preserve"> in lateral view</w:t>
      </w:r>
      <w:r w:rsidRPr="001A4173">
        <w:rPr>
          <w:rStyle w:val="a6"/>
          <w:rFonts w:ascii="Times New Roman" w:hAnsi="Times New Roman"/>
          <w:color w:val="auto"/>
          <w:sz w:val="24"/>
          <w:szCs w:val="24"/>
        </w:rPr>
        <w:t xml:space="preserve"> </w:t>
      </w:r>
      <w:proofErr w:type="spellStart"/>
      <w:r w:rsidRPr="001A4173">
        <w:rPr>
          <w:rStyle w:val="a6"/>
          <w:rFonts w:ascii="Times New Roman" w:hAnsi="Times New Roman"/>
          <w:color w:val="auto"/>
          <w:sz w:val="24"/>
          <w:szCs w:val="24"/>
        </w:rPr>
        <w:t>immunostained</w:t>
      </w:r>
      <w:proofErr w:type="spellEnd"/>
      <w:r w:rsidRPr="001A4173">
        <w:rPr>
          <w:rStyle w:val="a6"/>
          <w:rFonts w:ascii="Times New Roman" w:hAnsi="Times New Roman"/>
          <w:color w:val="auto"/>
          <w:sz w:val="24"/>
          <w:szCs w:val="24"/>
        </w:rPr>
        <w:t xml:space="preserve"> with anti-γ-tubulin (yellow) and kinesin (cyan) antibodies at 90 min. The nucleus/chromosomes are</w:t>
      </w:r>
      <w:r>
        <w:rPr>
          <w:rStyle w:val="a6"/>
          <w:rFonts w:ascii="Times New Roman" w:hAnsi="Times New Roman"/>
          <w:color w:val="auto"/>
          <w:sz w:val="24"/>
          <w:szCs w:val="24"/>
        </w:rPr>
        <w:t xml:space="preserve"> counterstained by SYTOX Green (magenta)</w:t>
      </w:r>
      <w:r w:rsidRPr="001A4173">
        <w:rPr>
          <w:rStyle w:val="a6"/>
          <w:rFonts w:ascii="Times New Roman" w:hAnsi="Times New Roman"/>
          <w:color w:val="auto"/>
          <w:sz w:val="24"/>
          <w:szCs w:val="24"/>
        </w:rPr>
        <w:t>.</w:t>
      </w:r>
    </w:p>
    <w:p w14:paraId="5A13B92F" w14:textId="77777777" w:rsidR="00025B4E" w:rsidRDefault="00025B4E" w:rsidP="002D58B6">
      <w:pPr>
        <w:pStyle w:val="a9"/>
        <w:rPr>
          <w:rFonts w:eastAsiaTheme="minorEastAsia"/>
          <w:b/>
          <w:bCs/>
          <w:color w:val="auto"/>
        </w:rPr>
      </w:pPr>
    </w:p>
    <w:p w14:paraId="57108F0B" w14:textId="77777777" w:rsidR="00025B4E" w:rsidRPr="001A4173" w:rsidRDefault="00025B4E" w:rsidP="00025B4E">
      <w:pPr>
        <w:rPr>
          <w:rStyle w:val="a6"/>
          <w:rFonts w:ascii="Times New Roman" w:eastAsia="Times New Roman" w:hAnsi="Times New Roman" w:cs="Times New Roman"/>
          <w:b/>
          <w:bCs/>
          <w:color w:val="auto"/>
          <w:sz w:val="24"/>
          <w:szCs w:val="24"/>
        </w:rPr>
      </w:pPr>
      <w:r>
        <w:rPr>
          <w:rStyle w:val="a6"/>
          <w:rFonts w:ascii="Times New Roman" w:hAnsi="Times New Roman"/>
          <w:b/>
          <w:bCs/>
          <w:color w:val="auto"/>
          <w:sz w:val="24"/>
          <w:szCs w:val="24"/>
        </w:rPr>
        <w:t>Supplementary Fig. 2</w:t>
      </w:r>
    </w:p>
    <w:p w14:paraId="1F6E26C9" w14:textId="77777777" w:rsidR="00025B4E" w:rsidRDefault="00025B4E" w:rsidP="00025B4E">
      <w:pPr>
        <w:rPr>
          <w:rStyle w:val="a6"/>
          <w:rFonts w:ascii="Times New Roman" w:hAnsi="Times New Roman"/>
          <w:color w:val="auto"/>
          <w:sz w:val="24"/>
          <w:szCs w:val="24"/>
        </w:rPr>
      </w:pPr>
      <w:r w:rsidRPr="001A4173">
        <w:rPr>
          <w:rStyle w:val="a6"/>
          <w:rFonts w:ascii="Times New Roman" w:hAnsi="Times New Roman"/>
          <w:color w:val="auto"/>
          <w:sz w:val="24"/>
          <w:szCs w:val="24"/>
        </w:rPr>
        <w:t xml:space="preserve">Two-dimensional projection of centrosome positions at 40 min and 60 min to the medial plane of the embryo. The center of the embryo is used as the origin point. Small dots represent coordinates for each individual, and large ones represent the mean of </w:t>
      </w:r>
      <w:r>
        <w:rPr>
          <w:rStyle w:val="a6"/>
          <w:rFonts w:ascii="Times New Roman" w:hAnsi="Times New Roman"/>
          <w:color w:val="auto"/>
          <w:sz w:val="24"/>
          <w:szCs w:val="24"/>
        </w:rPr>
        <w:t xml:space="preserve">the </w:t>
      </w:r>
      <w:r w:rsidRPr="001A4173">
        <w:rPr>
          <w:rStyle w:val="a6"/>
          <w:rFonts w:ascii="Times New Roman" w:hAnsi="Times New Roman"/>
          <w:color w:val="auto"/>
          <w:sz w:val="24"/>
          <w:szCs w:val="24"/>
        </w:rPr>
        <w:t xml:space="preserve">data. The positions of the animal centrosome at 40 min and 60 min are shown in light and dark blue, respectively. The positions of the vegetal centrosome at 40 min and 60 min are shown in light and dark yellow, respectively. </w:t>
      </w:r>
    </w:p>
    <w:p w14:paraId="2ED32319" w14:textId="77777777" w:rsidR="00025B4E" w:rsidRDefault="00025B4E" w:rsidP="00025B4E">
      <w:pPr>
        <w:rPr>
          <w:rStyle w:val="a6"/>
          <w:rFonts w:ascii="Times New Roman" w:hAnsi="Times New Roman"/>
          <w:color w:val="auto"/>
          <w:sz w:val="24"/>
          <w:szCs w:val="24"/>
        </w:rPr>
      </w:pPr>
    </w:p>
    <w:p w14:paraId="4BE21E15" w14:textId="1D4C9EA0" w:rsidR="00025B4E" w:rsidRPr="00187AA3" w:rsidRDefault="00025B4E" w:rsidP="00025B4E">
      <w:pPr>
        <w:rPr>
          <w:rStyle w:val="a6"/>
          <w:rFonts w:ascii="Times New Roman" w:hAnsi="Times New Roman"/>
          <w:b/>
          <w:bCs/>
          <w:color w:val="auto"/>
          <w:sz w:val="24"/>
          <w:szCs w:val="24"/>
        </w:rPr>
      </w:pPr>
      <w:r>
        <w:rPr>
          <w:rStyle w:val="a6"/>
          <w:rFonts w:ascii="Times New Roman" w:hAnsi="Times New Roman"/>
          <w:b/>
          <w:bCs/>
          <w:color w:val="auto"/>
          <w:sz w:val="24"/>
          <w:szCs w:val="24"/>
        </w:rPr>
        <w:t xml:space="preserve">Supplementary Fig. </w:t>
      </w:r>
      <w:r>
        <w:rPr>
          <w:rStyle w:val="a6"/>
          <w:rFonts w:ascii="Times New Roman" w:hAnsi="Times New Roman" w:hint="eastAsia"/>
          <w:b/>
          <w:bCs/>
          <w:color w:val="auto"/>
          <w:sz w:val="24"/>
          <w:szCs w:val="24"/>
        </w:rPr>
        <w:t>3</w:t>
      </w:r>
    </w:p>
    <w:p w14:paraId="5558545F" w14:textId="61832E30" w:rsidR="00025B4E" w:rsidRDefault="00025B4E" w:rsidP="00025B4E">
      <w:pPr>
        <w:rPr>
          <w:rStyle w:val="a6"/>
          <w:rFonts w:ascii="Times New Roman" w:hAnsi="Times New Roman"/>
          <w:color w:val="auto"/>
          <w:sz w:val="24"/>
          <w:szCs w:val="24"/>
        </w:rPr>
      </w:pPr>
      <w:r w:rsidRPr="001A4173">
        <w:rPr>
          <w:rStyle w:val="a6"/>
          <w:rFonts w:ascii="Times New Roman" w:hAnsi="Times New Roman"/>
          <w:color w:val="auto"/>
          <w:sz w:val="24"/>
          <w:szCs w:val="24"/>
        </w:rPr>
        <w:t>The distance between the animal and vegetal centrosomes in control (magenta) and PEM knockdown (green) embryos in the B3 cells. Error bars represent the mean ± SEM.</w:t>
      </w:r>
      <w:r>
        <w:rPr>
          <w:rStyle w:val="a6"/>
          <w:rFonts w:ascii="Times New Roman" w:hAnsi="Times New Roman"/>
          <w:color w:val="auto"/>
          <w:sz w:val="24"/>
          <w:szCs w:val="24"/>
        </w:rPr>
        <w:t xml:space="preserve"> </w:t>
      </w:r>
      <w:r>
        <w:rPr>
          <w:rStyle w:val="a6"/>
          <w:rFonts w:ascii="Times New Roman" w:hAnsi="Times New Roman" w:hint="eastAsia"/>
          <w:color w:val="auto"/>
          <w:sz w:val="24"/>
          <w:szCs w:val="24"/>
        </w:rPr>
        <w:t>G</w:t>
      </w:r>
      <w:r>
        <w:rPr>
          <w:rStyle w:val="a6"/>
          <w:rFonts w:ascii="Times New Roman" w:hAnsi="Times New Roman"/>
          <w:color w:val="auto"/>
          <w:sz w:val="24"/>
          <w:szCs w:val="24"/>
        </w:rPr>
        <w:t xml:space="preserve">roups were compared using a Games-Howell test for the </w:t>
      </w:r>
      <w:r>
        <w:rPr>
          <w:rStyle w:val="a6"/>
          <w:rFonts w:ascii="Times New Roman" w:hAnsi="Times New Roman"/>
          <w:i/>
          <w:iCs/>
          <w:color w:val="auto"/>
          <w:sz w:val="24"/>
          <w:szCs w:val="24"/>
        </w:rPr>
        <w:t>p</w:t>
      </w:r>
      <w:r>
        <w:rPr>
          <w:rStyle w:val="a6"/>
          <w:rFonts w:ascii="Times New Roman" w:hAnsi="Times New Roman"/>
          <w:color w:val="auto"/>
          <w:sz w:val="24"/>
          <w:szCs w:val="24"/>
        </w:rPr>
        <w:t xml:space="preserve">-value, and we used Hedges’ </w:t>
      </w:r>
      <w:r>
        <w:rPr>
          <w:rStyle w:val="a6"/>
          <w:rFonts w:ascii="Times New Roman" w:hAnsi="Times New Roman"/>
          <w:i/>
          <w:iCs/>
          <w:color w:val="auto"/>
          <w:sz w:val="24"/>
          <w:szCs w:val="24"/>
        </w:rPr>
        <w:t>g</w:t>
      </w:r>
      <w:r>
        <w:rPr>
          <w:rStyle w:val="a6"/>
          <w:rFonts w:ascii="Times New Roman" w:hAnsi="Times New Roman"/>
          <w:color w:val="auto"/>
          <w:sz w:val="24"/>
          <w:szCs w:val="24"/>
        </w:rPr>
        <w:t xml:space="preserve"> </w:t>
      </w:r>
      <w:r>
        <w:rPr>
          <w:rStyle w:val="a6"/>
          <w:rFonts w:ascii="Times New Roman" w:hAnsi="Times New Roman" w:hint="eastAsia"/>
          <w:color w:val="auto"/>
          <w:sz w:val="24"/>
          <w:szCs w:val="24"/>
        </w:rPr>
        <w:t>as</w:t>
      </w:r>
      <w:r>
        <w:rPr>
          <w:rStyle w:val="a6"/>
          <w:rFonts w:ascii="Times New Roman" w:hAnsi="Times New Roman"/>
          <w:color w:val="auto"/>
          <w:sz w:val="24"/>
          <w:szCs w:val="24"/>
        </w:rPr>
        <w:t xml:space="preserve"> the effect size. </w:t>
      </w:r>
      <w:r w:rsidRPr="001A4173">
        <w:rPr>
          <w:rStyle w:val="a6"/>
          <w:rFonts w:ascii="Times New Roman" w:hAnsi="Times New Roman"/>
          <w:color w:val="auto"/>
          <w:sz w:val="24"/>
          <w:szCs w:val="24"/>
        </w:rPr>
        <w:t>Results of statistical analyses between control and PEM knockdown embryos are shown on the data plots. Horizontal bold bars above</w:t>
      </w:r>
      <w:r>
        <w:rPr>
          <w:rStyle w:val="a6"/>
          <w:rFonts w:ascii="Times New Roman" w:hAnsi="Times New Roman"/>
          <w:color w:val="auto"/>
          <w:sz w:val="24"/>
          <w:szCs w:val="24"/>
        </w:rPr>
        <w:t xml:space="preserve"> (magenta)</w:t>
      </w:r>
      <w:r w:rsidRPr="001A4173">
        <w:rPr>
          <w:rStyle w:val="a6"/>
          <w:rFonts w:ascii="Times New Roman" w:hAnsi="Times New Roman"/>
          <w:color w:val="auto"/>
          <w:sz w:val="24"/>
          <w:szCs w:val="24"/>
        </w:rPr>
        <w:t xml:space="preserve"> and below</w:t>
      </w:r>
      <w:r>
        <w:rPr>
          <w:rStyle w:val="a6"/>
          <w:rFonts w:ascii="Times New Roman" w:hAnsi="Times New Roman"/>
          <w:color w:val="auto"/>
          <w:sz w:val="24"/>
          <w:szCs w:val="24"/>
        </w:rPr>
        <w:t xml:space="preserve"> (green)</w:t>
      </w:r>
      <w:r w:rsidRPr="001A4173">
        <w:rPr>
          <w:rStyle w:val="a6"/>
          <w:rFonts w:ascii="Times New Roman" w:hAnsi="Times New Roman"/>
          <w:color w:val="auto"/>
          <w:sz w:val="24"/>
          <w:szCs w:val="24"/>
        </w:rPr>
        <w:t xml:space="preserve"> the plots represent the groups compared within the control and PEM knockdown embryos, respectively.</w:t>
      </w:r>
      <w:r w:rsidRPr="00095D26">
        <w:rPr>
          <w:rStyle w:val="a3"/>
          <w:rFonts w:ascii="Times New Roman" w:hAnsi="Times New Roman"/>
          <w:color w:val="auto"/>
          <w:sz w:val="24"/>
          <w:szCs w:val="24"/>
        </w:rPr>
        <w:t xml:space="preserve"> </w:t>
      </w:r>
      <w:r>
        <w:rPr>
          <w:rStyle w:val="a6"/>
          <w:rFonts w:ascii="Times New Roman" w:hAnsi="Times New Roman"/>
          <w:color w:val="auto"/>
          <w:sz w:val="24"/>
          <w:szCs w:val="24"/>
        </w:rPr>
        <w:t>All groups have a sample size of 18 each.</w:t>
      </w:r>
      <w:r w:rsidRPr="00095D26">
        <w:rPr>
          <w:rStyle w:val="a3"/>
          <w:rFonts w:ascii="Times New Roman" w:hAnsi="Times New Roman"/>
          <w:color w:val="auto"/>
          <w:sz w:val="24"/>
          <w:szCs w:val="24"/>
        </w:rPr>
        <w:t xml:space="preserve"> </w:t>
      </w:r>
      <w:r w:rsidRPr="001A4173">
        <w:rPr>
          <w:rStyle w:val="a6"/>
          <w:rFonts w:ascii="Times New Roman" w:hAnsi="Times New Roman"/>
          <w:color w:val="auto"/>
          <w:sz w:val="24"/>
          <w:szCs w:val="24"/>
        </w:rPr>
        <w:t xml:space="preserve">**, </w:t>
      </w:r>
      <w:r w:rsidRPr="001A4173">
        <w:rPr>
          <w:rStyle w:val="a6"/>
          <w:rFonts w:ascii="Times New Roman" w:hAnsi="Times New Roman"/>
          <w:i/>
          <w:iCs/>
          <w:color w:val="auto"/>
          <w:sz w:val="24"/>
          <w:szCs w:val="24"/>
        </w:rPr>
        <w:t xml:space="preserve">p </w:t>
      </w:r>
      <w:r w:rsidRPr="001A4173">
        <w:rPr>
          <w:rStyle w:val="a6"/>
          <w:rFonts w:ascii="Times New Roman" w:hAnsi="Times New Roman"/>
          <w:color w:val="auto"/>
          <w:sz w:val="24"/>
          <w:szCs w:val="24"/>
        </w:rPr>
        <w:t>&lt; 0.05 and the confidence interval of the effect size does not include 0; NS,</w:t>
      </w:r>
      <w:r>
        <w:rPr>
          <w:rStyle w:val="a6"/>
          <w:rFonts w:ascii="Times New Roman" w:hAnsi="Times New Roman"/>
          <w:color w:val="auto"/>
          <w:sz w:val="24"/>
          <w:szCs w:val="24"/>
        </w:rPr>
        <w:t xml:space="preserve"> the</w:t>
      </w:r>
      <w:r w:rsidRPr="001A4173">
        <w:rPr>
          <w:rStyle w:val="a6"/>
          <w:rFonts w:ascii="Times New Roman" w:hAnsi="Times New Roman"/>
          <w:color w:val="auto"/>
          <w:sz w:val="24"/>
          <w:szCs w:val="24"/>
        </w:rPr>
        <w:t xml:space="preserve"> </w:t>
      </w:r>
      <w:r w:rsidRPr="001A4173">
        <w:rPr>
          <w:rStyle w:val="a6"/>
          <w:rFonts w:ascii="Times New Roman" w:hAnsi="Times New Roman"/>
          <w:i/>
          <w:iCs/>
          <w:color w:val="auto"/>
          <w:sz w:val="24"/>
          <w:szCs w:val="24"/>
        </w:rPr>
        <w:t>p</w:t>
      </w:r>
      <w:r w:rsidRPr="001A4173">
        <w:rPr>
          <w:rStyle w:val="a6"/>
          <w:rFonts w:ascii="Times New Roman" w:hAnsi="Times New Roman"/>
          <w:color w:val="auto"/>
          <w:sz w:val="24"/>
          <w:szCs w:val="24"/>
        </w:rPr>
        <w:t>-value is not significant and the confidence interval of the effect size includes 0.</w:t>
      </w:r>
    </w:p>
    <w:p w14:paraId="0DE6665E" w14:textId="77777777" w:rsidR="00025B4E" w:rsidRDefault="00025B4E" w:rsidP="00025B4E">
      <w:pPr>
        <w:rPr>
          <w:rStyle w:val="a6"/>
          <w:rFonts w:ascii="Times New Roman" w:hAnsi="Times New Roman"/>
          <w:color w:val="auto"/>
          <w:sz w:val="24"/>
          <w:szCs w:val="24"/>
        </w:rPr>
      </w:pPr>
    </w:p>
    <w:p w14:paraId="101F468B" w14:textId="77777777" w:rsidR="00025B4E" w:rsidRPr="001A4173" w:rsidRDefault="00025B4E" w:rsidP="00025B4E">
      <w:pPr>
        <w:rPr>
          <w:rStyle w:val="a6"/>
          <w:rFonts w:ascii="Times New Roman" w:eastAsia="Times New Roman" w:hAnsi="Times New Roman" w:cs="Times New Roman"/>
          <w:color w:val="auto"/>
          <w:sz w:val="24"/>
          <w:szCs w:val="24"/>
        </w:rPr>
      </w:pPr>
      <w:r>
        <w:rPr>
          <w:rStyle w:val="a6"/>
          <w:rFonts w:ascii="Times New Roman" w:hAnsi="Times New Roman"/>
          <w:b/>
          <w:bCs/>
          <w:color w:val="auto"/>
          <w:sz w:val="24"/>
          <w:szCs w:val="24"/>
        </w:rPr>
        <w:t>Supplementary Fig. 4</w:t>
      </w:r>
    </w:p>
    <w:p w14:paraId="1AE1EEA2" w14:textId="77777777" w:rsidR="00025B4E" w:rsidRDefault="00025B4E" w:rsidP="00025B4E">
      <w:pPr>
        <w:rPr>
          <w:rStyle w:val="a6"/>
          <w:rFonts w:ascii="Times New Roman" w:hAnsi="Times New Roman"/>
          <w:color w:val="auto"/>
          <w:sz w:val="24"/>
          <w:szCs w:val="24"/>
        </w:rPr>
      </w:pPr>
      <w:r w:rsidRPr="001A4173">
        <w:rPr>
          <w:rStyle w:val="a6"/>
          <w:rFonts w:ascii="Times New Roman" w:hAnsi="Times New Roman"/>
          <w:color w:val="auto"/>
          <w:sz w:val="24"/>
          <w:szCs w:val="24"/>
        </w:rPr>
        <w:t>Comparing the CAB position at the 4-cell stage between control and PEM knockdown embryos. (</w:t>
      </w:r>
      <w:r>
        <w:rPr>
          <w:rStyle w:val="a6"/>
          <w:rFonts w:ascii="Times New Roman" w:hAnsi="Times New Roman"/>
          <w:color w:val="auto"/>
          <w:sz w:val="24"/>
          <w:szCs w:val="24"/>
        </w:rPr>
        <w:t>a</w:t>
      </w:r>
      <w:r w:rsidRPr="001A4173">
        <w:rPr>
          <w:rStyle w:val="a6"/>
          <w:rFonts w:ascii="Times New Roman" w:hAnsi="Times New Roman"/>
          <w:color w:val="auto"/>
          <w:sz w:val="24"/>
          <w:szCs w:val="24"/>
        </w:rPr>
        <w:t>) A schematic diagram describing how the CAB position along the animal-vegetal axis was defined. The vegetal pole is 0%, and the animal pole is 100%. (</w:t>
      </w:r>
      <w:r>
        <w:rPr>
          <w:rStyle w:val="a6"/>
          <w:rFonts w:ascii="Times New Roman" w:hAnsi="Times New Roman"/>
          <w:color w:val="auto"/>
          <w:sz w:val="24"/>
          <w:szCs w:val="24"/>
        </w:rPr>
        <w:t>b</w:t>
      </w:r>
      <w:r w:rsidRPr="001A4173">
        <w:rPr>
          <w:rStyle w:val="a6"/>
          <w:rFonts w:ascii="Times New Roman" w:hAnsi="Times New Roman"/>
          <w:color w:val="auto"/>
          <w:sz w:val="24"/>
          <w:szCs w:val="24"/>
        </w:rPr>
        <w:t>) The CAB positions at 40 min in control and PEM knockdown embryos are shown. Error bars represent the mean ± SEM.</w:t>
      </w:r>
      <w:r>
        <w:rPr>
          <w:rStyle w:val="a6"/>
          <w:rFonts w:ascii="Times New Roman" w:hAnsi="Times New Roman"/>
          <w:color w:val="auto"/>
          <w:sz w:val="24"/>
          <w:szCs w:val="24"/>
        </w:rPr>
        <w:t xml:space="preserve"> </w:t>
      </w:r>
      <w:r>
        <w:rPr>
          <w:rStyle w:val="a6"/>
          <w:rFonts w:ascii="Times New Roman" w:hAnsi="Times New Roman" w:hint="eastAsia"/>
          <w:color w:val="auto"/>
          <w:sz w:val="24"/>
          <w:szCs w:val="24"/>
        </w:rPr>
        <w:t>G</w:t>
      </w:r>
      <w:r>
        <w:rPr>
          <w:rStyle w:val="a6"/>
          <w:rFonts w:ascii="Times New Roman" w:hAnsi="Times New Roman"/>
          <w:color w:val="auto"/>
          <w:sz w:val="24"/>
          <w:szCs w:val="24"/>
        </w:rPr>
        <w:t xml:space="preserve">roups were compared using a Games-Howell test for the </w:t>
      </w:r>
      <w:r>
        <w:rPr>
          <w:rStyle w:val="a6"/>
          <w:rFonts w:ascii="Times New Roman" w:hAnsi="Times New Roman"/>
          <w:i/>
          <w:iCs/>
          <w:color w:val="auto"/>
          <w:sz w:val="24"/>
          <w:szCs w:val="24"/>
        </w:rPr>
        <w:t>p</w:t>
      </w:r>
      <w:r>
        <w:rPr>
          <w:rStyle w:val="a6"/>
          <w:rFonts w:ascii="Times New Roman" w:hAnsi="Times New Roman"/>
          <w:color w:val="auto"/>
          <w:sz w:val="24"/>
          <w:szCs w:val="24"/>
        </w:rPr>
        <w:t xml:space="preserve">-value. We used Hedges’ </w:t>
      </w:r>
      <w:r>
        <w:rPr>
          <w:rStyle w:val="a6"/>
          <w:rFonts w:ascii="Times New Roman" w:hAnsi="Times New Roman"/>
          <w:i/>
          <w:iCs/>
          <w:color w:val="auto"/>
          <w:sz w:val="24"/>
          <w:szCs w:val="24"/>
        </w:rPr>
        <w:t>g</w:t>
      </w:r>
      <w:r>
        <w:rPr>
          <w:rStyle w:val="a6"/>
          <w:rFonts w:ascii="Times New Roman" w:hAnsi="Times New Roman"/>
          <w:color w:val="auto"/>
          <w:sz w:val="24"/>
          <w:szCs w:val="24"/>
        </w:rPr>
        <w:t xml:space="preserve"> </w:t>
      </w:r>
      <w:r>
        <w:rPr>
          <w:rStyle w:val="a6"/>
          <w:rFonts w:ascii="Times New Roman" w:hAnsi="Times New Roman" w:hint="eastAsia"/>
          <w:color w:val="auto"/>
          <w:sz w:val="24"/>
          <w:szCs w:val="24"/>
        </w:rPr>
        <w:t>as</w:t>
      </w:r>
      <w:r>
        <w:rPr>
          <w:rStyle w:val="a6"/>
          <w:rFonts w:ascii="Times New Roman" w:hAnsi="Times New Roman"/>
          <w:color w:val="auto"/>
          <w:sz w:val="24"/>
          <w:szCs w:val="24"/>
        </w:rPr>
        <w:t xml:space="preserve"> the effect size. All groups have a sample size of 18 each.</w:t>
      </w:r>
      <w:r w:rsidRPr="00095D26">
        <w:rPr>
          <w:rStyle w:val="a3"/>
          <w:rFonts w:ascii="Times New Roman" w:hAnsi="Times New Roman"/>
          <w:color w:val="auto"/>
          <w:sz w:val="24"/>
          <w:szCs w:val="24"/>
        </w:rPr>
        <w:t xml:space="preserve"> </w:t>
      </w:r>
      <w:r w:rsidRPr="001A4173">
        <w:rPr>
          <w:rStyle w:val="a6"/>
          <w:rFonts w:ascii="Times New Roman" w:hAnsi="Times New Roman"/>
          <w:color w:val="auto"/>
          <w:sz w:val="24"/>
          <w:szCs w:val="24"/>
        </w:rPr>
        <w:t xml:space="preserve">**, </w:t>
      </w:r>
      <w:r w:rsidRPr="001A4173">
        <w:rPr>
          <w:rStyle w:val="a6"/>
          <w:rFonts w:ascii="Times New Roman" w:hAnsi="Times New Roman"/>
          <w:i/>
          <w:iCs/>
          <w:color w:val="auto"/>
          <w:sz w:val="24"/>
          <w:szCs w:val="24"/>
        </w:rPr>
        <w:t xml:space="preserve">p </w:t>
      </w:r>
      <w:r w:rsidRPr="001A4173">
        <w:rPr>
          <w:rStyle w:val="a6"/>
          <w:rFonts w:ascii="Times New Roman" w:hAnsi="Times New Roman"/>
          <w:color w:val="auto"/>
          <w:sz w:val="24"/>
          <w:szCs w:val="24"/>
        </w:rPr>
        <w:t>&lt; 0.05 and the confidence interval of the effect size does not include 0.</w:t>
      </w:r>
    </w:p>
    <w:p w14:paraId="4246B5BC" w14:textId="77777777" w:rsidR="00025B4E" w:rsidRDefault="00025B4E" w:rsidP="00025B4E">
      <w:pPr>
        <w:rPr>
          <w:rFonts w:ascii="Times New Roman" w:hAnsi="Times New Roman"/>
          <w:color w:val="auto"/>
          <w:sz w:val="24"/>
          <w:szCs w:val="24"/>
        </w:rPr>
      </w:pPr>
    </w:p>
    <w:p w14:paraId="7EDB1A8F" w14:textId="77777777" w:rsidR="00025B4E" w:rsidRPr="001A4173" w:rsidRDefault="00025B4E" w:rsidP="00025B4E">
      <w:pPr>
        <w:rPr>
          <w:rStyle w:val="a6"/>
          <w:rFonts w:ascii="Times New Roman" w:eastAsia="Times New Roman" w:hAnsi="Times New Roman" w:cs="Times New Roman"/>
          <w:b/>
          <w:bCs/>
          <w:color w:val="auto"/>
          <w:sz w:val="24"/>
          <w:szCs w:val="24"/>
        </w:rPr>
      </w:pPr>
      <w:r>
        <w:rPr>
          <w:rStyle w:val="a6"/>
          <w:rFonts w:ascii="Times New Roman" w:hAnsi="Times New Roman"/>
          <w:b/>
          <w:bCs/>
          <w:color w:val="auto"/>
          <w:sz w:val="24"/>
          <w:szCs w:val="24"/>
        </w:rPr>
        <w:t>Supplementary Fig. 5</w:t>
      </w:r>
    </w:p>
    <w:p w14:paraId="03DDC35E" w14:textId="4C4DD891" w:rsidR="00025B4E" w:rsidRPr="00932698" w:rsidRDefault="00025B4E" w:rsidP="00025B4E">
      <w:pPr>
        <w:pStyle w:val="a9"/>
        <w:rPr>
          <w:rFonts w:ascii="Times New Roman" w:hAnsi="Times New Roman"/>
          <w:color w:val="auto"/>
          <w:sz w:val="24"/>
          <w:szCs w:val="24"/>
        </w:rPr>
      </w:pPr>
      <w:r w:rsidRPr="001A4173">
        <w:rPr>
          <w:rStyle w:val="a6"/>
          <w:rFonts w:ascii="Times New Roman" w:hAnsi="Times New Roman"/>
          <w:color w:val="auto"/>
          <w:sz w:val="24"/>
          <w:szCs w:val="24"/>
        </w:rPr>
        <w:t xml:space="preserve">The comparison between the previous model and the results in this study. The previous model is above, and our result is at the bottom. </w:t>
      </w:r>
      <w:r>
        <w:rPr>
          <w:rStyle w:val="a6"/>
          <w:rFonts w:ascii="Times New Roman" w:hAnsi="Times New Roman"/>
          <w:color w:val="auto"/>
          <w:sz w:val="24"/>
          <w:szCs w:val="24"/>
        </w:rPr>
        <w:t>Pink</w:t>
      </w:r>
      <w:r w:rsidRPr="001A4173">
        <w:rPr>
          <w:rStyle w:val="a6"/>
          <w:rFonts w:ascii="Times New Roman" w:hAnsi="Times New Roman"/>
          <w:color w:val="auto"/>
          <w:sz w:val="24"/>
          <w:szCs w:val="24"/>
        </w:rPr>
        <w:t xml:space="preserve"> and </w:t>
      </w:r>
      <w:r>
        <w:rPr>
          <w:rStyle w:val="a6"/>
          <w:rFonts w:ascii="Times New Roman" w:hAnsi="Times New Roman"/>
          <w:color w:val="auto"/>
          <w:sz w:val="24"/>
          <w:szCs w:val="24"/>
        </w:rPr>
        <w:t>blue</w:t>
      </w:r>
      <w:r w:rsidRPr="001A4173">
        <w:rPr>
          <w:rStyle w:val="a6"/>
          <w:rFonts w:ascii="Times New Roman" w:hAnsi="Times New Roman"/>
          <w:color w:val="auto"/>
          <w:sz w:val="24"/>
          <w:szCs w:val="24"/>
        </w:rPr>
        <w:t xml:space="preserve"> curved arrows indicate PEM-dependent and PEM-independent moments, respectively. The magnitude of a force is shown in the length of the arrows. The dotted arrows show the function of attracting a centrosome by PEM.</w:t>
      </w:r>
      <w:r>
        <w:rPr>
          <w:rStyle w:val="a6"/>
          <w:rFonts w:ascii="Times New Roman" w:hAnsi="Times New Roman"/>
          <w:color w:val="auto"/>
          <w:sz w:val="24"/>
          <w:szCs w:val="24"/>
        </w:rPr>
        <w:t xml:space="preserve"> </w:t>
      </w:r>
      <w:r w:rsidRPr="001A4173">
        <w:rPr>
          <w:rStyle w:val="a6"/>
          <w:rFonts w:ascii="Times New Roman" w:hAnsi="Times New Roman"/>
          <w:color w:val="auto"/>
          <w:sz w:val="24"/>
          <w:szCs w:val="24"/>
        </w:rPr>
        <w:t>A, anterior; P, posterior; ani, animal pole; veg, vegetal pole.</w:t>
      </w:r>
    </w:p>
    <w:sectPr w:rsidR="00025B4E" w:rsidRPr="00932698" w:rsidSect="00497281">
      <w:footerReference w:type="default" r:id="rId6"/>
      <w:pgSz w:w="11900" w:h="16840"/>
      <w:pgMar w:top="720" w:right="720" w:bottom="720" w:left="720" w:header="851" w:footer="992" w:gutter="0"/>
      <w:lnNumType w:countBy="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D58D5" w14:textId="77777777" w:rsidR="00740224" w:rsidRDefault="00740224">
      <w:r>
        <w:separator/>
      </w:r>
    </w:p>
  </w:endnote>
  <w:endnote w:type="continuationSeparator" w:id="0">
    <w:p w14:paraId="273AF7CB" w14:textId="77777777" w:rsidR="00740224" w:rsidRDefault="00740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ヒラギノ角ゴ ProN W3">
    <w:altName w:val="BIZ UDPゴシック"/>
    <w:charset w:val="80"/>
    <w:family w:val="swiss"/>
    <w:pitch w:val="variable"/>
    <w:sig w:usb0="E00002FF" w:usb1="7AC7FFFF" w:usb2="00000012" w:usb3="00000000" w:csb0="0002000D" w:csb1="00000000"/>
  </w:font>
  <w:font w:name="Arial Unicode MS">
    <w:altName w:val="BIZ UDPゴシック"/>
    <w:panose1 w:val="020B0604020202020204"/>
    <w:charset w:val="80"/>
    <w:family w:val="swiss"/>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角ゴ ProN W6">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CF5F" w14:textId="77777777" w:rsidR="0005082B" w:rsidRDefault="00000000">
    <w:pPr>
      <w:pStyle w:val="a5"/>
      <w:tabs>
        <w:tab w:val="clear" w:pos="8504"/>
        <w:tab w:val="right" w:pos="8478"/>
      </w:tabs>
      <w:jc w:val="center"/>
    </w:pPr>
    <w:r>
      <w:rPr>
        <w:rStyle w:val="a6"/>
      </w:rPr>
      <w:fldChar w:fldCharType="begin"/>
    </w:r>
    <w:r>
      <w:rPr>
        <w:rStyle w:val="a6"/>
      </w:rPr>
      <w:instrText xml:space="preserve"> PAGE </w:instrText>
    </w:r>
    <w:r>
      <w:rPr>
        <w:rStyle w:val="a6"/>
      </w:rPr>
      <w:fldChar w:fldCharType="separate"/>
    </w:r>
    <w:r w:rsidR="00B07F9E">
      <w:rPr>
        <w:rStyle w:val="a6"/>
        <w:noProof/>
      </w:rPr>
      <w:t>1</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AFDC1" w14:textId="77777777" w:rsidR="00740224" w:rsidRDefault="00740224">
      <w:r>
        <w:separator/>
      </w:r>
    </w:p>
  </w:footnote>
  <w:footnote w:type="continuationSeparator" w:id="0">
    <w:p w14:paraId="6F4562B2" w14:textId="77777777" w:rsidR="00740224" w:rsidRDefault="007402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05082B"/>
    <w:rsid w:val="000001FF"/>
    <w:rsid w:val="00000860"/>
    <w:rsid w:val="00025B4E"/>
    <w:rsid w:val="000443D3"/>
    <w:rsid w:val="0005082B"/>
    <w:rsid w:val="00062316"/>
    <w:rsid w:val="00095D26"/>
    <w:rsid w:val="000B3E62"/>
    <w:rsid w:val="00103E7D"/>
    <w:rsid w:val="001308A3"/>
    <w:rsid w:val="001871E8"/>
    <w:rsid w:val="001A4173"/>
    <w:rsid w:val="001E05A3"/>
    <w:rsid w:val="00205B34"/>
    <w:rsid w:val="002377A7"/>
    <w:rsid w:val="002464FC"/>
    <w:rsid w:val="002856D3"/>
    <w:rsid w:val="002D58B6"/>
    <w:rsid w:val="002D76B9"/>
    <w:rsid w:val="00385FD6"/>
    <w:rsid w:val="003C1393"/>
    <w:rsid w:val="00455389"/>
    <w:rsid w:val="0046384B"/>
    <w:rsid w:val="0047127C"/>
    <w:rsid w:val="00473973"/>
    <w:rsid w:val="00496218"/>
    <w:rsid w:val="00497281"/>
    <w:rsid w:val="00512C4D"/>
    <w:rsid w:val="00537E43"/>
    <w:rsid w:val="00561838"/>
    <w:rsid w:val="0057111F"/>
    <w:rsid w:val="00576239"/>
    <w:rsid w:val="00591E75"/>
    <w:rsid w:val="006332E1"/>
    <w:rsid w:val="0065459B"/>
    <w:rsid w:val="0069558A"/>
    <w:rsid w:val="006B56CE"/>
    <w:rsid w:val="006C5E5D"/>
    <w:rsid w:val="006C7F8D"/>
    <w:rsid w:val="00740224"/>
    <w:rsid w:val="0079179F"/>
    <w:rsid w:val="00802DBC"/>
    <w:rsid w:val="00813902"/>
    <w:rsid w:val="00845212"/>
    <w:rsid w:val="008716BC"/>
    <w:rsid w:val="008A2DE3"/>
    <w:rsid w:val="008F6C42"/>
    <w:rsid w:val="00930958"/>
    <w:rsid w:val="00932698"/>
    <w:rsid w:val="00951F58"/>
    <w:rsid w:val="009B300B"/>
    <w:rsid w:val="009E3B3F"/>
    <w:rsid w:val="00A4795F"/>
    <w:rsid w:val="00AF5C9B"/>
    <w:rsid w:val="00B07F9E"/>
    <w:rsid w:val="00B20FA9"/>
    <w:rsid w:val="00B25595"/>
    <w:rsid w:val="00B420FB"/>
    <w:rsid w:val="00B42F72"/>
    <w:rsid w:val="00B75327"/>
    <w:rsid w:val="00B92CEC"/>
    <w:rsid w:val="00B964A4"/>
    <w:rsid w:val="00B9687F"/>
    <w:rsid w:val="00BD3C6C"/>
    <w:rsid w:val="00BF45FA"/>
    <w:rsid w:val="00C33C0E"/>
    <w:rsid w:val="00C405E1"/>
    <w:rsid w:val="00C447B8"/>
    <w:rsid w:val="00C76063"/>
    <w:rsid w:val="00CA6A5E"/>
    <w:rsid w:val="00CA792D"/>
    <w:rsid w:val="00CB63E0"/>
    <w:rsid w:val="00D1264F"/>
    <w:rsid w:val="00E10B54"/>
    <w:rsid w:val="00E14A98"/>
    <w:rsid w:val="00E15418"/>
    <w:rsid w:val="00E41F13"/>
    <w:rsid w:val="00E43156"/>
    <w:rsid w:val="00E873B5"/>
    <w:rsid w:val="00E92F7B"/>
    <w:rsid w:val="00EB62D3"/>
    <w:rsid w:val="00EE5942"/>
    <w:rsid w:val="00EF1399"/>
    <w:rsid w:val="00F015DD"/>
    <w:rsid w:val="00F0164A"/>
    <w:rsid w:val="00F25955"/>
    <w:rsid w:val="00F33166"/>
    <w:rsid w:val="00FB0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2AE8D1"/>
  <w15:docId w15:val="{86AAD3CF-CBA9-46E6-8325-1B6F40A75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游明朝" w:eastAsia="游明朝" w:hAnsi="游明朝" w:cs="游明朝"/>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eastAsia="Arial Unicode MS" w:hAnsi="ヒラギノ角ゴ ProN W3" w:cs="Arial Unicode MS"/>
      <w:color w:val="000000"/>
      <w:sz w:val="24"/>
      <w:szCs w:val="24"/>
      <w14:textOutline w14:w="0" w14:cap="flat" w14:cmpd="sng" w14:algn="ctr">
        <w14:noFill/>
        <w14:prstDash w14:val="solid"/>
        <w14:bevel/>
      </w14:textOutline>
    </w:rPr>
  </w:style>
  <w:style w:type="paragraph" w:styleId="a5">
    <w:name w:val="footer"/>
    <w:pPr>
      <w:widowControl w:val="0"/>
      <w:tabs>
        <w:tab w:val="center" w:pos="4252"/>
        <w:tab w:val="right" w:pos="8504"/>
      </w:tabs>
      <w:jc w:val="both"/>
    </w:pPr>
    <w:rPr>
      <w:rFonts w:ascii="游明朝" w:eastAsia="游明朝" w:hAnsi="游明朝" w:cs="游明朝"/>
      <w:color w:val="000000"/>
      <w:kern w:val="2"/>
      <w:sz w:val="21"/>
      <w:szCs w:val="21"/>
      <w:u w:color="000000"/>
    </w:rPr>
  </w:style>
  <w:style w:type="character" w:customStyle="1" w:styleId="a6">
    <w:name w:val="なし"/>
  </w:style>
  <w:style w:type="character" w:customStyle="1" w:styleId="a7">
    <w:name w:val="リンク"/>
    <w:rPr>
      <w:outline w:val="0"/>
      <w:color w:val="0000FF"/>
      <w:u w:val="single" w:color="0000FF"/>
      <w:lang w:val="en-US"/>
    </w:rPr>
  </w:style>
  <w:style w:type="paragraph" w:customStyle="1" w:styleId="a8">
    <w:name w:val="デフォルト"/>
    <w:pPr>
      <w:spacing w:before="160"/>
    </w:pPr>
    <w:rPr>
      <w:rFonts w:ascii="ヒラギノ角ゴ ProN W3" w:eastAsia="ヒラギノ角ゴ ProN W3" w:hAnsi="ヒラギノ角ゴ ProN W3" w:cs="ヒラギノ角ゴ ProN W3"/>
      <w:color w:val="000000"/>
      <w:sz w:val="24"/>
      <w:szCs w:val="24"/>
      <w14:textOutline w14:w="0" w14:cap="flat" w14:cmpd="sng" w14:algn="ctr">
        <w14:noFill/>
        <w14:prstDash w14:val="solid"/>
        <w14:bevel/>
      </w14:textOutline>
    </w:rPr>
  </w:style>
  <w:style w:type="paragraph" w:styleId="a9">
    <w:name w:val="Body Text"/>
    <w:link w:val="aa"/>
    <w:pPr>
      <w:widowControl w:val="0"/>
      <w:jc w:val="both"/>
    </w:pPr>
    <w:rPr>
      <w:rFonts w:ascii="ヒラギノ角ゴ ProN W3" w:eastAsia="Arial Unicode MS" w:hAnsi="ヒラギノ角ゴ ProN W3" w:cs="Arial Unicode MS"/>
      <w:color w:val="000000"/>
      <w:sz w:val="22"/>
      <w:szCs w:val="22"/>
      <w:u w:color="000000"/>
      <w14:textOutline w14:w="12700" w14:cap="flat" w14:cmpd="sng" w14:algn="ctr">
        <w14:noFill/>
        <w14:prstDash w14:val="solid"/>
        <w14:miter w14:lim="400000"/>
      </w14:textOutline>
    </w:rPr>
  </w:style>
  <w:style w:type="paragraph" w:customStyle="1" w:styleId="EndNoteBibliography">
    <w:name w:val="EndNote Bibliography"/>
    <w:pPr>
      <w:widowControl w:val="0"/>
      <w:jc w:val="both"/>
    </w:pPr>
    <w:rPr>
      <w:rFonts w:ascii="游明朝" w:eastAsia="游明朝" w:hAnsi="游明朝" w:cs="Arial Unicode MS"/>
      <w:color w:val="000000"/>
      <w:kern w:val="2"/>
      <w:szCs w:val="22"/>
      <w:u w:color="000000"/>
    </w:rPr>
  </w:style>
  <w:style w:type="paragraph" w:styleId="ab">
    <w:name w:val="annotation text"/>
    <w:basedOn w:val="a"/>
    <w:link w:val="ac"/>
    <w:uiPriority w:val="99"/>
    <w:semiHidden/>
    <w:unhideWhenUsed/>
    <w:pPr>
      <w:jc w:val="left"/>
    </w:pPr>
  </w:style>
  <w:style w:type="character" w:customStyle="1" w:styleId="ac">
    <w:name w:val="コメント文字列 (文字)"/>
    <w:basedOn w:val="a0"/>
    <w:link w:val="ab"/>
    <w:uiPriority w:val="99"/>
    <w:semiHidden/>
    <w:rPr>
      <w:rFonts w:ascii="游明朝" w:eastAsia="游明朝" w:hAnsi="游明朝" w:cs="游明朝"/>
      <w:color w:val="000000"/>
      <w:kern w:val="2"/>
      <w:sz w:val="21"/>
      <w:szCs w:val="21"/>
      <w:u w:color="000000"/>
    </w:rPr>
  </w:style>
  <w:style w:type="character" w:styleId="ad">
    <w:name w:val="annotation reference"/>
    <w:basedOn w:val="a0"/>
    <w:uiPriority w:val="99"/>
    <w:semiHidden/>
    <w:unhideWhenUsed/>
    <w:rPr>
      <w:sz w:val="18"/>
      <w:szCs w:val="18"/>
    </w:rPr>
  </w:style>
  <w:style w:type="paragraph" w:styleId="ae">
    <w:name w:val="Revision"/>
    <w:hidden/>
    <w:uiPriority w:val="99"/>
    <w:semiHidden/>
    <w:rsid w:val="00B07F9E"/>
    <w:pPr>
      <w:pBdr>
        <w:top w:val="none" w:sz="0" w:space="0" w:color="auto"/>
        <w:left w:val="none" w:sz="0" w:space="0" w:color="auto"/>
        <w:bottom w:val="none" w:sz="0" w:space="0" w:color="auto"/>
        <w:right w:val="none" w:sz="0" w:space="0" w:color="auto"/>
        <w:between w:val="none" w:sz="0" w:space="0" w:color="auto"/>
        <w:bar w:val="none" w:sz="0" w:color="auto"/>
      </w:pBdr>
    </w:pPr>
    <w:rPr>
      <w:rFonts w:ascii="游明朝" w:eastAsia="游明朝" w:hAnsi="游明朝" w:cs="游明朝"/>
      <w:color w:val="000000"/>
      <w:kern w:val="2"/>
      <w:sz w:val="21"/>
      <w:szCs w:val="21"/>
      <w:u w:color="000000"/>
    </w:rPr>
  </w:style>
  <w:style w:type="character" w:styleId="af">
    <w:name w:val="line number"/>
    <w:basedOn w:val="a0"/>
    <w:uiPriority w:val="99"/>
    <w:semiHidden/>
    <w:unhideWhenUsed/>
    <w:rsid w:val="00B07F9E"/>
  </w:style>
  <w:style w:type="paragraph" w:styleId="af0">
    <w:name w:val="header"/>
    <w:basedOn w:val="a"/>
    <w:link w:val="af1"/>
    <w:uiPriority w:val="99"/>
    <w:unhideWhenUsed/>
    <w:rsid w:val="008F6C42"/>
    <w:pPr>
      <w:tabs>
        <w:tab w:val="center" w:pos="4252"/>
        <w:tab w:val="right" w:pos="8504"/>
      </w:tabs>
      <w:snapToGrid w:val="0"/>
    </w:pPr>
  </w:style>
  <w:style w:type="character" w:customStyle="1" w:styleId="af1">
    <w:name w:val="ヘッダー (文字)"/>
    <w:basedOn w:val="a0"/>
    <w:link w:val="af0"/>
    <w:uiPriority w:val="99"/>
    <w:rsid w:val="008F6C42"/>
    <w:rPr>
      <w:rFonts w:ascii="游明朝" w:eastAsia="游明朝" w:hAnsi="游明朝" w:cs="游明朝"/>
      <w:color w:val="000000"/>
      <w:kern w:val="2"/>
      <w:sz w:val="21"/>
      <w:szCs w:val="21"/>
      <w:u w:color="000000"/>
    </w:rPr>
  </w:style>
  <w:style w:type="paragraph" w:customStyle="1" w:styleId="EndNoteBibliographyTitle">
    <w:name w:val="EndNote Bibliography Title"/>
    <w:basedOn w:val="a"/>
    <w:link w:val="EndNoteBibliographyTitle0"/>
    <w:rsid w:val="008F6C42"/>
    <w:pPr>
      <w:jc w:val="center"/>
    </w:pPr>
    <w:rPr>
      <w:noProof/>
      <w:sz w:val="20"/>
    </w:rPr>
  </w:style>
  <w:style w:type="character" w:customStyle="1" w:styleId="EndNoteBibliographyTitle0">
    <w:name w:val="EndNote Bibliography Title (文字)"/>
    <w:basedOn w:val="a0"/>
    <w:link w:val="EndNoteBibliographyTitle"/>
    <w:rsid w:val="008F6C42"/>
    <w:rPr>
      <w:rFonts w:ascii="游明朝" w:eastAsia="游明朝" w:hAnsi="游明朝" w:cs="游明朝"/>
      <w:noProof/>
      <w:color w:val="000000"/>
      <w:kern w:val="2"/>
      <w:szCs w:val="21"/>
      <w:u w:color="000000"/>
    </w:rPr>
  </w:style>
  <w:style w:type="character" w:styleId="af2">
    <w:name w:val="Unresolved Mention"/>
    <w:basedOn w:val="a0"/>
    <w:uiPriority w:val="99"/>
    <w:semiHidden/>
    <w:unhideWhenUsed/>
    <w:rsid w:val="008F6C42"/>
    <w:rPr>
      <w:color w:val="605E5C"/>
      <w:shd w:val="clear" w:color="auto" w:fill="E1DFDD"/>
    </w:rPr>
  </w:style>
  <w:style w:type="paragraph" w:styleId="af3">
    <w:name w:val="annotation subject"/>
    <w:basedOn w:val="ab"/>
    <w:next w:val="ab"/>
    <w:link w:val="af4"/>
    <w:uiPriority w:val="99"/>
    <w:semiHidden/>
    <w:unhideWhenUsed/>
    <w:rsid w:val="00951F58"/>
    <w:rPr>
      <w:b/>
      <w:bCs/>
    </w:rPr>
  </w:style>
  <w:style w:type="character" w:customStyle="1" w:styleId="af4">
    <w:name w:val="コメント内容 (文字)"/>
    <w:basedOn w:val="ac"/>
    <w:link w:val="af3"/>
    <w:uiPriority w:val="99"/>
    <w:semiHidden/>
    <w:rsid w:val="00951F58"/>
    <w:rPr>
      <w:rFonts w:ascii="游明朝" w:eastAsia="游明朝" w:hAnsi="游明朝" w:cs="游明朝"/>
      <w:b/>
      <w:bCs/>
      <w:color w:val="000000"/>
      <w:kern w:val="2"/>
      <w:sz w:val="21"/>
      <w:szCs w:val="21"/>
      <w:u w:color="000000"/>
    </w:rPr>
  </w:style>
  <w:style w:type="character" w:customStyle="1" w:styleId="aa">
    <w:name w:val="本文 (文字)"/>
    <w:basedOn w:val="a0"/>
    <w:link w:val="a9"/>
    <w:rsid w:val="00025B4E"/>
    <w:rPr>
      <w:rFonts w:ascii="ヒラギノ角ゴ ProN W3" w:eastAsia="Arial Unicode MS" w:hAnsi="ヒラギノ角ゴ ProN W3"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テーマ">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863</TotalTime>
  <Pages>1</Pages>
  <Words>383</Words>
  <Characters>2185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照井　宙夢</cp:lastModifiedBy>
  <cp:revision>32</cp:revision>
  <dcterms:created xsi:type="dcterms:W3CDTF">2023-03-20T09:58:00Z</dcterms:created>
  <dcterms:modified xsi:type="dcterms:W3CDTF">2023-07-20T14:26:00Z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d14a238a0809dde2cd727b8bae0fa4d2f3c72a651cccb082dae51c3aa93602d0</vt:lpwstr>
  </property>
</Properties>
</file>