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jc w:val="left"/>
        <w:rPr>
          <w:lang w:val="en-US"/>
        </w:rPr>
      </w:pPr>
      <w:r>
        <w:rPr>
          <w:rFonts w:hint="default" w:ascii="Calibri" w:hAnsi="Calibri" w:eastAsia="宋体" w:cs="Times New Roman"/>
          <w:kern w:val="0"/>
          <w:sz w:val="22"/>
          <w:szCs w:val="22"/>
          <w:lang w:val="en-US" w:eastAsia="zh-CN" w:bidi="ar"/>
        </w:rPr>
        <w:t>Supplementary table 2: Medical imaging, bone marrow cytology and pathological examination of 7 children with CRMO at the time of initial hospitalization</w:t>
      </w:r>
    </w:p>
    <w:tbl>
      <w:tblPr>
        <w:tblStyle w:val="3"/>
        <w:tblpPr w:leftFromText="180" w:rightFromText="180" w:vertAnchor="text" w:horzAnchor="page" w:tblpX="1890" w:tblpY="302"/>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2"/>
        <w:gridCol w:w="1908"/>
        <w:gridCol w:w="1826"/>
        <w:gridCol w:w="1896"/>
        <w:gridCol w:w="1776"/>
        <w:gridCol w:w="1942"/>
        <w:gridCol w:w="1761"/>
        <w:gridCol w:w="181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eastAsiaTheme="minorEastAsia"/>
                <w:color w:val="101214"/>
                <w:sz w:val="21"/>
                <w:szCs w:val="21"/>
                <w:lang w:eastAsia="zh-Hans"/>
              </w:rPr>
            </w:pP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1</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2</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3</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4</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5</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6</w:t>
            </w:r>
          </w:p>
        </w:tc>
        <w:tc>
          <w:tcPr>
            <w:tcW w:w="0" w:type="auto"/>
            <w:tcBorders>
              <w:bottom w:val="single" w:color="auto" w:sz="4" w:space="0"/>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olor w:val="000000"/>
                <w:sz w:val="21"/>
                <w:szCs w:val="21"/>
              </w:rPr>
            </w:pPr>
            <w:r>
              <w:rPr>
                <w:rFonts w:hint="eastAsia" w:ascii="Times New Roman" w:hAnsi="Times New Roman"/>
                <w:color w:val="000000"/>
                <w:sz w:val="21"/>
                <w:szCs w:val="21"/>
                <w:lang w:val="en-US" w:eastAsia="zh-Hans" w:bidi="ar"/>
              </w:rPr>
              <w:t>Patient</w:t>
            </w:r>
            <w:r>
              <w:rPr>
                <w:rFonts w:hint="default" w:ascii="Times New Roman" w:hAnsi="Times New Roman"/>
                <w:color w:val="000000"/>
                <w:sz w:val="21"/>
                <w:szCs w:val="21"/>
                <w:lang w:eastAsia="zh-Hans" w:bidi="ar"/>
              </w:rPr>
              <w:t xml:space="preserve"> </w:t>
            </w:r>
            <w:r>
              <w:rPr>
                <w:rFonts w:hint="default" w:ascii="Times New Roman" w:hAnsi="Times New Roman"/>
                <w:color w:val="000000"/>
                <w:sz w:val="21"/>
                <w:szCs w:val="21"/>
                <w:lang w:bidi="ar"/>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0" w:hRule="atLeast"/>
        </w:trPr>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olor w:val="101214"/>
                <w:sz w:val="21"/>
                <w:szCs w:val="21"/>
                <w:lang w:bidi="ar"/>
              </w:rPr>
            </w:pPr>
            <w:r>
              <w:rPr>
                <w:rFonts w:hint="eastAsia" w:ascii="Times New Roman" w:hAnsi="Times New Roman"/>
                <w:color w:val="101214"/>
                <w:sz w:val="21"/>
                <w:szCs w:val="21"/>
                <w:lang w:val="en-US" w:eastAsia="zh-CN" w:bidi="ar"/>
              </w:rPr>
              <w:t>U</w:t>
            </w:r>
            <w:r>
              <w:rPr>
                <w:rFonts w:hint="default" w:ascii="Times New Roman" w:hAnsi="Times New Roman"/>
                <w:color w:val="101214"/>
                <w:sz w:val="21"/>
                <w:szCs w:val="21"/>
                <w:lang w:bidi="ar"/>
              </w:rPr>
              <w:t>ltrasound</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synovial membrane of the joint is thickened and unevenly echogenic; the synovial sac is hyperechoic, and the adjacent cartilage is unevenly hyperechoic.</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lang w:val="en-US" w:eastAsia="zh-CN"/>
              </w:rPr>
              <w:t>N</w:t>
            </w:r>
            <w:r>
              <w:rPr>
                <w:rFonts w:hint="eastAsia" w:ascii="Times New Roman" w:hAnsi="Times New Roman"/>
                <w:color w:val="000000"/>
                <w:sz w:val="21"/>
                <w:szCs w:val="21"/>
              </w:rPr>
              <w:t>ormal</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bookmarkStart w:id="0" w:name="OLE_LINK3"/>
            <w:r>
              <w:rPr>
                <w:rFonts w:hint="eastAsia" w:ascii="Times New Roman" w:hAnsi="Times New Roman"/>
                <w:color w:val="000000"/>
                <w:sz w:val="21"/>
                <w:szCs w:val="21"/>
              </w:rPr>
              <w:t>ND</w:t>
            </w:r>
            <w:bookmarkEnd w:id="0"/>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sz w:val="21"/>
                <w:szCs w:val="21"/>
              </w:rPr>
              <w:t>Adjacent bone showed irregular echogenicity loss, soft tissue thickening, echo enhancement, and a small amount of irregular liquid dark area echo.</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ND</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ND</w:t>
            </w:r>
          </w:p>
        </w:tc>
        <w:tc>
          <w:tcPr>
            <w:tcW w:w="0" w:type="auto"/>
            <w:tcBorders>
              <w:top w:val="single" w:color="auto" w:sz="4" w:space="0"/>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synovial membrane of the joint is thickened and unevenly echogenic; the synovial sac is hyperechoic, and the adjacent cartilage is unevenly hyperechoic.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olor w:val="101214"/>
                <w:sz w:val="21"/>
                <w:szCs w:val="21"/>
              </w:rPr>
            </w:pPr>
            <w:r>
              <w:rPr>
                <w:rFonts w:hint="default" w:ascii="Times New Roman" w:hAnsi="Times New Roman"/>
                <w:color w:val="101214"/>
                <w:sz w:val="21"/>
                <w:szCs w:val="21"/>
                <w:lang w:bidi="ar"/>
              </w:rPr>
              <w:t>X-ray</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The adjacent bone is destroyed and hardened, and the local bone density is increased. There may be old metaphyseal fractures.</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Low-density shadows can be seen in the distal metaphysis of the bilateral femur, tibia, and fibula. Bone density is uneven, sclerosis can be seen around, and surrounding soft tissue is slightly swollen.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right femur and pelvis showed multiple bone abnormalities, and the periosteal reaction in the upper 1/3 of the right femur showed layered appearance.</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sz w:val="21"/>
                <w:szCs w:val="21"/>
              </w:rPr>
              <w:t>Osteolytic bone destruction can be seen at the distal end of the right femur, the size is about 10mm×13mm, mild sclerosis can be seen around it, periosteal reaction can be seen, and the surrounding soft tissue is slightly swollen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Flattening of the 8th thoracic vertebra. Increased density of the first sacral vertebra, possibly an inflammatory lesion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Bone destruction in the metaphysis of the distal tibia and fibula on the left side, irregular low-density shadows in the distal end of the right fibula and distal tibia, and bone destruction throughout the mandible</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density of the left patella was increased, the edges were blurred, and periosteal reaction was seen in front of the bone. Mild sclerosis is seen around, and the surrounding soft tissue is slightly swollen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olor w:val="101214"/>
                <w:sz w:val="21"/>
                <w:szCs w:val="21"/>
              </w:rPr>
            </w:pPr>
            <w:r>
              <w:rPr>
                <w:rFonts w:hint="default" w:ascii="Times New Roman" w:hAnsi="Times New Roman"/>
                <w:color w:val="101214"/>
                <w:sz w:val="21"/>
                <w:szCs w:val="21"/>
                <w:lang w:bidi="ar"/>
              </w:rPr>
              <w:t>CT/PET-CT</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ND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cortical bone of the tibia and fibula became thinner and less dense. Scattered irregular sheet-like slightly high-density shadows and small cystic low-density shadows can be seen in the bilateral tibial medullary cavity.</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sz w:val="21"/>
                <w:szCs w:val="21"/>
              </w:rPr>
              <w:t>Abnormal bone density with bone destruction in multiple bones throughout the body (right clavicle, upper end of left humerus, cervical spine, thoracic spine, bilateral ilium, femur)</w:t>
            </w:r>
            <w:r>
              <w:rPr>
                <w:rFonts w:hint="eastAsia" w:ascii="Times New Roman" w:hAnsi="Times New Roman"/>
                <w:sz w:val="21"/>
                <w:szCs w:val="21"/>
              </w:rPr>
              <w:t>。</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ND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rPr>
              <w:t>ND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Bilateral mandibular expansion changes. Decreased bone density in bilateral upper and lower collar bones, involving hard palate and frontal nasal process</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eastAsia" w:ascii="Times New Roman" w:hAnsi="Times New Roman"/>
                <w:color w:val="000000"/>
                <w:sz w:val="21"/>
                <w:szCs w:val="21"/>
                <w:lang w:val="zh-CN"/>
              </w:rPr>
              <w:t>Increased density of the left patella, patchy low-density shadows in the marrow, visible sclerotic edges, no apparent periosteal reaction, and swelling of the surrounding soft tissues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eastAsia" w:ascii="Times New Roman" w:hAnsi="Times New Roman" w:eastAsiaTheme="minorEastAsia"/>
                <w:color w:val="101214"/>
                <w:sz w:val="21"/>
                <w:szCs w:val="21"/>
                <w:lang w:val="en-US" w:eastAsia="zh-Hans"/>
              </w:rPr>
            </w:pPr>
            <w:r>
              <w:rPr>
                <w:rFonts w:hint="default" w:ascii="Times New Roman" w:hAnsi="Times New Roman"/>
                <w:color w:val="101214"/>
                <w:sz w:val="21"/>
                <w:szCs w:val="21"/>
                <w:lang w:bidi="ar"/>
              </w:rPr>
              <w:t>MR</w:t>
            </w:r>
            <w:r>
              <w:rPr>
                <w:rFonts w:hint="eastAsia" w:ascii="Times New Roman" w:hAnsi="Times New Roman"/>
                <w:color w:val="101214"/>
                <w:sz w:val="21"/>
                <w:szCs w:val="21"/>
                <w:lang w:val="en-US" w:eastAsia="zh-Hans" w:bidi="ar"/>
              </w:rPr>
              <w:t>I</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Adjacent bone abnormalities, T2WI hyperintensity shadows were seen in the medullary cavity, multiple small joint effusions in the left foot, and some synovial membranes were thickened and enhanced, and the possibility of infectious lesions was considered.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T2WI hyperintensity shadows were seen in the bilateral tibial medullary cavity, and the surrounding soft tissues were slightly swollen. After enhancement, patchy enhancement signal shadows were seen in them, and the T2 signal shadows of the posterior calf muscles on both sides increased.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shape of the diseased vertebral body was abnormal, with varying intervertebral space widths, bilateral distal femur, and proximal tibia bones with high signal intensity on T2WI, involving the epiphyseal plate, a small amount of effusion in the joint cavity of both knees and a slight thickening and strengthening of the synovium of the joint capsule.</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 xml:space="preserve"> MR at the outer hospital showed an increased T2W1 signal in the right femoral medullary cavity, accompanied by surrounding soft tissue edema. </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shape of the diseased vertebral body is abnormal, the upper and lower borders are depressed, and the width of the adjacent intervertebral discs is different. T2WI high signal shadow can be seen, and chest 8 is obviously "wedge-shaped" and flattened.</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Multiple bone abnormalities, high signal intensity on T2WI in the medullary cavity, showing osteomyelitis changes, considered chronic recurrent multifocal osteomyelitis.</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local bone cortex of the left patella is discontinuous, and the enhanced scan shows heterogeneous enhancement, intramedullary T2WI hyperintensity shadow, and surrounding tissue shows an edema signal and a small amount of effusion signal in the joint.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olor w:val="101214"/>
                <w:sz w:val="21"/>
                <w:szCs w:val="21"/>
              </w:rPr>
            </w:pPr>
            <w:r>
              <w:rPr>
                <w:rFonts w:hint="default" w:ascii="Times New Roman" w:hAnsi="Times New Roman"/>
                <w:color w:val="101214"/>
                <w:sz w:val="21"/>
                <w:szCs w:val="21"/>
                <w:lang w:bidi="ar"/>
              </w:rPr>
              <w:t>Bone marrow cytology</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Bone marrow hyperplasia is active, and the ratio and shape of each line are normal.</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Bone marrow hyperplasia is active, and the ratio and shape of each line have no apparent abnormalities.</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Bone marrow hyperplasia is active, and the ratio and shape of each line are normal.</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Myeloid hyperplasia is reduced, and the ratio and shape of each line are roughly normal.</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Myeloid hyperplasia is reduced, and the ratio and shape of each line are roughly normal.</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Bone marrow hyperplasia is obviously active, and the ratio and shape of each line are normal.</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Myeloid hyperplasia is significantly reduced, and the proportion and shape of each line are normal.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olor w:val="101214"/>
                <w:sz w:val="21"/>
                <w:szCs w:val="21"/>
              </w:rPr>
            </w:pPr>
            <w:r>
              <w:rPr>
                <w:rFonts w:hint="eastAsia" w:ascii="Times New Roman" w:hAnsi="Times New Roman"/>
                <w:color w:val="101214"/>
                <w:sz w:val="21"/>
                <w:szCs w:val="21"/>
                <w:lang w:val="en-US" w:eastAsia="zh-CN" w:bidi="ar"/>
              </w:rPr>
              <w:t>B</w:t>
            </w:r>
            <w:r>
              <w:rPr>
                <w:rFonts w:hint="default" w:ascii="Times New Roman" w:hAnsi="Times New Roman"/>
                <w:color w:val="101214"/>
                <w:sz w:val="21"/>
                <w:szCs w:val="21"/>
                <w:lang w:bidi="ar"/>
              </w:rPr>
              <w:t>one biopsy</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Cartilage and mature bone trabeculae can be seen in the lesion, and fibrous tissue hyperplasia can be seen locally, accompanied by changes in collagenization.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Fibrous tissue with infiltration of many lymphocytes, a few plasma cells, and histiocytoid cells were seen in the lesion. (The child's family members signed to refuse the biopsy at the first visit, and a biopsy was performed in case of recurrence.)</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The three pathological biopsies in the outer hospital showed tumor-like bone tissue hyperplasia. Some bone and cartilage tissue could be seen, surrounded by a small amount of fibrous tissue and many neutrophils, lymphocytes, plasma cells, and histiocytes. Considering chronic osteomyelitis, no clear tumor tissue was seen.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Proliferating fibrous tissue with scattered infiltration of histiocytes, lymphocytes, and plasma cells was seen in the lesion.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p>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A small amount of cartilage and bone tissue were seen in the lesion, only a minor bone marrow tissue was seen, and no prominent tumor components were seen.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A small amount of bone tissue and mature bone trabeculae were seen in the lesion. Fibrous tissue hyperplasia was seen in the focal area, accompanied by scattered infiltration of histiocytes, lymphocytes, and plasma cells, and no malignancy was seen.</w:t>
            </w:r>
          </w:p>
        </w:tc>
        <w:tc>
          <w:tcPr>
            <w:tcW w:w="0" w:type="auto"/>
            <w:tcBorders>
              <w:tl2br w:val="nil"/>
              <w:tr2bl w:val="nil"/>
            </w:tcBorders>
            <w:vAlign w:val="center"/>
          </w:tcPr>
          <w:p>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olor w:val="000000"/>
                <w:sz w:val="21"/>
                <w:szCs w:val="21"/>
              </w:rPr>
            </w:pPr>
            <w:r>
              <w:rPr>
                <w:rFonts w:hint="default" w:ascii="Times New Roman" w:hAnsi="Times New Roman"/>
                <w:color w:val="000000"/>
                <w:sz w:val="21"/>
                <w:szCs w:val="21"/>
              </w:rPr>
              <w:t>Mature bone trabeculae were seen in the lesion, loose vascular fibers between the trabeculae, infiltration of histiocytes, lymphocytes, and plasma cells were seen in the lesion, and fibrous tissue hyperplasia was seen in the focal area.</w:t>
            </w:r>
          </w:p>
        </w:tc>
      </w:tr>
    </w:tbl>
    <w:p>
      <w:pPr>
        <w:pStyle w:val="2"/>
        <w:keepNext w:val="0"/>
        <w:keepLines w:val="0"/>
        <w:pageBreakBefore w:val="0"/>
        <w:kinsoku/>
        <w:wordWrap w:val="0"/>
        <w:overflowPunct/>
        <w:topLinePunct w:val="0"/>
        <w:autoSpaceDE/>
        <w:autoSpaceDN/>
        <w:bidi w:val="0"/>
        <w:adjustRightInd/>
        <w:snapToGrid/>
        <w:spacing w:line="240" w:lineRule="auto"/>
        <w:jc w:val="both"/>
        <w:rPr>
          <w:rFonts w:hint="eastAsia" w:ascii="Times New Roman" w:hAnsi="Times New Roman"/>
          <w:color w:val="000000"/>
          <w:sz w:val="21"/>
          <w:szCs w:val="21"/>
          <w:lang w:val="en-US" w:eastAsia="zh-CN" w:bidi="ar"/>
        </w:rPr>
      </w:pPr>
    </w:p>
    <w:p>
      <w:pPr>
        <w:keepNext w:val="0"/>
        <w:keepLines w:val="0"/>
        <w:pageBreakBefore w:val="0"/>
        <w:kinsoku/>
        <w:wordWrap w:val="0"/>
        <w:overflowPunct/>
        <w:topLinePunct w:val="0"/>
        <w:autoSpaceDE/>
        <w:autoSpaceDN/>
        <w:bidi w:val="0"/>
        <w:adjustRightInd/>
        <w:snapToGrid/>
        <w:spacing w:line="240" w:lineRule="auto"/>
        <w:rPr>
          <w:rFonts w:hint="default" w:ascii="Times New Roman" w:hAnsi="Times New Roman" w:eastAsia="幼圆" w:cs="Times New Roman"/>
          <w:sz w:val="22"/>
          <w:szCs w:val="22"/>
          <w:lang w:val="en-US" w:eastAsia="zh-CN"/>
        </w:rPr>
      </w:pPr>
      <w:r>
        <w:rPr>
          <w:rFonts w:hint="default" w:ascii="Times New Roman" w:hAnsi="Times New Roman" w:eastAsia="幼圆" w:cs="Times New Roman"/>
          <w:sz w:val="22"/>
          <w:szCs w:val="22"/>
          <w:lang w:val="en-US" w:eastAsia="zh-CN"/>
        </w:rPr>
        <w:t>Note：</w:t>
      </w:r>
    </w:p>
    <w:p>
      <w:pPr>
        <w:keepNext w:val="0"/>
        <w:keepLines w:val="0"/>
        <w:pageBreakBefore w:val="0"/>
        <w:kinsoku/>
        <w:wordWrap w:val="0"/>
        <w:overflowPunct/>
        <w:topLinePunct w:val="0"/>
        <w:autoSpaceDE/>
        <w:autoSpaceDN/>
        <w:bidi w:val="0"/>
        <w:adjustRightInd/>
        <w:snapToGrid/>
        <w:spacing w:line="240" w:lineRule="auto"/>
        <w:rPr>
          <w:rFonts w:hint="default" w:ascii="Times New Roman" w:hAnsi="Times New Roman" w:eastAsia="幼圆" w:cs="Times New Roman"/>
          <w:sz w:val="22"/>
          <w:szCs w:val="22"/>
        </w:rPr>
      </w:pPr>
      <w:r>
        <w:rPr>
          <w:rFonts w:hint="default" w:ascii="Times New Roman" w:hAnsi="Times New Roman" w:eastAsia="幼圆" w:cs="Times New Roman"/>
          <w:sz w:val="22"/>
          <w:szCs w:val="22"/>
        </w:rPr>
        <w:t>ND=Not done</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WBC=White blood cell</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CRP=C-reactive protein</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ESR=Erythrocyte sedimentation rate</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CT=Computed Tomography</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MRI=Magnetic Resonance Imaging</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P=Positive</w:t>
      </w: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N=Nagetive</w:t>
      </w:r>
      <w:bookmarkStart w:id="1" w:name="_GoBack"/>
      <w:bookmarkEnd w:id="1"/>
    </w:p>
    <w:p>
      <w:pPr>
        <w:keepNext w:val="0"/>
        <w:keepLines w:val="0"/>
        <w:pageBreakBefore w:val="0"/>
        <w:kinsoku/>
        <w:wordWrap w:val="0"/>
        <w:overflowPunct/>
        <w:topLinePunct w:val="0"/>
        <w:autoSpaceDE/>
        <w:autoSpaceDN/>
        <w:bidi w:val="0"/>
        <w:adjustRightInd/>
        <w:snapToGrid/>
        <w:spacing w:line="240" w:lineRule="auto"/>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Dc5ZDA0MGE3NjY5Y2RiNWQwMGZiNWNmMTg0NGUifQ=="/>
  </w:docVars>
  <w:rsids>
    <w:rsidRoot w:val="00000000"/>
    <w:rsid w:val="0EC3241C"/>
    <w:rsid w:val="16876E02"/>
    <w:rsid w:val="22B42350"/>
    <w:rsid w:val="322C3CB1"/>
    <w:rsid w:val="34640A9B"/>
    <w:rsid w:val="47C6753F"/>
    <w:rsid w:val="49DE7B2F"/>
    <w:rsid w:val="4FC47104"/>
    <w:rsid w:val="51EB37E3"/>
    <w:rsid w:val="52A2612B"/>
    <w:rsid w:val="52AF02BB"/>
    <w:rsid w:val="531719BC"/>
    <w:rsid w:val="5CF06636"/>
    <w:rsid w:val="62A901C4"/>
    <w:rsid w:val="67F26828"/>
    <w:rsid w:val="68F20EE4"/>
    <w:rsid w:val="D9DF985C"/>
    <w:rsid w:val="F74F7F68"/>
    <w:rsid w:val="FD7F3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rPr>
      <w:sz w:val="24"/>
    </w:rPr>
  </w:style>
  <w:style w:type="character" w:customStyle="1" w:styleId="5">
    <w:name w:val="tgt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1027</Words>
  <Characters>5636</Characters>
  <Lines>0</Lines>
  <Paragraphs>0</Paragraphs>
  <TotalTime>0</TotalTime>
  <ScaleCrop>false</ScaleCrop>
  <LinksUpToDate>false</LinksUpToDate>
  <CharactersWithSpaces>6605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2023-05-13T14:42:00Z</dcterms:created>
  <dc:creator>会飞的鱼</dc:creator>
  <cp:lastModifiedBy>花开到叶落</cp:lastModifiedBy>
  <dcterms:modified xsi:type="dcterms:W3CDTF">2023-07-01T15:37:00Z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5542C5DE2A8E40D78F8B7D4683577256_12</vt:lpwstr>
  </property>
</Properties>
</file>