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gif" ContentType="image/gi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480" w:lineRule="auto"/>
        <w:jc w:val="center"/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</w:pP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A theoretical study on gas-phase reactions of 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  <w:lang w:val="en-US" w:eastAsia="zh-CN"/>
        </w:rPr>
        <w:t>Acrolein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 with NO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  <w:vertAlign w:val="subscript"/>
        </w:rPr>
        <w:t>3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: </w:t>
      </w:r>
      <w:r>
        <w:rPr>
          <w:rFonts w:ascii="Times New Roman" w:hAnsi="Times New Roman" w:eastAsia="微软雅黑" w:cs="Times New Roman"/>
          <w:b/>
          <w:bCs/>
          <w:kern w:val="0"/>
          <w:sz w:val="30"/>
          <w:szCs w:val="30"/>
        </w:rPr>
        <w:t>mechanism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, </w:t>
      </w:r>
      <w:r>
        <w:rPr>
          <w:rFonts w:ascii="Times New Roman" w:hAnsi="Times New Roman" w:eastAsia="微软雅黑" w:cs="Times New Roman"/>
          <w:b/>
          <w:bCs/>
          <w:kern w:val="0"/>
          <w:sz w:val="30"/>
          <w:szCs w:val="30"/>
        </w:rPr>
        <w:t>kinetic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s </w:t>
      </w:r>
      <w:r>
        <w:rPr>
          <w:rFonts w:ascii="Times New Roman" w:hAnsi="Times New Roman" w:eastAsia="微软雅黑" w:cs="Times New Roman"/>
          <w:b/>
          <w:bCs/>
          <w:kern w:val="0"/>
          <w:sz w:val="30"/>
          <w:szCs w:val="30"/>
        </w:rPr>
        <w:t>and</w:t>
      </w:r>
      <w:r>
        <w:rPr>
          <w:rFonts w:hint="eastAsia" w:ascii="Times New Roman" w:hAnsi="Times New Roman" w:eastAsia="微软雅黑" w:cs="Times New Roman"/>
          <w:b/>
          <w:bCs/>
          <w:kern w:val="0"/>
          <w:sz w:val="30"/>
          <w:szCs w:val="30"/>
        </w:rPr>
        <w:t xml:space="preserve"> insights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kern w:val="0"/>
          <w:sz w:val="30"/>
          <w:szCs w:val="30"/>
          <w:lang w:val="en-US"/>
        </w:rPr>
      </w:pPr>
      <w:r>
        <w:rPr>
          <w:rFonts w:ascii="Times New Roman" w:hAnsi="Times New Roman" w:eastAsia="宋体" w:cs="Times New Roman"/>
          <w:color w:val="auto"/>
          <w:sz w:val="24"/>
          <w:szCs w:val="22"/>
        </w:rPr>
        <w:t>Yunju Zhang,</w:t>
      </w:r>
      <w:r>
        <w:rPr>
          <w:rFonts w:ascii="Times New Roman" w:hAnsi="Times New Roman" w:eastAsia="宋体" w:cs="Times New Roman"/>
          <w:color w:val="auto"/>
          <w:sz w:val="24"/>
          <w:szCs w:val="22"/>
          <w:vertAlign w:val="superscript"/>
        </w:rPr>
        <w:footnoteReference w:id="0"/>
      </w:r>
      <w:r>
        <w:rPr>
          <w:rFonts w:ascii="Times New Roman" w:hAnsi="Times New Roman" w:eastAsia="宋体" w:cs="Times New Roman"/>
          <w:color w:val="auto"/>
          <w:sz w:val="24"/>
          <w:szCs w:val="22"/>
          <w:vertAlign w:val="superscript"/>
        </w:rPr>
        <w:t>*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</w:rPr>
        <w:t>Meilian Zhao,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lang w:val="en-US" w:eastAsia="zh-CN"/>
        </w:rPr>
        <w:t>Mingxing Liu,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lang w:val="en-US" w:eastAsia="zh-CN"/>
        </w:rPr>
        <w:t xml:space="preserve"> Qiwen Zuo,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lang w:val="en-US" w:eastAsia="zh-CN"/>
        </w:rPr>
        <w:t>Zhiguo Wang,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</w:rPr>
        <w:t>Ruojing Song,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lang w:val="en-US" w:eastAsia="zh-CN"/>
        </w:rPr>
        <w:t>Yuxi Sun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baseline"/>
          <w:lang w:val="en-US" w:eastAsia="zh-CN"/>
        </w:rPr>
        <w:t>, Lini Song,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baseline"/>
          <w:lang w:val="en-US" w:eastAsia="zh-CN"/>
        </w:rPr>
        <w:t xml:space="preserve"> Xiaokun, Gou</w:t>
      </w:r>
      <w:r>
        <w:rPr>
          <w:rFonts w:hint="eastAsia" w:ascii="Times New Roman" w:hAnsi="Times New Roman" w:eastAsia="宋体" w:cs="Times New Roman"/>
          <w:color w:val="auto"/>
          <w:sz w:val="24"/>
          <w:szCs w:val="22"/>
          <w:vertAlign w:val="superscript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i/>
          <w:color w:val="auto"/>
          <w:sz w:val="24"/>
          <w:szCs w:val="22"/>
        </w:rPr>
      </w:pPr>
      <w:r>
        <w:rPr>
          <w:rFonts w:ascii="Times New Roman" w:hAnsi="Times New Roman" w:eastAsia="宋体" w:cs="Times New Roman"/>
          <w:i/>
          <w:color w:val="auto"/>
          <w:sz w:val="24"/>
          <w:szCs w:val="22"/>
          <w:vertAlign w:val="superscript"/>
        </w:rPr>
        <w:t>1</w:t>
      </w:r>
      <w:r>
        <w:rPr>
          <w:rFonts w:ascii="Times New Roman" w:hAnsi="Times New Roman" w:eastAsia="宋体" w:cs="Times New Roman"/>
          <w:i/>
          <w:color w:val="auto"/>
          <w:sz w:val="24"/>
          <w:szCs w:val="22"/>
        </w:rPr>
        <w:t xml:space="preserve">Key Laboratory of Photoinduced Functional Materials, 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 xml:space="preserve">Key </w:t>
      </w:r>
      <w:r>
        <w:rPr>
          <w:rFonts w:ascii="Times New Roman" w:hAnsi="Times New Roman" w:eastAsia="宋体" w:cs="Times New Roman"/>
          <w:i/>
          <w:color w:val="auto"/>
          <w:sz w:val="24"/>
          <w:szCs w:val="22"/>
        </w:rPr>
        <w:t xml:space="preserve">Laboratory of 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 xml:space="preserve">Inorganic Materials Preparation and Synthesis, </w:t>
      </w:r>
      <w:r>
        <w:rPr>
          <w:rFonts w:ascii="Times New Roman" w:hAnsi="Times New Roman" w:eastAsia="宋体" w:cs="Times New Roman"/>
          <w:i/>
          <w:color w:val="auto"/>
          <w:sz w:val="24"/>
          <w:szCs w:val="22"/>
        </w:rPr>
        <w:t>Mianyang Normal University, Mianyang 621000, 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i/>
          <w:color w:val="auto"/>
          <w:sz w:val="24"/>
          <w:szCs w:val="22"/>
        </w:rPr>
      </w:pP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vertAlign w:val="baseline"/>
          <w:lang w:val="en-US" w:eastAsia="zh-CN"/>
        </w:rPr>
        <w:t>Shool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 xml:space="preserve"> of 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>Public Health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 xml:space="preserve"> , Chengdu University of Traditional Chinese Medicine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 xml:space="preserve"> ChengDu </w:t>
      </w:r>
      <w:r>
        <w:rPr>
          <w:rFonts w:ascii="Times New Roman" w:hAnsi="Times New Roman" w:eastAsia="宋体" w:cs="Times New Roman"/>
          <w:i/>
          <w:color w:val="auto"/>
          <w:sz w:val="24"/>
          <w:szCs w:val="22"/>
        </w:rPr>
        <w:t>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>No.1 Middle School of Pidu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>Chengdu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>, Sichuan, PR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jc w:val="center"/>
        <w:textAlignment w:val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vertAlign w:val="super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>Vocational and Technical School of You'ai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</w:rPr>
        <w:t>, Pidu District, Chengdu, Sichuan</w:t>
      </w:r>
      <w:r>
        <w:rPr>
          <w:rFonts w:hint="eastAsia" w:ascii="Times New Roman" w:hAnsi="Times New Roman" w:eastAsia="宋体" w:cs="Times New Roman"/>
          <w:i/>
          <w:color w:val="auto"/>
          <w:sz w:val="24"/>
          <w:szCs w:val="22"/>
          <w:lang w:val="en-US" w:eastAsia="zh-CN"/>
        </w:rPr>
        <w:t>, PR China</w:t>
      </w:r>
    </w:p>
    <w:p>
      <w:bookmarkStart w:id="0" w:name="_GoBack"/>
      <w:bookmarkEnd w:id="0"/>
    </w:p>
    <w:p/>
    <w:p>
      <w:r>
        <w:rPr>
          <w:rFonts w:hint="eastAsia" w:ascii="Times New Roman" w:hAnsi="Times New Roman" w:cs="Times New Roman" w:eastAsiaTheme="minorEastAsia"/>
          <w:color w:val="FF0000"/>
          <w:sz w:val="24"/>
          <w:szCs w:val="24"/>
          <w:lang w:eastAsia="zh-CN"/>
        </w:rPr>
        <w:drawing>
          <wp:inline distT="0" distB="0" distL="114300" distR="114300">
            <wp:extent cx="6091555" cy="4536440"/>
            <wp:effectExtent l="0" t="0" r="4445" b="16510"/>
            <wp:docPr id="10" name="图片 10" descr="8H7}6BJUE0%W7$_N~HVRU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H7}6BJUE0%W7$_N~HVRUK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1555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S1.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Potential energy diagram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unimportant </w:t>
      </w:r>
      <w:r>
        <w:rPr>
          <w:rFonts w:hint="default" w:ascii="Times New Roman" w:hAnsi="Times New Roman" w:eastAsia="宋体" w:cs="Times New Roman"/>
          <w:sz w:val="24"/>
          <w:szCs w:val="24"/>
        </w:rPr>
        <w:t>reaction mechanisms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starting from IM1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for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the CH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=CHCHO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+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reaction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the CCSD(T)/cc-pVTZ//B3LYP/6-311++G(d,p) level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</w:p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97600" cy="4303395"/>
            <wp:effectExtent l="0" t="0" r="12700" b="1905"/>
            <wp:docPr id="3" name="图片 3" descr="N9MULI`R(P}%`5FYK4LXI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N9MULI`R(P}%`5FYK4LXII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S2.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Potential energy diagram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unimportant </w:t>
      </w:r>
      <w:r>
        <w:rPr>
          <w:rFonts w:hint="default" w:ascii="Times New Roman" w:hAnsi="Times New Roman" w:eastAsia="宋体" w:cs="Times New Roman"/>
          <w:sz w:val="24"/>
          <w:szCs w:val="24"/>
        </w:rPr>
        <w:t>reaction mechanisms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starting from IM2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for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the CH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=CHCHO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+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NO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reaction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the CCSD(T)/cc-pVTZ//B3LYP/6-311++G(d,p) level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drawing>
          <wp:inline distT="0" distB="0" distL="114300" distR="114300">
            <wp:extent cx="5345430" cy="3637280"/>
            <wp:effectExtent l="0" t="0" r="7620" b="1270"/>
            <wp:docPr id="4" name="图片 4" descr="Grap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raph2"/>
                    <pic:cNvPicPr>
                      <a:picLocks noChangeAspect="1"/>
                    </pic:cNvPicPr>
                  </pic:nvPicPr>
                  <pic:blipFill>
                    <a:blip r:embed="rId7"/>
                    <a:srcRect l="5497" t="15103" r="10065" b="9605"/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363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S3.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Potential energy diagram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unimportant </w:t>
      </w:r>
      <w:r>
        <w:rPr>
          <w:rFonts w:hint="default" w:ascii="Times New Roman" w:hAnsi="Times New Roman" w:eastAsia="宋体" w:cs="Times New Roman"/>
          <w:sz w:val="24"/>
          <w:szCs w:val="24"/>
        </w:rPr>
        <w:t>reaction mechanisms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starting from h-P3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in the presence of 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NO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the CCSD(T)/cc-pVTZ//B3LYP/6-311++G(d,p) level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306185" cy="3601720"/>
            <wp:effectExtent l="0" t="0" r="18415" b="17780"/>
            <wp:docPr id="8" name="图片 8" descr="Gra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raph3"/>
                    <pic:cNvPicPr>
                      <a:picLocks noChangeAspect="1"/>
                    </pic:cNvPicPr>
                  </pic:nvPicPr>
                  <pic:blipFill>
                    <a:blip r:embed="rId8"/>
                    <a:srcRect l="4952" t="14706" r="4506" b="7271"/>
                    <a:stretch>
                      <a:fillRect/>
                    </a:stretch>
                  </pic:blipFill>
                  <pic:spPr>
                    <a:xfrm>
                      <a:off x="0" y="0"/>
                      <a:ext cx="630618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S4.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Potential energy diagram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unimportant </w:t>
      </w:r>
      <w:r>
        <w:rPr>
          <w:rFonts w:hint="default" w:ascii="Times New Roman" w:hAnsi="Times New Roman" w:eastAsia="宋体" w:cs="Times New Roman"/>
          <w:sz w:val="24"/>
          <w:szCs w:val="24"/>
        </w:rPr>
        <w:t>reaction mechanisms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starting from IM1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in the presence of 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NO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the CCSD(T)/cc-pVTZ//B3LYP/6-311++G(d,p) level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02960" cy="3254375"/>
            <wp:effectExtent l="0" t="0" r="2540" b="3175"/>
            <wp:docPr id="11" name="图片 11" descr="Grap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Graph4"/>
                    <pic:cNvPicPr>
                      <a:picLocks noChangeAspect="1"/>
                    </pic:cNvPicPr>
                  </pic:nvPicPr>
                  <pic:blipFill>
                    <a:blip r:embed="rId9"/>
                    <a:srcRect l="4769" t="14522" r="4541" b="7496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S5.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Potential energy diagram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of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unimportant </w:t>
      </w:r>
      <w:r>
        <w:rPr>
          <w:rFonts w:hint="default" w:ascii="Times New Roman" w:hAnsi="Times New Roman" w:eastAsia="宋体" w:cs="Times New Roman"/>
          <w:sz w:val="24"/>
          <w:szCs w:val="24"/>
        </w:rPr>
        <w:t>reaction mechanisms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starting from IM1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in the presence of 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and NO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at the CCSD(T)/cc-pVTZ//B3LYP/6-311++G(d,p) level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</w:p>
    <w:p>
      <w:pPr>
        <w:rPr>
          <w:rFonts w:hint="eastAsia" w:eastAsiaTheme="minorEastAsia"/>
          <w:lang w:eastAsia="zh-CN"/>
        </w:rPr>
      </w:pPr>
    </w:p>
    <w:p>
      <w:r>
        <w:drawing>
          <wp:inline distT="0" distB="0" distL="114300" distR="114300">
            <wp:extent cx="5272405" cy="644906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4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S6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 xml:space="preserve"> Optimized geometries of all the transition states involved in the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subsequent reaction of </w:t>
      </w:r>
      <w:r>
        <w:rPr>
          <w:rFonts w:hint="default" w:ascii="Times New Roman" w:hAnsi="Times New Roman" w:cs="Times New Roman"/>
          <w:sz w:val="24"/>
          <w:szCs w:val="24"/>
        </w:rPr>
        <w:t>CH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=CHCHO with NO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reaction.</w:t>
      </w:r>
    </w:p>
    <w:p/>
    <w:p/>
    <w:p/>
    <w:p/>
    <w:p/>
    <w:p>
      <w:pPr>
        <w:autoSpaceDE w:val="0"/>
        <w:autoSpaceDN w:val="0"/>
        <w:adjustRightInd w:val="0"/>
        <w:spacing w:line="480" w:lineRule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Zero Point En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ergies (ZPE) without scaling factor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vertAlign w:val="sub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diagnostic values,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relative Energies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), relative enthalpies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) and Gibbs free energy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) for the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products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involved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the CH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=C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HCHO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+ NO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</w:rPr>
        <w:t>3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reaction (energies in kcal/mol).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2"/>
        <w:gridCol w:w="810"/>
        <w:gridCol w:w="930"/>
        <w:gridCol w:w="855"/>
        <w:gridCol w:w="899"/>
        <w:gridCol w:w="13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Spices</w:t>
            </w:r>
          </w:p>
        </w:tc>
        <w:tc>
          <w:tcPr>
            <w:tcW w:w="810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ZPE</w:t>
            </w:r>
          </w:p>
        </w:tc>
        <w:tc>
          <w:tcPr>
            <w:tcW w:w="930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5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E</w:t>
            </w:r>
          </w:p>
        </w:tc>
        <w:tc>
          <w:tcPr>
            <w:tcW w:w="899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H</w:t>
            </w:r>
          </w:p>
        </w:tc>
        <w:tc>
          <w:tcPr>
            <w:tcW w:w="139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P1: 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CH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ONOCHO +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HCO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43.81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0.020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0.021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-35.21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-28.2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-35.43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P2: (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CHOCHO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+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CH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+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NO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42.56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0.016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0.025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-64.90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-57.19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-74.16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P3: (CHOCHOHCHO + NO)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46.70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0.025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-85.8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-79.24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-84.68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P4: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cy-CHONOCHOCHO + H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41.86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6.10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hint="default" w:ascii="Times New Roman" w:hAnsi="Times New Roman" w:cs="Times New Roman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P5: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COHCHO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+ NO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46.66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0.014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0.023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-53.5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-47.16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-53.2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P6: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CHONOCOHCHO +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41.66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-15.01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P7: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ONOCHOH + CO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45.48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0.020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-49.3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-42.2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-48.95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spacing w:line="480" w:lineRule="auto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P8: (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CHOHCO + CH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O + NO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42.85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0.025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-48.63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-58.2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P9: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(CHOCHONOCHO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41.05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-16.2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-8.91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P10: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OCHONO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HCO)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44.45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0.021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-17.60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-10.95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-17.31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P11: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46.22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0.016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-57.3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P12: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(CHOCHCHONO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42.51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0.019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14.27</w:t>
            </w:r>
          </w:p>
        </w:tc>
        <w:tc>
          <w:tcPr>
            <w:tcW w:w="8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21.24</w:t>
            </w:r>
          </w:p>
        </w:tc>
        <w:tc>
          <w:tcPr>
            <w:tcW w:w="139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P13: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CCHOH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42.66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41.36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48.44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P14: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(CHOCHCHOH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47.38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0.016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-56.23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-49.93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-55.8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P15: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HCO)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44.58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0.021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5.97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P16: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COCHO-CS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46.14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-63.11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-56.4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P17: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COCHOH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47.01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0.014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-26.82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-26.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P18: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CO)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43.31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0.014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-66.68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-59.1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-76.4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P19: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CHCO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46.37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0.023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P20: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(CHOCO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39.63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0.029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0.008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(CHCHCHO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46.89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0.044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9.16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CCHO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46.46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0.045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9.63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15.98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36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3: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(CH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CHCO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HNO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)</w:t>
            </w: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47.83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0.023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-6.26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-12.79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autoSpaceDE w:val="0"/>
        <w:autoSpaceDN w:val="0"/>
        <w:adjustRightInd w:val="0"/>
        <w:spacing w:line="480" w:lineRule="auto"/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:lang w:val="en-US" w:eastAsia="zh-CN"/>
        </w:rPr>
        <w:t>S2.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Zero Point En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ergies (ZPE) without scaling factor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eastAsia="宋体" w:cs="Times New Roman"/>
          <w:i/>
          <w:iCs/>
          <w:kern w:val="0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vertAlign w:val="subscript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diagnostic values,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relative Energies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), relative enthalpies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) and Gibbs free energy (Δ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</w:rPr>
        <w:t>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) for the species involved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in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the the CH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=C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HCHO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+ NO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bscript"/>
        </w:rPr>
        <w:t>3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 xml:space="preserve"> reaction (energies in kcal/mol).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308"/>
        <w:gridCol w:w="1308"/>
        <w:gridCol w:w="1340"/>
        <w:gridCol w:w="1341"/>
        <w:gridCol w:w="13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Spices</w:t>
            </w:r>
          </w:p>
        </w:tc>
        <w:tc>
          <w:tcPr>
            <w:tcW w:w="132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ZPE</w:t>
            </w:r>
          </w:p>
        </w:tc>
        <w:tc>
          <w:tcPr>
            <w:tcW w:w="1327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354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E</w:t>
            </w:r>
          </w:p>
        </w:tc>
        <w:tc>
          <w:tcPr>
            <w:tcW w:w="1355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H</w:t>
            </w:r>
          </w:p>
        </w:tc>
        <w:tc>
          <w:tcPr>
            <w:tcW w:w="1356" w:type="dxa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∆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49.12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0.026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-21.68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-16.06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57.03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-46.60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-47.70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-36.17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1803" w:type="dxa"/>
          </w:tcPr>
          <w:p>
            <w:pPr>
              <w:jc w:val="center"/>
              <w:rPr>
                <w:rFonts w:hint="eastAsia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62.66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-67.92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-69.90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53.51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0.021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-58.19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-59.55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-48.79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color w:val="auto"/>
                <w:vertAlign w:val="baseli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45.44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-115.04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-116.33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-105.68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58.14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-50.30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-52.07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-29.45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/>
                <w:color w:val="auto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51.64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-55.56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-56.62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/>
                <w:color w:val="auto"/>
                <w:vertAlign w:val="baseline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C-TS2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51.36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0.029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-45.03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-46.06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-36.52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C-TS3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50.56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0.021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-32.33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-33.76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-23.06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46.26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0.049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-16.06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-17.04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IM1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41.16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0.023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-74.48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-75.73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-65.17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47.71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0.019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-13.80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-7.86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56.90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-56.25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-57.57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60.24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-79.85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-81.63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-59.61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53.05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-65.53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-66.94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-56.82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44.88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0.018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-119.74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-121.27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-110.46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51.78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-81.89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-83.16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B-TS1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57.74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0.025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-55.58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-57.57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-35.26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48.27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0.019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-40.74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-42.12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C-TS2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49.46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0.029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-57.15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-58.31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C-TS3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46.71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0.047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-23.68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-25.02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-14.43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C-TS4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45.81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-46.58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-47.74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-37.74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D-TS1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41.07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-84.51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-86.07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-74.80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48.62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0.028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-55.40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-56.13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-47.64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IM2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E-TS2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51.53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-78.48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-80.06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-69.45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h-P3-IM1A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46.93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0.025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-53.64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-51.36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h-P3-IM1B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41.10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-76.74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-72.98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-51.78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h-P3-IM2A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36.07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-64.85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-62.72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-52.17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h-P3-IM2B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41.26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0.020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-94.38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-90.60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-68.82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>
            <w:pP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h-P3-IM1B-TS1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39.15</w:t>
            </w:r>
          </w:p>
        </w:tc>
        <w:tc>
          <w:tcPr>
            <w:tcW w:w="132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0.027</w:t>
            </w:r>
          </w:p>
        </w:tc>
        <w:tc>
          <w:tcPr>
            <w:tcW w:w="1354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-48.95</w:t>
            </w:r>
          </w:p>
        </w:tc>
        <w:tc>
          <w:tcPr>
            <w:tcW w:w="1355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-47.48</w:t>
            </w:r>
          </w:p>
        </w:tc>
        <w:tc>
          <w:tcPr>
            <w:tcW w:w="135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0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h-P3-IM1C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+NO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vertAlign w:val="subscript"/>
                <w:lang w:val="en-US" w:eastAsia="zh-CN"/>
              </w:rPr>
              <w:t>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37.32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0.021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0.024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-61.20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-60.70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-51.43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h-P3-IM1C-TS1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27.62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0.028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-40.07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-43.71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-34.27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h-P3-IM1C-TS2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30.19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0.044</w:t>
            </w:r>
          </w:p>
        </w:tc>
        <w:tc>
          <w:tcPr>
            <w:tcW w:w="135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-35.65</w:t>
            </w:r>
          </w:p>
        </w:tc>
        <w:tc>
          <w:tcPr>
            <w:tcW w:w="135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-36.66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-27.80</w:t>
            </w:r>
          </w:p>
        </w:tc>
      </w:tr>
    </w:tbl>
    <w:p/>
    <w:p/>
    <w:p/>
    <w:p>
      <w:r>
        <w:drawing>
          <wp:inline distT="0" distB="0" distL="114300" distR="114300">
            <wp:extent cx="4124325" cy="1638300"/>
            <wp:effectExtent l="0" t="0" r="0" b="0"/>
            <wp:docPr id="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Fo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r SCHEME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: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position w:val="-34"/>
          <w:sz w:val="24"/>
          <w:szCs w:val="24"/>
        </w:rPr>
        <w:object>
          <v:shape id="_x0000_i1025" o:spt="75" type="#_x0000_t75" style="height:38.25pt;width:315.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12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      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position w:val="-34"/>
          <w:sz w:val="24"/>
          <w:szCs w:val="24"/>
        </w:rPr>
        <w:object>
          <v:shape id="_x0000_i1026" o:spt="75" type="#_x0000_t75" style="height:36pt;width:301.7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14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        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position w:val="-34"/>
          <w:sz w:val="24"/>
          <w:szCs w:val="24"/>
        </w:rPr>
        <w:object>
          <v:shape id="_x0000_i1027" o:spt="75" type="#_x0000_t75" style="height:36pt;width:314.1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16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       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position w:val="-34"/>
          <w:sz w:val="24"/>
          <w:szCs w:val="24"/>
        </w:rPr>
        <w:object>
          <v:shape id="_x0000_i1028" o:spt="75" type="#_x0000_t75" style="height:36pt;width:331.1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(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Wh</w:t>
      </w:r>
      <w:r>
        <w:rPr>
          <w:rFonts w:hint="eastAsia" w:ascii="Times New Roman" w:hAnsi="Times New Roman" w:eastAsia="宋体" w:cs="Times New Roman"/>
          <w:sz w:val="24"/>
          <w:szCs w:val="24"/>
        </w:rPr>
        <w:t>ere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=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4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ascii="Times New Roman" w:hAnsi="Times New Roman" w:eastAsia="宋体" w:cs="Times New Roman"/>
          <w:sz w:val="24"/>
          <w:szCs w:val="24"/>
        </w:rPr>
        <w:t>/(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5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hint="eastAsia" w:ascii="Times New Roman" w:hAnsi="Times New Roman" w:eastAsia="宋体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+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6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ascii="Times New Roman" w:hAnsi="Times New Roman" w:eastAsia="宋体" w:cs="Times New Roman"/>
          <w:sz w:val="24"/>
          <w:szCs w:val="24"/>
        </w:rPr>
        <w:t xml:space="preserve"> +</w:t>
      </w:r>
      <w:r>
        <w:rPr>
          <w:rFonts w:ascii="Times New Roman" w:hAnsi="Times New Roman" w:eastAsia="宋体" w:cs="Times New Roman"/>
          <w:sz w:val="24"/>
          <w:szCs w:val="22"/>
        </w:rPr>
        <w:t xml:space="preserve"> ω</w:t>
      </w:r>
      <w:r>
        <w:rPr>
          <w:rFonts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=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2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ascii="Times New Roman" w:hAnsi="Times New Roman" w:eastAsia="宋体" w:cs="Times New Roman"/>
          <w:sz w:val="24"/>
          <w:szCs w:val="24"/>
        </w:rPr>
        <w:t>/(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3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hint="eastAsia" w:ascii="Times New Roman" w:hAnsi="Times New Roman" w:eastAsia="宋体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+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5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)*</w:t>
      </w:r>
      <w:r>
        <w:rPr>
          <w:rFonts w:ascii="Times New Roman" w:hAnsi="Times New Roman" w:eastAsia="宋体" w:cs="Times New Roman"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+</w:t>
      </w:r>
      <w:r>
        <w:rPr>
          <w:rFonts w:ascii="Times New Roman" w:hAnsi="Times New Roman" w:eastAsia="宋体" w:cs="Times New Roman"/>
          <w:sz w:val="24"/>
          <w:szCs w:val="22"/>
        </w:rPr>
        <w:t xml:space="preserve"> ω</w:t>
      </w:r>
      <w:r>
        <w:rPr>
          <w:rFonts w:ascii="Times New Roman" w:hAnsi="Times New Roman" w:eastAsia="宋体" w:cs="Times New Roman"/>
          <w:sz w:val="24"/>
          <w:szCs w:val="24"/>
        </w:rPr>
        <w:t>)</w:t>
      </w: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X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=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1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hint="eastAsia" w:ascii="Times New Roman" w:hAnsi="Times New Roman" w:eastAsia="宋体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+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ascii="Times New Roman" w:hAnsi="Times New Roman" w:eastAsia="宋体" w:cs="Times New Roman"/>
          <w:sz w:val="24"/>
          <w:szCs w:val="24"/>
          <w:vertAlign w:val="subscript"/>
          <w:lang w:val="pt-BR"/>
        </w:rPr>
        <w:t>2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(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>E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)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eastAsia="宋体" w:cs="Times New Roman"/>
          <w:i/>
          <w:sz w:val="24"/>
          <w:szCs w:val="24"/>
          <w:lang w:val="pt-BR"/>
        </w:rPr>
        <w:t xml:space="preserve"> k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4"/>
          <w:lang w:val="pt-BR"/>
        </w:rPr>
        <w:t>*</w:t>
      </w:r>
      <w:r>
        <w:rPr>
          <w:rFonts w:ascii="Times New Roman" w:hAnsi="Times New Roman" w:eastAsia="宋体" w:cs="Times New Roman"/>
          <w:sz w:val="24"/>
          <w:szCs w:val="24"/>
        </w:rPr>
        <w:t>X</w:t>
      </w:r>
      <w:r>
        <w:rPr>
          <w:rFonts w:hint="eastAsia" w:ascii="Times New Roman" w:hAnsi="Times New Roman" w:eastAsia="宋体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+</w:t>
      </w:r>
      <w:r>
        <w:rPr>
          <w:rFonts w:ascii="Times New Roman" w:hAnsi="Times New Roman" w:eastAsia="宋体" w:cs="Times New Roman"/>
          <w:sz w:val="24"/>
          <w:szCs w:val="22"/>
        </w:rPr>
        <w:t xml:space="preserve"> ω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sz w:val="24"/>
          <w:szCs w:val="22"/>
        </w:rPr>
      </w:pPr>
      <w:r>
        <w:rPr>
          <w:rFonts w:ascii="Times New Roman" w:hAnsi="Times New Roman" w:eastAsia="宋体" w:cs="Times New Roman"/>
          <w:sz w:val="24"/>
          <w:szCs w:val="22"/>
        </w:rPr>
        <w:t>The microcanonical rate constant is calculated using the RRKM theory as follows: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sz w:val="24"/>
          <w:szCs w:val="22"/>
        </w:rPr>
      </w:pPr>
      <w:r>
        <w:rPr>
          <w:rFonts w:ascii="Times New Roman" w:hAnsi="Times New Roman" w:eastAsia="宋体" w:cs="Times New Roman"/>
          <w:sz w:val="24"/>
          <w:szCs w:val="22"/>
        </w:rPr>
        <w:t xml:space="preserve"> </w:t>
      </w:r>
      <w:r>
        <w:rPr>
          <w:rFonts w:ascii="Times New Roman" w:hAnsi="Times New Roman" w:eastAsia="宋体" w:cs="Times New Roman"/>
          <w:sz w:val="24"/>
          <w:szCs w:val="22"/>
        </w:rPr>
        <w:object>
          <v:shape id="_x0000_i1029" o:spt="75" type="#_x0000_t75" style="height:20.25pt;width:142.5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20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                                  </w:t>
      </w:r>
      <w:r>
        <w:rPr>
          <w:rFonts w:hint="eastAsia" w:ascii="Times New Roman" w:hAnsi="Times New Roman" w:eastAsia="宋体" w:cs="Times New Roman"/>
          <w:sz w:val="24"/>
          <w:szCs w:val="22"/>
        </w:rPr>
        <w:t xml:space="preserve">    </w:t>
      </w:r>
      <w:r>
        <w:rPr>
          <w:rFonts w:ascii="Times New Roman" w:hAnsi="Times New Roman" w:eastAsia="宋体" w:cs="Times New Roman"/>
          <w:sz w:val="24"/>
          <w:szCs w:val="22"/>
        </w:rPr>
        <w:t xml:space="preserve">   (11)</w:t>
      </w:r>
    </w:p>
    <w:p>
      <w:pPr>
        <w:autoSpaceDE w:val="0"/>
        <w:autoSpaceDN w:val="0"/>
        <w:adjustRightInd w:val="0"/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  <w:szCs w:val="22"/>
        </w:rPr>
      </w:pPr>
      <w:r>
        <w:rPr>
          <w:rFonts w:ascii="Times New Roman" w:hAnsi="Times New Roman" w:eastAsia="宋体" w:cs="Times New Roman"/>
          <w:sz w:val="24"/>
          <w:szCs w:val="22"/>
        </w:rPr>
        <w:t xml:space="preserve">In the above equations, </w:t>
      </w:r>
      <w:r>
        <w:rPr>
          <w:rFonts w:ascii="Times New Roman" w:hAnsi="Times New Roman" w:eastAsia="宋体" w:cs="Times New Roman"/>
          <w:position w:val="-12"/>
          <w:sz w:val="24"/>
          <w:szCs w:val="22"/>
        </w:rPr>
        <w:object>
          <v:shape id="_x0000_i1030" o:spt="75" type="#_x0000_t75" style="height:18pt;width:1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22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>is the statistical factor for the reaction path a, and</w:t>
      </w:r>
      <w:r>
        <w:rPr>
          <w:rFonts w:ascii="Times New Roman" w:hAnsi="Times New Roman" w:eastAsia="宋体" w:cs="Times New Roman"/>
          <w:sz w:val="24"/>
          <w:szCs w:val="22"/>
          <w:vertAlign w:val="subscript"/>
        </w:rPr>
        <w:t xml:space="preserve"> </w:t>
      </w:r>
      <w:r>
        <w:rPr>
          <w:rFonts w:ascii="Times New Roman" w:hAnsi="Times New Roman" w:eastAsia="宋体" w:cs="Times New Roman"/>
          <w:sz w:val="24"/>
          <w:szCs w:val="22"/>
        </w:rPr>
        <w:sym w:font="Symbol" w:char="F061"/>
      </w:r>
      <w:r>
        <w:rPr>
          <w:rFonts w:ascii="Times New Roman" w:hAnsi="Times New Roman" w:eastAsia="宋体" w:cs="Times New Roman"/>
          <w:i/>
          <w:sz w:val="24"/>
          <w:szCs w:val="22"/>
          <w:vertAlign w:val="subscript"/>
        </w:rPr>
        <w:t>i</w:t>
      </w:r>
      <w:r>
        <w:rPr>
          <w:rFonts w:ascii="Times New Roman" w:hAnsi="Times New Roman" w:eastAsia="宋体" w:cs="Times New Roman"/>
          <w:sz w:val="24"/>
          <w:szCs w:val="22"/>
        </w:rPr>
        <w:t xml:space="preserve"> is the statistical factor (degeneracy) for the </w:t>
      </w:r>
      <w:r>
        <w:rPr>
          <w:rFonts w:ascii="Times New Roman" w:hAnsi="Times New Roman" w:eastAsia="宋体" w:cs="Times New Roman"/>
          <w:i/>
          <w:sz w:val="24"/>
          <w:szCs w:val="22"/>
        </w:rPr>
        <w:t>i</w:t>
      </w:r>
      <w:r>
        <w:rPr>
          <w:rFonts w:ascii="Times New Roman" w:hAnsi="Times New Roman" w:eastAsia="宋体" w:cs="Times New Roman"/>
          <w:sz w:val="24"/>
          <w:szCs w:val="22"/>
        </w:rPr>
        <w:t xml:space="preserve">th reaction path; </w:t>
      </w:r>
      <w:r>
        <w:rPr>
          <w:rFonts w:ascii="Times New Roman" w:hAnsi="Times New Roman" w:eastAsia="宋体" w:cs="Times New Roman"/>
          <w:i/>
          <w:sz w:val="24"/>
          <w:szCs w:val="22"/>
        </w:rPr>
        <w:t>E</w:t>
      </w:r>
      <w:r>
        <w:rPr>
          <w:rFonts w:ascii="Times New Roman" w:hAnsi="Times New Roman" w:eastAsia="宋体" w:cs="Times New Roman"/>
          <w:sz w:val="24"/>
          <w:szCs w:val="22"/>
          <w:vertAlign w:val="subscript"/>
        </w:rPr>
        <w:t>a</w:t>
      </w:r>
      <w:r>
        <w:rPr>
          <w:rFonts w:ascii="Times New Roman" w:hAnsi="Times New Roman" w:eastAsia="宋体" w:cs="Times New Roman"/>
          <w:sz w:val="24"/>
          <w:szCs w:val="22"/>
        </w:rPr>
        <w:t xml:space="preserve"> is the energy barrier for the reaction step a. </w:t>
      </w:r>
      <w:r>
        <w:rPr>
          <w:rFonts w:ascii="Times New Roman" w:hAnsi="Times New Roman" w:eastAsia="宋体" w:cs="Times New Roman"/>
          <w:position w:val="-14"/>
          <w:sz w:val="24"/>
          <w:szCs w:val="24"/>
        </w:rPr>
        <w:object>
          <v:shape id="_x0000_i1031" o:spt="75" type="#_x0000_t75" style="height:19pt;width:24.7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DSMT4" ShapeID="_x0000_i1031" DrawAspect="Content" ObjectID="_1468075731" r:id="rId24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4"/>
        </w:rPr>
        <w:t xml:space="preserve">and </w:t>
      </w:r>
      <w:r>
        <w:rPr>
          <w:rFonts w:ascii="Times New Roman" w:hAnsi="Times New Roman" w:eastAsia="宋体" w:cs="Times New Roman"/>
          <w:position w:val="-14"/>
          <w:sz w:val="24"/>
          <w:szCs w:val="24"/>
        </w:rPr>
        <w:object>
          <v:shape id="_x0000_i1032" o:spt="75" type="#_x0000_t75" style="height:18.75pt;width:53.7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DSMT4" ShapeID="_x0000_i1032" DrawAspect="Content" ObjectID="_1468075732" r:id="rId26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 are the total partition function of </w:t>
      </w:r>
      <w:r>
        <w:rPr>
          <w:rFonts w:hint="eastAsia" w:ascii="Times New Roman" w:hAnsi="Times New Roman" w:eastAsia="宋体" w:cs="Times New Roman"/>
          <w:sz w:val="24"/>
          <w:szCs w:val="22"/>
          <w:lang w:val="en-US" w:eastAsia="zh-CN"/>
        </w:rPr>
        <w:t>NO</w:t>
      </w:r>
      <w:r>
        <w:rPr>
          <w:rFonts w:hint="eastAsia" w:ascii="Times New Roman" w:hAnsi="Times New Roman" w:eastAsia="宋体" w:cs="Times New Roman"/>
          <w:sz w:val="24"/>
          <w:szCs w:val="22"/>
          <w:vertAlign w:val="subscript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  <w:szCs w:val="22"/>
        </w:rPr>
        <w:t xml:space="preserve"> and </w:t>
      </w:r>
      <w:r>
        <w:rPr>
          <w:rFonts w:hint="eastAsia" w:ascii="Times New Roman" w:hAnsi="Times New Roman" w:eastAsia="宋体" w:cs="Times New Roman"/>
          <w:sz w:val="24"/>
          <w:szCs w:val="24"/>
        </w:rPr>
        <w:t>CH</w:t>
      </w:r>
      <w:r>
        <w:rPr>
          <w:rFonts w:ascii="Times New Roman" w:hAnsi="Times New Roman" w:eastAsia="宋体" w:cs="Times New Roman"/>
          <w:sz w:val="24"/>
          <w:szCs w:val="24"/>
          <w:vertAlign w:val="subscript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vertAlign w:val="baseline"/>
          <w:lang w:val="en-US" w:eastAsia="zh-CN"/>
        </w:rPr>
        <w:t>=CHCHO</w:t>
      </w:r>
      <w:r>
        <w:rPr>
          <w:rFonts w:ascii="Times New Roman" w:hAnsi="Times New Roman" w:eastAsia="宋体" w:cs="Times New Roman"/>
          <w:sz w:val="24"/>
          <w:szCs w:val="22"/>
        </w:rPr>
        <w:t xml:space="preserve">, respectively; </w:t>
      </w:r>
      <w:r>
        <w:rPr>
          <w:rFonts w:ascii="Times New Roman" w:hAnsi="Times New Roman" w:eastAsia="宋体" w:cs="Times New Roman"/>
          <w:position w:val="-12"/>
          <w:sz w:val="24"/>
          <w:szCs w:val="22"/>
        </w:rPr>
        <w:object>
          <v:shape id="_x0000_i1033" o:spt="75" type="#_x0000_t75" style="height:18pt;width:15.7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8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and </w:t>
      </w:r>
      <w:r>
        <w:rPr>
          <w:rFonts w:ascii="Times New Roman" w:hAnsi="Times New Roman" w:eastAsia="宋体" w:cs="Times New Roman"/>
          <w:position w:val="-10"/>
          <w:sz w:val="24"/>
          <w:szCs w:val="22"/>
        </w:rPr>
        <w:object>
          <v:shape id="_x0000_i1034" o:spt="75" type="#_x0000_t75" style="height:18pt;width:15.75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30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 are the translational and rotational partition functions of entrance transition state, respectively; </w:t>
      </w:r>
      <w:r>
        <w:rPr>
          <w:rFonts w:ascii="Times New Roman" w:hAnsi="Times New Roman" w:eastAsia="宋体" w:cs="Times New Roman"/>
          <w:position w:val="-12"/>
          <w:sz w:val="24"/>
          <w:szCs w:val="22"/>
        </w:rPr>
        <w:object>
          <v:shape id="_x0000_i1035" o:spt="75" type="#_x0000_t75" style="height:20.3pt;width:4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32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>is the number of state for the association transition state with excess energy</w:t>
      </w:r>
      <w:r>
        <w:rPr>
          <w:rFonts w:ascii="Times New Roman" w:hAnsi="Times New Roman" w:eastAsia="宋体" w:cs="Times New Roman"/>
          <w:sz w:val="24"/>
          <w:szCs w:val="22"/>
        </w:rPr>
        <w:object>
          <v:shape id="_x0000_i1036" o:spt="75" type="#_x0000_t75" style="height:15pt;width:15.75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34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above the association barrier. </w:t>
      </w:r>
      <w:r>
        <w:rPr>
          <w:rFonts w:ascii="Times New Roman" w:hAnsi="Times New Roman" w:eastAsia="宋体" w:cs="Times New Roman"/>
          <w:position w:val="-12"/>
          <w:sz w:val="24"/>
          <w:szCs w:val="22"/>
        </w:rPr>
        <w:object>
          <v:shape id="_x0000_i1037" o:spt="75" type="#_x0000_t75" style="height:18pt;width:30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6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 is the energy-specific rate constant for the </w:t>
      </w:r>
      <w:r>
        <w:rPr>
          <w:rFonts w:ascii="Times New Roman" w:hAnsi="Times New Roman" w:eastAsia="宋体" w:cs="Times New Roman"/>
          <w:i/>
          <w:sz w:val="24"/>
          <w:szCs w:val="22"/>
        </w:rPr>
        <w:t>i</w:t>
      </w:r>
      <w:r>
        <w:rPr>
          <w:rFonts w:ascii="Times New Roman" w:hAnsi="Times New Roman" w:eastAsia="宋体" w:cs="Times New Roman"/>
          <w:sz w:val="24"/>
          <w:szCs w:val="22"/>
        </w:rPr>
        <w:t>th channel and C</w:t>
      </w:r>
      <w:r>
        <w:rPr>
          <w:rFonts w:ascii="Times New Roman" w:hAnsi="Times New Roman" w:eastAsia="宋体" w:cs="Times New Roman"/>
          <w:i/>
          <w:sz w:val="24"/>
          <w:szCs w:val="22"/>
          <w:vertAlign w:val="subscript"/>
        </w:rPr>
        <w:t>i</w:t>
      </w:r>
      <w:r>
        <w:rPr>
          <w:rFonts w:ascii="Times New Roman" w:hAnsi="Times New Roman" w:eastAsia="宋体" w:cs="Times New Roman"/>
          <w:sz w:val="24"/>
          <w:szCs w:val="22"/>
        </w:rPr>
        <w:t xml:space="preserve"> is the ratio of the overall rotational partition function of the TS</w:t>
      </w:r>
      <w:r>
        <w:rPr>
          <w:rFonts w:ascii="Times New Roman" w:hAnsi="Times New Roman" w:eastAsia="宋体" w:cs="Times New Roman"/>
          <w:i/>
          <w:sz w:val="24"/>
          <w:szCs w:val="22"/>
          <w:vertAlign w:val="subscript"/>
        </w:rPr>
        <w:t>i</w:t>
      </w:r>
      <w:r>
        <w:rPr>
          <w:rFonts w:ascii="Times New Roman" w:hAnsi="Times New Roman" w:eastAsia="宋体" w:cs="Times New Roman"/>
          <w:sz w:val="24"/>
          <w:szCs w:val="22"/>
        </w:rPr>
        <w:t xml:space="preserve"> and IM</w:t>
      </w:r>
      <w:r>
        <w:rPr>
          <w:rFonts w:ascii="Times New Roman" w:hAnsi="Times New Roman" w:eastAsia="宋体" w:cs="Times New Roman"/>
          <w:i/>
          <w:sz w:val="24"/>
          <w:szCs w:val="22"/>
          <w:vertAlign w:val="subscript"/>
        </w:rPr>
        <w:t>j</w:t>
      </w:r>
      <w:r>
        <w:rPr>
          <w:rFonts w:ascii="Times New Roman" w:hAnsi="Times New Roman" w:eastAsia="宋体" w:cs="Times New Roman"/>
          <w:sz w:val="24"/>
          <w:szCs w:val="22"/>
        </w:rPr>
        <w:t xml:space="preserve">; </w:t>
      </w:r>
      <w:r>
        <w:rPr>
          <w:rFonts w:ascii="Times New Roman" w:hAnsi="Times New Roman" w:eastAsia="宋体" w:cs="Times New Roman"/>
          <w:position w:val="-12"/>
          <w:sz w:val="24"/>
          <w:szCs w:val="22"/>
        </w:rPr>
        <w:object>
          <v:shape id="_x0000_i1038" o:spt="75" type="#_x0000_t75" style="height:20.3pt;width:39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8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>is the number of states at the energy above the barrier height for transition state</w:t>
      </w:r>
      <w:r>
        <w:rPr>
          <w:rFonts w:ascii="Times New Roman" w:hAnsi="Times New Roman" w:eastAsia="宋体" w:cs="Times New Roman"/>
          <w:i/>
          <w:sz w:val="24"/>
          <w:szCs w:val="22"/>
        </w:rPr>
        <w:t xml:space="preserve"> i</w:t>
      </w:r>
      <w:r>
        <w:rPr>
          <w:rFonts w:ascii="Times New Roman" w:hAnsi="Times New Roman" w:eastAsia="宋体" w:cs="Times New Roman"/>
          <w:sz w:val="24"/>
          <w:szCs w:val="22"/>
        </w:rPr>
        <w:t xml:space="preserve">; </w:t>
      </w:r>
      <w:r>
        <w:rPr>
          <w:rFonts w:ascii="Times New Roman" w:hAnsi="Times New Roman" w:eastAsia="宋体" w:cs="Times New Roman"/>
          <w:position w:val="-14"/>
          <w:sz w:val="24"/>
          <w:szCs w:val="22"/>
        </w:rPr>
        <w:object>
          <v:shape id="_x0000_i1039" o:spt="75" type="#_x0000_t75" style="height:20.3pt;width:36.7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40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  <w:szCs w:val="22"/>
        </w:rPr>
        <w:t xml:space="preserve">is the density of states at energy </w:t>
      </w:r>
      <w:r>
        <w:rPr>
          <w:rFonts w:ascii="Times New Roman" w:hAnsi="Times New Roman" w:eastAsia="宋体" w:cs="Times New Roman"/>
          <w:i/>
          <w:sz w:val="24"/>
          <w:szCs w:val="22"/>
        </w:rPr>
        <w:t>E</w:t>
      </w:r>
      <w:r>
        <w:rPr>
          <w:rFonts w:ascii="Times New Roman" w:hAnsi="Times New Roman" w:eastAsia="宋体" w:cs="Times New Roman"/>
          <w:i/>
          <w:sz w:val="24"/>
          <w:szCs w:val="22"/>
          <w:vertAlign w:val="subscript"/>
        </w:rPr>
        <w:t>j</w:t>
      </w:r>
      <w:r>
        <w:rPr>
          <w:rFonts w:ascii="Times New Roman" w:hAnsi="Times New Roman" w:eastAsia="宋体" w:cs="Times New Roman"/>
          <w:sz w:val="24"/>
          <w:szCs w:val="22"/>
        </w:rPr>
        <w:t xml:space="preserve"> of the intermediate. The density of states and the number of states are calculated using the extended Beyer-Swinehart algorithm. </w:t>
      </w:r>
    </w:p>
    <w:p>
      <w:pPr>
        <w:spacing w:line="480" w:lineRule="auto"/>
        <w:ind w:firstLine="480" w:firstLineChars="20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The rate coefficients for the direct hydrogen abstraction routes can be readily obtained using the conventional transition-state theory</w:t>
      </w:r>
      <w:r>
        <w:rPr>
          <w:rFonts w:hint="eastAsia" w:ascii="Times New Roman" w:hAnsi="Times New Roman" w:eastAsia="宋体" w:cs="Times New Roman"/>
          <w:sz w:val="24"/>
        </w:rPr>
        <w:t xml:space="preserve"> [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]</w:t>
      </w:r>
      <w:r>
        <w:rPr>
          <w:rFonts w:ascii="Times New Roman" w:hAnsi="Times New Roman" w:eastAsia="宋体" w:cs="Times New Roman"/>
          <w:sz w:val="24"/>
        </w:rPr>
        <w:t>:</w:t>
      </w:r>
    </w:p>
    <w:p>
      <w:pPr>
        <w:spacing w:line="480" w:lineRule="auto"/>
        <w:ind w:firstLine="48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position w:val="-34"/>
          <w:sz w:val="24"/>
        </w:rPr>
        <w:object>
          <v:shape id="_x0000_i1040" o:spt="75" type="#_x0000_t75" style="height:46.85pt;width:240.4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42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</w:rPr>
        <w:t xml:space="preserve">                         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where κ</w:t>
      </w:r>
      <w:r>
        <w:rPr>
          <w:rFonts w:ascii="Times New Roman" w:hAnsi="Times New Roman" w:eastAsia="宋体" w:cs="Times New Roman"/>
          <w:sz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is the tunneling factor, </w:t>
      </w:r>
      <w:r>
        <w:rPr>
          <w:rFonts w:ascii="Times New Roman" w:hAnsi="Times New Roman" w:eastAsia="宋体" w:cs="Times New Roman"/>
          <w:i/>
          <w:sz w:val="24"/>
        </w:rPr>
        <w:t>k</w:t>
      </w:r>
      <w:r>
        <w:rPr>
          <w:rFonts w:ascii="Times New Roman" w:hAnsi="Times New Roman" w:eastAsia="宋体" w:cs="Times New Roman"/>
          <w:i/>
          <w:sz w:val="24"/>
          <w:vertAlign w:val="subscript"/>
        </w:rPr>
        <w:t>B</w:t>
      </w:r>
      <w:r>
        <w:rPr>
          <w:rFonts w:ascii="Times New Roman" w:hAnsi="Times New Roman" w:eastAsia="宋体" w:cs="Times New Roman"/>
          <w:sz w:val="24"/>
        </w:rPr>
        <w:t xml:space="preserve"> and </w:t>
      </w:r>
      <w:r>
        <w:rPr>
          <w:rFonts w:ascii="Times New Roman" w:hAnsi="Times New Roman" w:eastAsia="宋体" w:cs="Times New Roman"/>
          <w:i/>
          <w:sz w:val="24"/>
        </w:rPr>
        <w:t xml:space="preserve">h </w:t>
      </w:r>
      <w:r>
        <w:rPr>
          <w:rFonts w:ascii="Times New Roman" w:hAnsi="Times New Roman" w:eastAsia="宋体" w:cs="Times New Roman"/>
          <w:sz w:val="24"/>
        </w:rPr>
        <w:t xml:space="preserve">are Boltzmann and Planck constants, respectively. </w:t>
      </w:r>
      <w:r>
        <w:rPr>
          <w:rFonts w:ascii="Times New Roman" w:hAnsi="Times New Roman" w:eastAsia="宋体" w:cs="Times New Roman"/>
          <w:position w:val="-12"/>
          <w:sz w:val="24"/>
        </w:rPr>
        <w:object>
          <v:shape id="_x0000_i1041" o:spt="75" type="#_x0000_t75" style="height:18.85pt;width:18.85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44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宋体" w:cs="Times New Roman"/>
          <w:position w:val="-14"/>
          <w:sz w:val="24"/>
        </w:rPr>
        <w:object>
          <v:shape id="_x0000_i1042" o:spt="75" type="#_x0000_t75" style="height:18.85pt;width:54pt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46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</w:rPr>
        <w:t xml:space="preserve">and </w:t>
      </w:r>
      <w:r>
        <w:rPr>
          <w:rFonts w:ascii="Times New Roman" w:hAnsi="Times New Roman" w:eastAsia="宋体" w:cs="Times New Roman"/>
          <w:position w:val="-14"/>
          <w:sz w:val="24"/>
        </w:rPr>
        <w:object>
          <v:shape id="_x0000_i1043" o:spt="75" type="#_x0000_t75" style="height:19.35pt;width:24.75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8">
            <o:LockedField>false</o:LockedField>
          </o:OLEObject>
        </w:object>
      </w:r>
      <w:r>
        <w:rPr>
          <w:rFonts w:ascii="Times New Roman" w:hAnsi="Times New Roman" w:eastAsia="宋体" w:cs="Times New Roman"/>
          <w:sz w:val="24"/>
        </w:rPr>
        <w:t>are the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h-TS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</w:rPr>
        <w:t xml:space="preserve">, </w:t>
      </w:r>
      <w:r>
        <w:rPr>
          <w:rFonts w:ascii="Times New Roman" w:hAnsi="Times New Roman" w:eastAsia="AdvGulliv-R" w:cs="Times New Roman"/>
          <w:kern w:val="0"/>
          <w:sz w:val="24"/>
        </w:rPr>
        <w:t>CH</w:t>
      </w:r>
      <w:r>
        <w:rPr>
          <w:rFonts w:hint="eastAsia" w:ascii="Times New Roman" w:hAnsi="Times New Roman" w:eastAsia="AdvGulliv-R" w:cs="Times New Roman"/>
          <w:kern w:val="0"/>
          <w:sz w:val="24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AdvGulliv-R" w:cs="Times New Roman"/>
          <w:kern w:val="0"/>
          <w:sz w:val="24"/>
          <w:vertAlign w:val="baseline"/>
          <w:lang w:val="en-US" w:eastAsia="zh-CN"/>
        </w:rPr>
        <w:t>=CHCH</w:t>
      </w:r>
      <w:r>
        <w:rPr>
          <w:rFonts w:hint="eastAsia" w:ascii="Times New Roman" w:hAnsi="Times New Roman" w:eastAsia="AdvPSSPS-AS" w:cs="Times New Roman"/>
          <w:kern w:val="0"/>
          <w:sz w:val="24"/>
        </w:rPr>
        <w:t>O</w:t>
      </w:r>
      <w:r>
        <w:rPr>
          <w:rFonts w:hint="eastAsia" w:ascii="Times New Roman" w:hAnsi="Times New Roman" w:eastAsia="AdvPSSPS-AS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 xml:space="preserve">and </w:t>
      </w:r>
      <w:r>
        <w:rPr>
          <w:rFonts w:hint="eastAsia" w:ascii="Times New Roman" w:hAnsi="Times New Roman" w:eastAsia="AdvGulliv-R" w:cs="Times New Roman"/>
          <w:kern w:val="0"/>
          <w:sz w:val="24"/>
          <w:lang w:val="en-US" w:eastAsia="zh-CN"/>
        </w:rPr>
        <w:t>NO</w:t>
      </w:r>
      <w:r>
        <w:rPr>
          <w:rFonts w:hint="eastAsia" w:ascii="Times New Roman" w:hAnsi="Times New Roman" w:eastAsia="AdvGulliv-R" w:cs="Times New Roman"/>
          <w:kern w:val="0"/>
          <w:sz w:val="24"/>
          <w:vertAlign w:val="subscript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</w:rPr>
        <w:t xml:space="preserve"> partition functions, respectively. </w:t>
      </w:r>
      <w:r>
        <w:rPr>
          <w:rFonts w:ascii="Times New Roman" w:hAnsi="Times New Roman" w:eastAsia="宋体" w:cs="Times New Roman"/>
          <w:i/>
          <w:sz w:val="24"/>
        </w:rPr>
        <w:t>E</w:t>
      </w:r>
      <w:r>
        <w:rPr>
          <w:rFonts w:ascii="Times New Roman" w:hAnsi="Times New Roman" w:eastAsia="宋体" w:cs="Times New Roman"/>
          <w:i/>
          <w:sz w:val="24"/>
          <w:vertAlign w:val="subscript"/>
        </w:rPr>
        <w:t>1</w:t>
      </w:r>
      <w:r>
        <w:rPr>
          <w:rFonts w:ascii="Times New Roman" w:hAnsi="Times New Roman" w:eastAsia="宋体" w:cs="Times New Roman"/>
          <w:sz w:val="24"/>
        </w:rPr>
        <w:t xml:space="preserve"> is the barrier of h-TS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sz w:val="24"/>
        </w:rPr>
        <w:t>. The unsymmetrical Eckart potential model is employed to estimate κ</w:t>
      </w:r>
      <w:r>
        <w:rPr>
          <w:rFonts w:ascii="Times New Roman" w:hAnsi="Times New Roman" w:eastAsia="宋体" w:cs="Times New Roman"/>
          <w:sz w:val="24"/>
          <w:vertAlign w:val="subscript"/>
        </w:rPr>
        <w:t>1</w:t>
      </w:r>
      <w:r>
        <w:rPr>
          <w:rFonts w:hint="eastAsia" w:ascii="Times New Roman" w:hAnsi="Times New Roman" w:eastAsia="宋体" w:cs="Times New Roman"/>
          <w:sz w:val="24"/>
        </w:rPr>
        <w:t xml:space="preserve"> [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</w:t>
      </w:r>
      <w:r>
        <w:rPr>
          <w:rFonts w:ascii="Times New Roman" w:hAnsi="Times New Roman" w:eastAsia="宋体" w:cs="Times New Roman"/>
          <w:sz w:val="24"/>
        </w:rPr>
        <w:t>,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sz w:val="24"/>
        </w:rPr>
        <w:t>]</w:t>
      </w:r>
      <w:r>
        <w:rPr>
          <w:rFonts w:ascii="Times New Roman" w:hAnsi="Times New Roman" w:eastAsia="宋体" w:cs="Times New Roman"/>
          <w:sz w:val="24"/>
        </w:rPr>
        <w:t xml:space="preserve">.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[1]</w:t>
      </w:r>
      <w:r>
        <w:rPr>
          <w:rFonts w:ascii="Times New Roman" w:hAnsi="Times New Roman" w:eastAsia="宋体" w:cs="Times New Roman"/>
          <w:kern w:val="0"/>
          <w:sz w:val="24"/>
        </w:rPr>
        <w:t xml:space="preserve"> I.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W.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M. Smith, Kinetics and Dynamics of Elementary Gas Reactions; Butterworth,</w:t>
      </w: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</w:rPr>
        <w:t>London, 1980, p118.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[2]</w:t>
      </w:r>
      <w:r>
        <w:rPr>
          <w:rFonts w:ascii="Times New Roman" w:hAnsi="Times New Roman" w:eastAsia="宋体" w:cs="Times New Roman"/>
          <w:kern w:val="0"/>
          <w:sz w:val="24"/>
        </w:rPr>
        <w:t xml:space="preserve"> H. S. Johnston and J. Heicklen, </w:t>
      </w:r>
      <w:r>
        <w:rPr>
          <w:rFonts w:ascii="Times New Roman" w:hAnsi="Times New Roman" w:eastAsia="宋体" w:cs="Times New Roman"/>
          <w:sz w:val="24"/>
        </w:rPr>
        <w:t>Tunnelling Corrections for Unsymmetrical Eckart Potential Energy Barriers</w:t>
      </w:r>
      <w:r>
        <w:rPr>
          <w:rFonts w:ascii="Times New Roman" w:hAnsi="Times New Roman" w:eastAsia="宋体" w:cs="Times New Roman"/>
          <w:kern w:val="0"/>
          <w:sz w:val="24"/>
        </w:rPr>
        <w:t>. J. Phys. Chem. 66 (1962)532–533.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lang w:val="en-US" w:eastAsia="zh-CN"/>
        </w:rPr>
        <w:t>[3]</w:t>
      </w:r>
      <w:r>
        <w:rPr>
          <w:rFonts w:ascii="Times New Roman" w:hAnsi="Times New Roman" w:eastAsia="宋体" w:cs="Times New Roman"/>
          <w:kern w:val="0"/>
          <w:sz w:val="24"/>
        </w:rPr>
        <w:t xml:space="preserve"> C. Eckart, The Penetration of a Potential Barrier by Electrons. Phys. Rev. 35(1930)1303–1309.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dvGulliv-R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PSSPS-AS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widowControl w:val="0"/>
        <w:snapToGrid w:val="0"/>
        <w:jc w:val="left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  <w:r>
        <w:rPr>
          <w:rFonts w:ascii="Calibri" w:hAnsi="Calibri" w:eastAsia="宋体" w:cs="Times New Roman"/>
          <w:kern w:val="2"/>
          <w:sz w:val="18"/>
          <w:szCs w:val="21"/>
          <w:vertAlign w:val="superscript"/>
          <w:lang w:val="en-US" w:eastAsia="zh-CN" w:bidi="ar-SA"/>
        </w:rPr>
        <w:footnoteRef/>
      </w:r>
      <w:r>
        <w:rPr>
          <w:rFonts w:ascii="Calibri" w:hAnsi="Calibri" w:eastAsia="宋体" w:cs="Times New Roman"/>
          <w:kern w:val="2"/>
          <w:sz w:val="18"/>
          <w:szCs w:val="21"/>
          <w:lang w:val="en-US" w:eastAsia="zh-CN" w:bidi="ar-SA"/>
        </w:rPr>
        <w:t>*</w:t>
      </w:r>
      <w:r>
        <w:rPr>
          <w:rFonts w:hint="default" w:ascii="Times New Roman" w:hAnsi="Times New Roman" w:eastAsia="宋体" w:cs="Times New Roman"/>
          <w:kern w:val="2"/>
          <w:sz w:val="18"/>
          <w:szCs w:val="21"/>
          <w:lang w:val="en-US" w:eastAsia="zh-CN" w:bidi="ar-SA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 xml:space="preserve">Corresponding author. Email address: </w: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fldChar w:fldCharType="begin"/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instrText xml:space="preserve"> HYPERLINK "mailto:zhangyj010@nenu.edu.cn" </w:instrText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fldChar w:fldCharType="separate"/>
      </w:r>
      <w:r>
        <w:rPr>
          <w:rFonts w:hint="default" w:ascii="Times New Roman" w:hAnsi="Times New Roman" w:eastAsia="宋体" w:cs="Times New Roman"/>
          <w:color w:val="0000FF"/>
          <w:kern w:val="2"/>
          <w:sz w:val="18"/>
          <w:szCs w:val="18"/>
          <w:u w:val="single"/>
          <w:lang w:val="en-US" w:eastAsia="zh-CN" w:bidi="ar-SA"/>
        </w:rPr>
        <w:t>zhangyj010@nenu.edu.cn</w:t>
      </w:r>
      <w:r>
        <w:rPr>
          <w:rFonts w:hint="default" w:ascii="Times New Roman" w:hAnsi="Times New Roman" w:eastAsia="宋体" w:cs="Times New Roman"/>
          <w:color w:val="0000FF"/>
          <w:kern w:val="2"/>
          <w:sz w:val="18"/>
          <w:szCs w:val="18"/>
          <w:u w:val="single"/>
          <w:lang w:val="en-US" w:eastAsia="zh-CN" w:bidi="ar-SA"/>
        </w:rPr>
        <w:fldChar w:fldCharType="end"/>
      </w:r>
      <w:r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  <w:t xml:space="preserve"> Tel.: +86 816 2200064; Fax: +86 816 2200819</w:t>
      </w:r>
    </w:p>
    <w:p>
      <w:pPr>
        <w:widowControl w:val="0"/>
        <w:snapToGrid w:val="0"/>
        <w:jc w:val="left"/>
        <w:rPr>
          <w:rFonts w:hint="default" w:ascii="Times New Roman" w:hAnsi="Times New Roman" w:eastAsia="宋体" w:cs="Times New Roman"/>
          <w:kern w:val="2"/>
          <w:sz w:val="18"/>
          <w:szCs w:val="18"/>
          <w:lang w:val="en-US" w:eastAsia="zh-CN" w:bidi="ar-S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YmM1NGJkZTFhOGY1MDVjMzU1YWQwMGYxNWY0NmUifQ=="/>
  </w:docVars>
  <w:rsids>
    <w:rsidRoot w:val="00000000"/>
    <w:rsid w:val="07500A1D"/>
    <w:rsid w:val="10557933"/>
    <w:rsid w:val="168C1346"/>
    <w:rsid w:val="18FE652B"/>
    <w:rsid w:val="21CD5ED6"/>
    <w:rsid w:val="2B4D3342"/>
    <w:rsid w:val="30275F10"/>
    <w:rsid w:val="3192385D"/>
    <w:rsid w:val="34A65D5D"/>
    <w:rsid w:val="3DA45043"/>
    <w:rsid w:val="3F7B3972"/>
    <w:rsid w:val="413C5827"/>
    <w:rsid w:val="47206553"/>
    <w:rsid w:val="5D1A6C78"/>
    <w:rsid w:val="5E033269"/>
    <w:rsid w:val="6A101968"/>
    <w:rsid w:val="6A1A2066"/>
    <w:rsid w:val="6BA32EA6"/>
    <w:rsid w:val="7B4D307F"/>
    <w:rsid w:val="7D80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GIF"/><Relationship Id="rId8" Type="http://schemas.openxmlformats.org/officeDocument/2006/relationships/image" Target="media/image4.GIF"/><Relationship Id="rId7" Type="http://schemas.openxmlformats.org/officeDocument/2006/relationships/image" Target="media/image3.GIF"/><Relationship Id="rId6" Type="http://schemas.openxmlformats.org/officeDocument/2006/relationships/image" Target="media/image2.png"/><Relationship Id="rId50" Type="http://schemas.openxmlformats.org/officeDocument/2006/relationships/fontTable" Target="fontTable.xml"/><Relationship Id="rId5" Type="http://schemas.openxmlformats.org/officeDocument/2006/relationships/image" Target="media/image1.png"/><Relationship Id="rId49" Type="http://schemas.openxmlformats.org/officeDocument/2006/relationships/image" Target="media/image26.wmf"/><Relationship Id="rId48" Type="http://schemas.openxmlformats.org/officeDocument/2006/relationships/oleObject" Target="embeddings/oleObject19.bin"/><Relationship Id="rId47" Type="http://schemas.openxmlformats.org/officeDocument/2006/relationships/image" Target="media/image25.wmf"/><Relationship Id="rId46" Type="http://schemas.openxmlformats.org/officeDocument/2006/relationships/oleObject" Target="embeddings/oleObject18.bin"/><Relationship Id="rId45" Type="http://schemas.openxmlformats.org/officeDocument/2006/relationships/image" Target="media/image24.wmf"/><Relationship Id="rId44" Type="http://schemas.openxmlformats.org/officeDocument/2006/relationships/oleObject" Target="embeddings/oleObject17.bin"/><Relationship Id="rId43" Type="http://schemas.openxmlformats.org/officeDocument/2006/relationships/image" Target="media/image23.wmf"/><Relationship Id="rId42" Type="http://schemas.openxmlformats.org/officeDocument/2006/relationships/oleObject" Target="embeddings/oleObject16.bin"/><Relationship Id="rId41" Type="http://schemas.openxmlformats.org/officeDocument/2006/relationships/image" Target="media/image22.wmf"/><Relationship Id="rId40" Type="http://schemas.openxmlformats.org/officeDocument/2006/relationships/oleObject" Target="embeddings/oleObject15.bin"/><Relationship Id="rId4" Type="http://schemas.openxmlformats.org/officeDocument/2006/relationships/theme" Target="theme/theme1.xml"/><Relationship Id="rId39" Type="http://schemas.openxmlformats.org/officeDocument/2006/relationships/image" Target="media/image21.wmf"/><Relationship Id="rId38" Type="http://schemas.openxmlformats.org/officeDocument/2006/relationships/oleObject" Target="embeddings/oleObject14.bin"/><Relationship Id="rId37" Type="http://schemas.openxmlformats.org/officeDocument/2006/relationships/image" Target="media/image20.wmf"/><Relationship Id="rId36" Type="http://schemas.openxmlformats.org/officeDocument/2006/relationships/oleObject" Target="embeddings/oleObject13.bin"/><Relationship Id="rId35" Type="http://schemas.openxmlformats.org/officeDocument/2006/relationships/image" Target="media/image19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8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7.wmf"/><Relationship Id="rId30" Type="http://schemas.openxmlformats.org/officeDocument/2006/relationships/oleObject" Target="embeddings/oleObject10.bin"/><Relationship Id="rId3" Type="http://schemas.openxmlformats.org/officeDocument/2006/relationships/footnotes" Target="footnotes.xml"/><Relationship Id="rId29" Type="http://schemas.openxmlformats.org/officeDocument/2006/relationships/image" Target="media/image16.wmf"/><Relationship Id="rId28" Type="http://schemas.openxmlformats.org/officeDocument/2006/relationships/oleObject" Target="embeddings/oleObject9.bin"/><Relationship Id="rId27" Type="http://schemas.openxmlformats.org/officeDocument/2006/relationships/image" Target="media/image15.wmf"/><Relationship Id="rId26" Type="http://schemas.openxmlformats.org/officeDocument/2006/relationships/oleObject" Target="embeddings/oleObject8.bin"/><Relationship Id="rId25" Type="http://schemas.openxmlformats.org/officeDocument/2006/relationships/image" Target="media/image14.wmf"/><Relationship Id="rId24" Type="http://schemas.openxmlformats.org/officeDocument/2006/relationships/oleObject" Target="embeddings/oleObject7.bin"/><Relationship Id="rId23" Type="http://schemas.openxmlformats.org/officeDocument/2006/relationships/image" Target="media/image13.wmf"/><Relationship Id="rId22" Type="http://schemas.openxmlformats.org/officeDocument/2006/relationships/oleObject" Target="embeddings/oleObject6.bin"/><Relationship Id="rId21" Type="http://schemas.openxmlformats.org/officeDocument/2006/relationships/image" Target="media/image12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image" Target="media/image11.wmf"/><Relationship Id="rId18" Type="http://schemas.openxmlformats.org/officeDocument/2006/relationships/oleObject" Target="embeddings/oleObject4.bin"/><Relationship Id="rId17" Type="http://schemas.openxmlformats.org/officeDocument/2006/relationships/image" Target="media/image10.wmf"/><Relationship Id="rId16" Type="http://schemas.openxmlformats.org/officeDocument/2006/relationships/oleObject" Target="embeddings/oleObject3.bin"/><Relationship Id="rId15" Type="http://schemas.openxmlformats.org/officeDocument/2006/relationships/image" Target="media/image9.wmf"/><Relationship Id="rId14" Type="http://schemas.openxmlformats.org/officeDocument/2006/relationships/oleObject" Target="embeddings/oleObject2.bin"/><Relationship Id="rId13" Type="http://schemas.openxmlformats.org/officeDocument/2006/relationships/image" Target="media/image8.wmf"/><Relationship Id="rId12" Type="http://schemas.openxmlformats.org/officeDocument/2006/relationships/oleObject" Target="embeddings/oleObject1.bin"/><Relationship Id="rId11" Type="http://schemas.openxmlformats.org/officeDocument/2006/relationships/image" Target="media/image7.emf"/><Relationship Id="rId10" Type="http://schemas.openxmlformats.org/officeDocument/2006/relationships/image" Target="media/image6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1304</Words>
  <Characters>6997</Characters>
  <Lines>0</Lines>
  <Paragraphs>0</Paragraphs>
  <TotalTime>0</TotalTime>
  <ScaleCrop>false</ScaleCrop>
  <LinksUpToDate>false</LinksUpToDate>
  <CharactersWithSpaces>7752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2022-12-29T04:32:00Z</dcterms:created>
  <dc:creator>Lenovo</dc:creator>
  <cp:lastModifiedBy>黄晓妹</cp:lastModifiedBy>
  <dcterms:modified xsi:type="dcterms:W3CDTF">2023-07-05T02:55:59Z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D613AA014ED346B995330B5087B90E4A</vt:lpwstr>
  </property>
</Properties>
</file>