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30BEC" w:rsidRPr="00F064A4" w:rsidRDefault="00D16C8A">
      <w:pPr>
        <w:rPr>
          <w:sz w:val="22"/>
          <w:szCs w:val="22"/>
        </w:rPr>
      </w:pPr>
      <w:r>
        <w:rPr>
          <w:b/>
          <w:bCs/>
          <w:sz w:val="22"/>
          <w:szCs w:val="22"/>
        </w:rPr>
        <w:t>Supplement t</w:t>
      </w:r>
      <w:r w:rsidR="00E30BEC" w:rsidRPr="00F064A4">
        <w:rPr>
          <w:b/>
          <w:bCs/>
          <w:sz w:val="22"/>
          <w:szCs w:val="22"/>
        </w:rPr>
        <w:t>able 1.</w:t>
      </w:r>
      <w:r w:rsidR="00E30BEC" w:rsidRPr="00F064A4">
        <w:rPr>
          <w:sz w:val="22"/>
          <w:szCs w:val="22"/>
        </w:rPr>
        <w:t xml:space="preserve"> The outcomes and description</w:t>
      </w:r>
    </w:p>
    <w:tbl>
      <w:tblPr>
        <w:tblW w:w="11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408"/>
        <w:gridCol w:w="1779"/>
        <w:gridCol w:w="7722"/>
      </w:tblGrid>
      <w:tr w:rsidR="00E30BEC" w:rsidRPr="00E30BEC" w:rsidTr="00E30BEC">
        <w:trPr>
          <w:trHeight w:val="320"/>
          <w:jc w:val="center"/>
        </w:trPr>
        <w:tc>
          <w:tcPr>
            <w:tcW w:w="993" w:type="dxa"/>
            <w:shd w:val="clear" w:color="auto" w:fill="auto"/>
            <w:noWrap/>
            <w:vAlign w:val="center"/>
            <w:hideMark/>
          </w:tcPr>
          <w:p w:rsidR="00E30BEC" w:rsidRPr="00E30BEC" w:rsidRDefault="00E30BEC" w:rsidP="00E30BEC">
            <w:pPr>
              <w:jc w:val="center"/>
              <w:rPr>
                <w:rFonts w:ascii="Calibri" w:eastAsia="Times New Roman" w:hAnsi="Calibri" w:cs="Calibri"/>
                <w:b/>
                <w:bCs/>
                <w:color w:val="000000"/>
                <w:kern w:val="0"/>
                <w:sz w:val="22"/>
                <w:szCs w:val="22"/>
                <w14:ligatures w14:val="none"/>
              </w:rPr>
            </w:pPr>
            <w:r w:rsidRPr="00E30BEC">
              <w:rPr>
                <w:rFonts w:ascii="Calibri" w:eastAsia="Times New Roman" w:hAnsi="Calibri" w:cs="Calibri"/>
                <w:b/>
                <w:bCs/>
                <w:color w:val="000000"/>
                <w:kern w:val="0"/>
                <w:sz w:val="22"/>
                <w:szCs w:val="22"/>
                <w14:ligatures w14:val="none"/>
              </w:rPr>
              <w:t>Number</w:t>
            </w:r>
          </w:p>
        </w:tc>
        <w:tc>
          <w:tcPr>
            <w:tcW w:w="1408" w:type="dxa"/>
            <w:shd w:val="clear" w:color="auto" w:fill="auto"/>
            <w:noWrap/>
            <w:vAlign w:val="center"/>
            <w:hideMark/>
          </w:tcPr>
          <w:p w:rsidR="00E30BEC" w:rsidRPr="00E30BEC" w:rsidRDefault="00E30BEC" w:rsidP="00E30BEC">
            <w:pPr>
              <w:jc w:val="center"/>
              <w:rPr>
                <w:rFonts w:ascii="Calibri" w:eastAsia="Times New Roman" w:hAnsi="Calibri" w:cs="Calibri"/>
                <w:b/>
                <w:bCs/>
                <w:color w:val="000000"/>
                <w:kern w:val="0"/>
                <w:sz w:val="22"/>
                <w:szCs w:val="22"/>
                <w14:ligatures w14:val="none"/>
              </w:rPr>
            </w:pPr>
            <w:r w:rsidRPr="00E30BEC">
              <w:rPr>
                <w:rFonts w:ascii="Calibri" w:eastAsia="Times New Roman" w:hAnsi="Calibri" w:cs="Calibri"/>
                <w:b/>
                <w:bCs/>
                <w:color w:val="000000"/>
                <w:kern w:val="0"/>
                <w:sz w:val="22"/>
                <w:szCs w:val="22"/>
                <w14:ligatures w14:val="none"/>
              </w:rPr>
              <w:t>Abbreviation</w:t>
            </w:r>
          </w:p>
        </w:tc>
        <w:tc>
          <w:tcPr>
            <w:tcW w:w="1779" w:type="dxa"/>
            <w:shd w:val="clear" w:color="auto" w:fill="auto"/>
            <w:noWrap/>
            <w:vAlign w:val="center"/>
            <w:hideMark/>
          </w:tcPr>
          <w:p w:rsidR="00E30BEC" w:rsidRPr="00E30BEC" w:rsidRDefault="00E30BEC" w:rsidP="00E30BEC">
            <w:pPr>
              <w:jc w:val="center"/>
              <w:rPr>
                <w:rFonts w:ascii="Calibri" w:eastAsia="Times New Roman" w:hAnsi="Calibri" w:cs="Calibri"/>
                <w:b/>
                <w:bCs/>
                <w:color w:val="000000"/>
                <w:kern w:val="0"/>
                <w:sz w:val="22"/>
                <w:szCs w:val="22"/>
                <w14:ligatures w14:val="none"/>
              </w:rPr>
            </w:pPr>
            <w:r w:rsidRPr="00E30BEC">
              <w:rPr>
                <w:rFonts w:ascii="Calibri" w:eastAsia="Times New Roman" w:hAnsi="Calibri" w:cs="Calibri"/>
                <w:b/>
                <w:bCs/>
                <w:color w:val="000000"/>
                <w:kern w:val="0"/>
                <w:sz w:val="22"/>
                <w:szCs w:val="22"/>
                <w14:ligatures w14:val="none"/>
              </w:rPr>
              <w:t>Full name</w:t>
            </w:r>
          </w:p>
        </w:tc>
        <w:tc>
          <w:tcPr>
            <w:tcW w:w="7722" w:type="dxa"/>
            <w:shd w:val="clear" w:color="auto" w:fill="auto"/>
            <w:noWrap/>
            <w:vAlign w:val="center"/>
            <w:hideMark/>
          </w:tcPr>
          <w:p w:rsidR="00E30BEC" w:rsidRPr="00E30BEC" w:rsidRDefault="00E30BEC" w:rsidP="00E30BEC">
            <w:pPr>
              <w:jc w:val="center"/>
              <w:rPr>
                <w:rFonts w:ascii="Calibri" w:eastAsia="Times New Roman" w:hAnsi="Calibri" w:cs="Calibri"/>
                <w:b/>
                <w:bCs/>
                <w:color w:val="000000"/>
                <w:kern w:val="0"/>
                <w:sz w:val="22"/>
                <w:szCs w:val="22"/>
                <w14:ligatures w14:val="none"/>
              </w:rPr>
            </w:pPr>
            <w:r w:rsidRPr="00E30BEC">
              <w:rPr>
                <w:rFonts w:ascii="Calibri" w:eastAsia="Times New Roman" w:hAnsi="Calibri" w:cs="Calibri"/>
                <w:b/>
                <w:bCs/>
                <w:color w:val="000000"/>
                <w:kern w:val="0"/>
                <w:sz w:val="22"/>
                <w:szCs w:val="22"/>
                <w14:ligatures w14:val="none"/>
              </w:rPr>
              <w:t>Description</w:t>
            </w:r>
          </w:p>
        </w:tc>
      </w:tr>
      <w:tr w:rsidR="00E30BEC" w:rsidRPr="00E30BEC" w:rsidTr="001109C4">
        <w:trPr>
          <w:trHeight w:val="3472"/>
          <w:jc w:val="center"/>
        </w:trPr>
        <w:tc>
          <w:tcPr>
            <w:tcW w:w="993" w:type="dxa"/>
            <w:shd w:val="clear" w:color="auto" w:fill="auto"/>
            <w:noWrap/>
            <w:vAlign w:val="center"/>
            <w:hideMark/>
          </w:tcPr>
          <w:p w:rsidR="00E30BEC" w:rsidRPr="00E30BEC" w:rsidRDefault="00E30BEC" w:rsidP="00E30BEC">
            <w:pPr>
              <w:jc w:val="cente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1</w:t>
            </w:r>
          </w:p>
        </w:tc>
        <w:tc>
          <w:tcPr>
            <w:tcW w:w="1408" w:type="dxa"/>
            <w:shd w:val="clear" w:color="auto" w:fill="auto"/>
            <w:noWrap/>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F-VASI</w:t>
            </w:r>
          </w:p>
        </w:tc>
        <w:tc>
          <w:tcPr>
            <w:tcW w:w="1779" w:type="dxa"/>
            <w:shd w:val="clear" w:color="auto" w:fill="auto"/>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Percentage Change from Baseline in F-VASI at Week 24.</w:t>
            </w:r>
          </w:p>
        </w:tc>
        <w:tc>
          <w:tcPr>
            <w:tcW w:w="7722" w:type="dxa"/>
            <w:shd w:val="clear" w:color="auto" w:fill="auto"/>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F-VASI was measured by the percentage of vitiligo involvement (percentage of BSA) and the degree of depigmentation: 0% (no depigmentation), 10% (only specks of depigmentation), 25% (pigmented area exceeded depigmented area), 50% (depigmented and pigmented area was equal), 75% (depigmented area exceeded pigmented area), 90% (specks of pigment), or 100% (no pigment). The percentage of BSA (hand unit) vitiligo involvement was estimated to the nearest 0.1% by the Investigator using the Palmar Method. The Investigator used his/her hand to mimic the participant's hand size to evaluate the percentage of BSA vitiligo involvement. F-VASI was then derived by multiplying the values assessed for the vitiligo involvement by the percentage of affected skin for each site on the face and summing the values of all sites (possible range: 0-3; lower scores indicate increased improvement). Percentage change = ([post-BL value minus BL value]/BL value) X 100.</w:t>
            </w:r>
          </w:p>
        </w:tc>
      </w:tr>
      <w:tr w:rsidR="00E30BEC" w:rsidRPr="00E30BEC" w:rsidTr="001109C4">
        <w:trPr>
          <w:trHeight w:val="3345"/>
          <w:jc w:val="center"/>
        </w:trPr>
        <w:tc>
          <w:tcPr>
            <w:tcW w:w="993" w:type="dxa"/>
            <w:shd w:val="clear" w:color="auto" w:fill="auto"/>
            <w:noWrap/>
            <w:vAlign w:val="center"/>
            <w:hideMark/>
          </w:tcPr>
          <w:p w:rsidR="00E30BEC" w:rsidRPr="00E30BEC" w:rsidRDefault="00E30BEC" w:rsidP="00E30BEC">
            <w:pPr>
              <w:jc w:val="cente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2</w:t>
            </w:r>
          </w:p>
        </w:tc>
        <w:tc>
          <w:tcPr>
            <w:tcW w:w="1408" w:type="dxa"/>
            <w:shd w:val="clear" w:color="auto" w:fill="auto"/>
            <w:noWrap/>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T-VASI</w:t>
            </w:r>
          </w:p>
        </w:tc>
        <w:tc>
          <w:tcPr>
            <w:tcW w:w="1779" w:type="dxa"/>
            <w:shd w:val="clear" w:color="auto" w:fill="auto"/>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Percentage Change from Baseline in T-VASI at Week 24.</w:t>
            </w:r>
          </w:p>
        </w:tc>
        <w:tc>
          <w:tcPr>
            <w:tcW w:w="7722" w:type="dxa"/>
            <w:shd w:val="clear" w:color="auto" w:fill="auto"/>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 xml:space="preserve">T-VASI was calculated with contributions from 6 sites. The percentage of vitiligo involvement was estimated in hand units (percentage of BSA estimated to nearest 0.1%) by the Investigator using the Palmar Method. The Investigator used his/her hand to mimic the participant's hand size to evaluate percent BSA vitiligo involvement. The degree of depigmentation for each site was estimated to the nearest percentage: 0% (no depigmentation present), 10% (only specks of depigmentation present), 25% (pigmented area exceeded depigmented area), 50% (depigmented and pigmented area was equal), 75% (depigmented area exceeded pigmented area), 90% (specks of pigment present), 100% (no pigment present). T-VASI was then derived by multiplying the values assessed for the vitiligo involvement by the percentage of affected skin for each site and summing the values (range: 0-100; lower scores indicate increased improvement). Percentage change = ([post-BL value minus BL value]/BL value) X 100. </w:t>
            </w:r>
          </w:p>
        </w:tc>
      </w:tr>
      <w:tr w:rsidR="00E30BEC" w:rsidRPr="00E30BEC" w:rsidTr="001109C4">
        <w:trPr>
          <w:trHeight w:val="2423"/>
          <w:jc w:val="center"/>
        </w:trPr>
        <w:tc>
          <w:tcPr>
            <w:tcW w:w="993" w:type="dxa"/>
            <w:shd w:val="clear" w:color="auto" w:fill="auto"/>
            <w:noWrap/>
            <w:vAlign w:val="center"/>
            <w:hideMark/>
          </w:tcPr>
          <w:p w:rsidR="00E30BEC" w:rsidRPr="00E30BEC" w:rsidRDefault="00E30BEC" w:rsidP="00E30BEC">
            <w:pPr>
              <w:jc w:val="cente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3</w:t>
            </w:r>
          </w:p>
        </w:tc>
        <w:tc>
          <w:tcPr>
            <w:tcW w:w="1408" w:type="dxa"/>
            <w:shd w:val="clear" w:color="auto" w:fill="auto"/>
            <w:noWrap/>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F-BSA</w:t>
            </w:r>
          </w:p>
        </w:tc>
        <w:tc>
          <w:tcPr>
            <w:tcW w:w="1779" w:type="dxa"/>
            <w:shd w:val="clear" w:color="auto" w:fill="auto"/>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 xml:space="preserve">Percentage Change from Baseline in Facial Body Surface Area (F-BSA) at Week 24 </w:t>
            </w:r>
          </w:p>
        </w:tc>
        <w:tc>
          <w:tcPr>
            <w:tcW w:w="7722" w:type="dxa"/>
            <w:shd w:val="clear" w:color="auto" w:fill="auto"/>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 xml:space="preserve">F-BSA involvement was the proportion of the facial body surface area with vitiligo. The area "Face" was defined as including the area on the forehead to the original hairline, on the cheek to the jawline vertically to the jawline and laterally from the corner of the mouth to the tragus. The area "Face" did not include surface area of the lips, scalp, ears, or neck, but included the nose and eyelids. Body surface area assessment was performed by the Palmar Method. Body surface area was estimated to the nearest 0.1%. The approximate size of the participant's entire palmar surface (i.e., the palm plus 5 digits) was considered as 1% BSA, and the approximate size of the participant's thumb was considered as 0.1% BSA. Percentage change = ([post-Baseline (BL) value minus BL value]/BL value) X 100. </w:t>
            </w:r>
          </w:p>
        </w:tc>
      </w:tr>
      <w:tr w:rsidR="00E30BEC" w:rsidRPr="00E30BEC" w:rsidTr="001109C4">
        <w:trPr>
          <w:trHeight w:val="1550"/>
          <w:jc w:val="center"/>
        </w:trPr>
        <w:tc>
          <w:tcPr>
            <w:tcW w:w="993" w:type="dxa"/>
            <w:shd w:val="clear" w:color="auto" w:fill="auto"/>
            <w:noWrap/>
            <w:vAlign w:val="center"/>
            <w:hideMark/>
          </w:tcPr>
          <w:p w:rsidR="00E30BEC" w:rsidRPr="00E30BEC" w:rsidRDefault="00E30BEC" w:rsidP="00E30BEC">
            <w:pPr>
              <w:jc w:val="cente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4</w:t>
            </w:r>
          </w:p>
        </w:tc>
        <w:tc>
          <w:tcPr>
            <w:tcW w:w="1408" w:type="dxa"/>
            <w:shd w:val="clear" w:color="auto" w:fill="auto"/>
            <w:noWrap/>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T-BSA</w:t>
            </w:r>
          </w:p>
        </w:tc>
        <w:tc>
          <w:tcPr>
            <w:tcW w:w="1779" w:type="dxa"/>
            <w:shd w:val="clear" w:color="auto" w:fill="auto"/>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Percentage Change from Baseline in T-BSA at Week 24.</w:t>
            </w:r>
          </w:p>
        </w:tc>
        <w:tc>
          <w:tcPr>
            <w:tcW w:w="7722" w:type="dxa"/>
            <w:shd w:val="clear" w:color="auto" w:fill="auto"/>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T-BSA involvement was the proportion of the body surface area with vitiligo. Body surface area assessment was performed by the Palmar Method. Body surface area was estimated to the nearest 0.1%. The approximate size of the participant's entire palmar surface (i.e., the palm plus 5 digits) was considered as 1% BSA, and the approximate size of the participant's thumb was considered as 0.1% BSA. Percentage change = ([post-BL value minus BL value]/BL value) X 100.</w:t>
            </w:r>
          </w:p>
        </w:tc>
      </w:tr>
      <w:tr w:rsidR="00E30BEC" w:rsidRPr="00E30BEC" w:rsidTr="001109C4">
        <w:trPr>
          <w:trHeight w:val="3464"/>
          <w:jc w:val="center"/>
        </w:trPr>
        <w:tc>
          <w:tcPr>
            <w:tcW w:w="993" w:type="dxa"/>
            <w:shd w:val="clear" w:color="auto" w:fill="auto"/>
            <w:noWrap/>
            <w:vAlign w:val="center"/>
            <w:hideMark/>
          </w:tcPr>
          <w:p w:rsidR="00E30BEC" w:rsidRPr="00E30BEC" w:rsidRDefault="00E30BEC" w:rsidP="00E30BEC">
            <w:pPr>
              <w:jc w:val="cente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lastRenderedPageBreak/>
              <w:t>5</w:t>
            </w:r>
          </w:p>
        </w:tc>
        <w:tc>
          <w:tcPr>
            <w:tcW w:w="1408" w:type="dxa"/>
            <w:shd w:val="clear" w:color="auto" w:fill="auto"/>
            <w:noWrap/>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F-VASI90</w:t>
            </w:r>
          </w:p>
        </w:tc>
        <w:tc>
          <w:tcPr>
            <w:tcW w:w="1779" w:type="dxa"/>
            <w:shd w:val="clear" w:color="auto" w:fill="auto"/>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Percentage of Participants Achieving a ≥ 90% Improvement from Baseline in the Face Vitiligo Area Scoring Index (F-VASI90) Score at Week 24.</w:t>
            </w:r>
          </w:p>
        </w:tc>
        <w:tc>
          <w:tcPr>
            <w:tcW w:w="7722" w:type="dxa"/>
            <w:shd w:val="clear" w:color="auto" w:fill="auto"/>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An F-VASI90 responder achieved at least 90% improvement from Baseline in F-VASI, measured by the percentage of vitiligo involvement (percentage of BSA) and the degree of depigmentation: 0% (no depigmentation), 10% (only specks of depigmentation), 25% (pigmented area exceeded depigmented area), 50% (depigmented and pigmented area was equal), 75% (depigmented area exceeded pigmented area), 90% (specks of pigment), or 100% (no pigment). The percentage of BSA (hand unit) vitiligo involvement was estimated to the nearest 0.1% by the Investigator using the Palmar Method. The Investigator used his/her hand to mimic the participant's hand size to evaluate the percentage of BSA vitiligo involvement. F-VASI was then derived by multiplying the values assessed for the vitiligo involvement by the percentage of affected skin for each site on the face and summing the values of all sites (possible range: 0-3; lower scores indicate increased improvement).</w:t>
            </w:r>
          </w:p>
        </w:tc>
      </w:tr>
      <w:tr w:rsidR="00E30BEC" w:rsidRPr="00E30BEC" w:rsidTr="001109C4">
        <w:trPr>
          <w:trHeight w:val="3144"/>
          <w:jc w:val="center"/>
        </w:trPr>
        <w:tc>
          <w:tcPr>
            <w:tcW w:w="993" w:type="dxa"/>
            <w:shd w:val="clear" w:color="auto" w:fill="auto"/>
            <w:noWrap/>
            <w:vAlign w:val="center"/>
            <w:hideMark/>
          </w:tcPr>
          <w:p w:rsidR="00E30BEC" w:rsidRPr="00E30BEC" w:rsidRDefault="00E30BEC" w:rsidP="00E30BEC">
            <w:pPr>
              <w:jc w:val="cente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6</w:t>
            </w:r>
          </w:p>
        </w:tc>
        <w:tc>
          <w:tcPr>
            <w:tcW w:w="1408" w:type="dxa"/>
            <w:shd w:val="clear" w:color="auto" w:fill="auto"/>
            <w:noWrap/>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F-VASI75</w:t>
            </w:r>
          </w:p>
        </w:tc>
        <w:tc>
          <w:tcPr>
            <w:tcW w:w="1779" w:type="dxa"/>
            <w:shd w:val="clear" w:color="auto" w:fill="auto"/>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Percentage of Participants Achieving a ≥ 75% Improvement from Baseline in the Face Vitiligo Area Scoring Index (F-VASI75) Score at Week 24.</w:t>
            </w:r>
          </w:p>
        </w:tc>
        <w:tc>
          <w:tcPr>
            <w:tcW w:w="7722" w:type="dxa"/>
            <w:shd w:val="clear" w:color="auto" w:fill="auto"/>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 xml:space="preserve">An F-VASI75 responder achieved at least 75% improvement from Baseline in F-VASI, measured by the percentage of vitiligo involvement (percentage of body surface area [BSA]) and the degree of depigmentation: 0% (no depigmentation), 10% (only specks of depigmentation), 25% (pigmented area exceeded depigmented area), 50% (depigmented and pigmented area was equal), 75% (depigmented area exceeded pigmented area), 90% (specks of pigment), or 100% (no pigment). The percentage of BSA (hand unit) vitiligo involvement was estimated to the nearest 0.1% by the Investigator using the Palmar Method. The Investigator used his/her hand to mimic the participant's hand size to evaluate the percentage of BSA vitiligo involvement. F-VASI was then derived by multiplying the values assessed for the vitiligo involvement by the percentage of affected skin for each site on the face and summing the values of all sites (possible range: 0-3; lower scores indicate increased improvement). </w:t>
            </w:r>
          </w:p>
        </w:tc>
      </w:tr>
      <w:tr w:rsidR="00E30BEC" w:rsidRPr="00E30BEC" w:rsidTr="00E30BEC">
        <w:trPr>
          <w:trHeight w:val="4080"/>
          <w:jc w:val="center"/>
        </w:trPr>
        <w:tc>
          <w:tcPr>
            <w:tcW w:w="993" w:type="dxa"/>
            <w:shd w:val="clear" w:color="auto" w:fill="auto"/>
            <w:noWrap/>
            <w:vAlign w:val="center"/>
            <w:hideMark/>
          </w:tcPr>
          <w:p w:rsidR="00E30BEC" w:rsidRPr="00E30BEC" w:rsidRDefault="00E30BEC" w:rsidP="00E30BEC">
            <w:pPr>
              <w:jc w:val="cente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7</w:t>
            </w:r>
          </w:p>
        </w:tc>
        <w:tc>
          <w:tcPr>
            <w:tcW w:w="1408" w:type="dxa"/>
            <w:shd w:val="clear" w:color="auto" w:fill="auto"/>
            <w:noWrap/>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F-VASI50</w:t>
            </w:r>
          </w:p>
        </w:tc>
        <w:tc>
          <w:tcPr>
            <w:tcW w:w="1779" w:type="dxa"/>
            <w:shd w:val="clear" w:color="auto" w:fill="auto"/>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Percentage of Participants Achieving a ≥ 50% Improvement from Baseline in the Face Vitiligo Area Scoring Index (F-VASI50) Score at Week 24.</w:t>
            </w:r>
          </w:p>
        </w:tc>
        <w:tc>
          <w:tcPr>
            <w:tcW w:w="7722" w:type="dxa"/>
            <w:shd w:val="clear" w:color="auto" w:fill="auto"/>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An F-VASI50 responder achieved at least 50% improvement from Baseline in F-VASI, measured by the percentage of vitiligo involvement (percentage of BSA) and the degree of depigmentation: 0% (no depigmentation), 10% (only specks of depigmentation), 25% (pigmented area exceeded depigmented area), 50% (depigmented and pigmented area was equal), 75% (depigmented area exceeded pigmented area), 90% (specks of pigment), or 100% (no pigment). The percentage of BSA (hand unit) vitiligo involvement was estimated to the nearest 0.1% by the Investigator using the Palmar Method. The Investigator used his/her hand to mimic the participant's hand size to evaluate the percentage of BSA vitiligo involvement. F-VASI was then derived by multiplying the values assessed for the vitiligo involvement by the percentage of affected skin for each site on the face and summing the values of all sites (possible range: 0-3; lower scores indicate increased improvement).</w:t>
            </w:r>
          </w:p>
        </w:tc>
      </w:tr>
      <w:tr w:rsidR="00E30BEC" w:rsidRPr="00E30BEC" w:rsidTr="001109C4">
        <w:trPr>
          <w:trHeight w:val="3393"/>
          <w:jc w:val="center"/>
        </w:trPr>
        <w:tc>
          <w:tcPr>
            <w:tcW w:w="993" w:type="dxa"/>
            <w:shd w:val="clear" w:color="auto" w:fill="auto"/>
            <w:noWrap/>
            <w:vAlign w:val="center"/>
            <w:hideMark/>
          </w:tcPr>
          <w:p w:rsidR="00E30BEC" w:rsidRPr="00E30BEC" w:rsidRDefault="00E30BEC" w:rsidP="00E30BEC">
            <w:pPr>
              <w:jc w:val="cente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lastRenderedPageBreak/>
              <w:t>8</w:t>
            </w:r>
          </w:p>
        </w:tc>
        <w:tc>
          <w:tcPr>
            <w:tcW w:w="1408" w:type="dxa"/>
            <w:shd w:val="clear" w:color="auto" w:fill="auto"/>
            <w:noWrap/>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F-VASI25</w:t>
            </w:r>
          </w:p>
        </w:tc>
        <w:tc>
          <w:tcPr>
            <w:tcW w:w="1779" w:type="dxa"/>
            <w:shd w:val="clear" w:color="auto" w:fill="auto"/>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 xml:space="preserve">Percentage of Participants Achieving a ≥ 25% Improvement in the Face Vitiligo Area Scoring Index (F-VASI25) Score at Week 24 </w:t>
            </w:r>
          </w:p>
        </w:tc>
        <w:tc>
          <w:tcPr>
            <w:tcW w:w="7722" w:type="dxa"/>
            <w:shd w:val="clear" w:color="auto" w:fill="auto"/>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 xml:space="preserve">An F-VASI25 responder achieved at least 25% improvement from Baseline in F-VASI, measured by the percentage of vitiligo involvement (percentage of BSA) and the degree of depigmentation: 0% (no depigmentation), 10% (only specks of depigmentation), 25% (pigmented area exceeded depigmented area), 50% (depigmented and pigmented area was equal), 75% (depigmented area exceeded pigmented area), 90% (specks of pigment), or 100% (no pigment). The percentage of BSA (hand unit) vitiligo involvement was estimated to the nearest 0.1% by the Investigator using the Palmar Method. The Investigator used his/her hand to mimic the participant's hand size to evaluate the percentage of BSA vitiligo involvement. F-VASI was then derived by multiplying the values assessed for the vitiligo involvement by the percentage of affected skin for each site on the face and summing the values of all sites (possible range: 0-3; lower scores indicate increased improvement). </w:t>
            </w:r>
          </w:p>
        </w:tc>
      </w:tr>
      <w:tr w:rsidR="00E30BEC" w:rsidRPr="00E30BEC" w:rsidTr="001109C4">
        <w:trPr>
          <w:trHeight w:val="3569"/>
          <w:jc w:val="center"/>
        </w:trPr>
        <w:tc>
          <w:tcPr>
            <w:tcW w:w="993" w:type="dxa"/>
            <w:shd w:val="clear" w:color="auto" w:fill="auto"/>
            <w:noWrap/>
            <w:vAlign w:val="center"/>
            <w:hideMark/>
          </w:tcPr>
          <w:p w:rsidR="00E30BEC" w:rsidRPr="00E30BEC" w:rsidRDefault="00E30BEC" w:rsidP="00E30BEC">
            <w:pPr>
              <w:jc w:val="cente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9</w:t>
            </w:r>
          </w:p>
        </w:tc>
        <w:tc>
          <w:tcPr>
            <w:tcW w:w="1408" w:type="dxa"/>
            <w:shd w:val="clear" w:color="auto" w:fill="auto"/>
            <w:noWrap/>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T-VASI90</w:t>
            </w:r>
          </w:p>
        </w:tc>
        <w:tc>
          <w:tcPr>
            <w:tcW w:w="1779" w:type="dxa"/>
            <w:shd w:val="clear" w:color="auto" w:fill="auto"/>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Percentage of Participants Achieving a ≥ 90% Improvement from Baseline in the Total Body Vitiligo Area Scoring Index (T-VASI50) Score at Week 24.</w:t>
            </w:r>
          </w:p>
        </w:tc>
        <w:tc>
          <w:tcPr>
            <w:tcW w:w="7722" w:type="dxa"/>
            <w:shd w:val="clear" w:color="auto" w:fill="auto"/>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A T-VASI90 responder achieved at least 90% improvement from Baseline in T-VASI, calculated with contributions from 6 sites. The percentage of vitiligo involvement was estimated in hand units (percentage of BSA estimated to the nearest 0.1%) by the Investigator using the Palmar Method. The Investigator used his/her hand to mimic the participant's hand size to evaluate percent BSA vitiligo involvement. The degree of depigmentation for each site was estimated to the nearest percentage: 0% (no depigmentation present), 10% (only specks of depigmentation present), 25% (pigmented area exceeded depigmented area), 50% (depigmented and pigmented area was equal), 75% (depigmented area exceeded pigmented area), 90% (specks of pigment present), 100% (no pigment present). T-VASI was then derived by multiplying the values assessed for the vitiligo involvement by the percentage of affected skin for each site and summing the values (range: 0-100; lower scores indicate increased improvement).</w:t>
            </w:r>
          </w:p>
        </w:tc>
      </w:tr>
      <w:tr w:rsidR="00E30BEC" w:rsidRPr="00E30BEC" w:rsidTr="00E30BEC">
        <w:trPr>
          <w:trHeight w:val="4080"/>
          <w:jc w:val="center"/>
        </w:trPr>
        <w:tc>
          <w:tcPr>
            <w:tcW w:w="993" w:type="dxa"/>
            <w:shd w:val="clear" w:color="auto" w:fill="auto"/>
            <w:noWrap/>
            <w:vAlign w:val="center"/>
            <w:hideMark/>
          </w:tcPr>
          <w:p w:rsidR="00E30BEC" w:rsidRPr="00E30BEC" w:rsidRDefault="00E30BEC" w:rsidP="00E30BEC">
            <w:pPr>
              <w:jc w:val="cente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10</w:t>
            </w:r>
          </w:p>
        </w:tc>
        <w:tc>
          <w:tcPr>
            <w:tcW w:w="1408" w:type="dxa"/>
            <w:shd w:val="clear" w:color="auto" w:fill="auto"/>
            <w:noWrap/>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T-VASI75</w:t>
            </w:r>
          </w:p>
        </w:tc>
        <w:tc>
          <w:tcPr>
            <w:tcW w:w="1779" w:type="dxa"/>
            <w:shd w:val="clear" w:color="auto" w:fill="auto"/>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Percentage of Participants Achieving a ≥ 75% Improvement from Baseline in the Total Body Vitiligo Area Scoring Index (T-VASI50) Score at Week 24.</w:t>
            </w:r>
          </w:p>
        </w:tc>
        <w:tc>
          <w:tcPr>
            <w:tcW w:w="7722" w:type="dxa"/>
            <w:shd w:val="clear" w:color="auto" w:fill="auto"/>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A T-VASI75 responder achieved at least 75% improvement from Baseline in T-VASI, calculated with contributions from 6 sites. The percentage of vitiligo involvement was estimated in hand units (percentage of BSA estimated to the nearest 0.1%) by the Investigator using the Palmar Method. The Investigator used his/her hand to mimic the participant's hand size to evaluate percent BSA vitiligo involvement. The degree of depigmentation for each site was estimated to the nearest percentage: 0% (no depigmentation present), 10% (only specks of depigmentation present), 25% (pigmented area exceeded depigmented area), 50% (depigmented and pigmented area was equal), 75% (depigmented area exceeded pigmented area), 90% (specks of pigment present), 100% (no pigment present). T-VASI was then derived by multiplying the values assessed for the vitiligo involvement by the percentage of affected skin for each site and summing the values (range: 0-100; lower scores indicate increased improvement).</w:t>
            </w:r>
          </w:p>
        </w:tc>
      </w:tr>
      <w:tr w:rsidR="00E30BEC" w:rsidRPr="00E30BEC" w:rsidTr="001109C4">
        <w:trPr>
          <w:trHeight w:val="3393"/>
          <w:jc w:val="center"/>
        </w:trPr>
        <w:tc>
          <w:tcPr>
            <w:tcW w:w="993" w:type="dxa"/>
            <w:shd w:val="clear" w:color="auto" w:fill="auto"/>
            <w:noWrap/>
            <w:vAlign w:val="center"/>
            <w:hideMark/>
          </w:tcPr>
          <w:p w:rsidR="00E30BEC" w:rsidRPr="00E30BEC" w:rsidRDefault="00E30BEC" w:rsidP="00E30BEC">
            <w:pPr>
              <w:jc w:val="cente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lastRenderedPageBreak/>
              <w:t>11</w:t>
            </w:r>
          </w:p>
        </w:tc>
        <w:tc>
          <w:tcPr>
            <w:tcW w:w="1408" w:type="dxa"/>
            <w:shd w:val="clear" w:color="auto" w:fill="auto"/>
            <w:noWrap/>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T-VASI50</w:t>
            </w:r>
          </w:p>
        </w:tc>
        <w:tc>
          <w:tcPr>
            <w:tcW w:w="1779" w:type="dxa"/>
            <w:shd w:val="clear" w:color="auto" w:fill="auto"/>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Percentage of Participants Achieving a ≥ 50% Improvement from Baseline in the Total Body Vitiligo Area Scoring Index (T-VASI50) Score at Week 24.</w:t>
            </w:r>
          </w:p>
        </w:tc>
        <w:tc>
          <w:tcPr>
            <w:tcW w:w="7722" w:type="dxa"/>
            <w:shd w:val="clear" w:color="auto" w:fill="auto"/>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A T-VASI50 responder achieved at least 50% improvement from Baseline in T-VASI, calculated with contributions from 6 sites. The percentage of vitiligo involvement was estimated in hand units (percentage of BSA estimated to the nearest 0.1%) by the Investigator using the Palmar Method. The Investigator used his/her hand to mimic the participant's hand size to evaluate percent BSA vitiligo involvement. The degree of depigmentation for each site was estimated to the nearest percentage: 0% (no depigmentation present), 10% (only specks of depigmentation present), 25% (pigmented area exceeded depigmented area), 50% (depigmented and pigmented area was equal), 75% (depigmented area exceeded pigmented area), 90% (specks of pigment present), 100% (no pigment present). T-VASI was then derived by multiplying the values assessed for the vitiligo involvement by the percentage of affected skin for each site and summing the values (range: 0-100; lower scores indicate increased improvement).</w:t>
            </w:r>
          </w:p>
        </w:tc>
      </w:tr>
      <w:tr w:rsidR="00E30BEC" w:rsidRPr="00E30BEC" w:rsidTr="001109C4">
        <w:trPr>
          <w:trHeight w:val="3427"/>
          <w:jc w:val="center"/>
        </w:trPr>
        <w:tc>
          <w:tcPr>
            <w:tcW w:w="993" w:type="dxa"/>
            <w:shd w:val="clear" w:color="auto" w:fill="auto"/>
            <w:noWrap/>
            <w:vAlign w:val="center"/>
            <w:hideMark/>
          </w:tcPr>
          <w:p w:rsidR="00E30BEC" w:rsidRPr="00E30BEC" w:rsidRDefault="00E30BEC" w:rsidP="00E30BEC">
            <w:pPr>
              <w:jc w:val="cente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12</w:t>
            </w:r>
          </w:p>
        </w:tc>
        <w:tc>
          <w:tcPr>
            <w:tcW w:w="1408" w:type="dxa"/>
            <w:shd w:val="clear" w:color="auto" w:fill="auto"/>
            <w:noWrap/>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T-VASI25</w:t>
            </w:r>
          </w:p>
        </w:tc>
        <w:tc>
          <w:tcPr>
            <w:tcW w:w="1779" w:type="dxa"/>
            <w:shd w:val="clear" w:color="auto" w:fill="auto"/>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Percentage of Participants Achieving a ≥ 25% Improvement from Baseline in the Total Body Vitiligo Area Scoring Index (T-VASI50) Score at Week 24.</w:t>
            </w:r>
          </w:p>
        </w:tc>
        <w:tc>
          <w:tcPr>
            <w:tcW w:w="7722" w:type="dxa"/>
            <w:shd w:val="clear" w:color="auto" w:fill="auto"/>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A T-VASI25 responder achieved at least 25% improvement from Baseline in T-VASI, calculated with contributions from 6 sites. The percentage of vitiligo involvement was estimated in hand units (percentage of BSA estimated to the nearest 0.1%) by the Investigator using the Palmar Method. The Investigator used his/her hand to mimic the participant's hand size to evaluate percent BSA vitiligo involvement. The degree of depigmentation for each site was estimated to the nearest percentage: 0% (no depigmentation present), 10% (only specks of depigmentation present), 25% (pigmented area exceeded depigmented area), 50% (depigmented and pigmented area was equal), 75% (depigmented area exceeded pigmented area), 90% (specks of pigment present), 100% (no pigment present). T-VASI was then derived by multiplying the values assessed for the vitiligo involvement by the percentage of affected skin for each site and summing the values (range: 0-100; lower scores indicate increased improvement).</w:t>
            </w:r>
          </w:p>
        </w:tc>
      </w:tr>
      <w:tr w:rsidR="00E30BEC" w:rsidRPr="00E30BEC" w:rsidTr="001109C4">
        <w:trPr>
          <w:trHeight w:val="2060"/>
          <w:jc w:val="center"/>
        </w:trPr>
        <w:tc>
          <w:tcPr>
            <w:tcW w:w="993" w:type="dxa"/>
            <w:shd w:val="clear" w:color="auto" w:fill="auto"/>
            <w:noWrap/>
            <w:vAlign w:val="center"/>
            <w:hideMark/>
          </w:tcPr>
          <w:p w:rsidR="00E30BEC" w:rsidRPr="00E30BEC" w:rsidRDefault="00E30BEC" w:rsidP="00E30BEC">
            <w:pPr>
              <w:jc w:val="cente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13</w:t>
            </w:r>
          </w:p>
        </w:tc>
        <w:tc>
          <w:tcPr>
            <w:tcW w:w="1408" w:type="dxa"/>
            <w:shd w:val="clear" w:color="auto" w:fill="auto"/>
            <w:noWrap/>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VNS-4 or 5</w:t>
            </w:r>
          </w:p>
        </w:tc>
        <w:tc>
          <w:tcPr>
            <w:tcW w:w="1779" w:type="dxa"/>
            <w:shd w:val="clear" w:color="auto" w:fill="auto"/>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Percentage of Participants Achieving a Vitiligo Noticeability Scale (VNS) of 4 or 5 at Week 24.</w:t>
            </w:r>
          </w:p>
        </w:tc>
        <w:tc>
          <w:tcPr>
            <w:tcW w:w="7722" w:type="dxa"/>
            <w:shd w:val="clear" w:color="auto" w:fill="auto"/>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 xml:space="preserve">The VNS is a patient-reported measure of vitiligo treatment success that is rated on a 5-point scale. The Baseline facial photograph was shown to the participants for reference, and a mirror was provided for the participants to assess the vitiligo on their face. The participant was asked to respond to the following query: Compared with before treatment, how noticeable is the vitiligo now? Responses: (1) more noticeable, (2) as noticeable, (3) slightly less noticeable, (4) a lot less noticeable, and (5) no longer noticeable. </w:t>
            </w:r>
          </w:p>
        </w:tc>
      </w:tr>
      <w:tr w:rsidR="00E30BEC" w:rsidRPr="00E30BEC" w:rsidTr="00E30BEC">
        <w:trPr>
          <w:trHeight w:val="680"/>
          <w:jc w:val="center"/>
        </w:trPr>
        <w:tc>
          <w:tcPr>
            <w:tcW w:w="993" w:type="dxa"/>
            <w:shd w:val="clear" w:color="auto" w:fill="auto"/>
            <w:noWrap/>
            <w:vAlign w:val="center"/>
            <w:hideMark/>
          </w:tcPr>
          <w:p w:rsidR="00E30BEC" w:rsidRPr="00E30BEC" w:rsidRDefault="00E30BEC" w:rsidP="00E30BEC">
            <w:pPr>
              <w:jc w:val="cente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14</w:t>
            </w:r>
          </w:p>
        </w:tc>
        <w:tc>
          <w:tcPr>
            <w:tcW w:w="1408" w:type="dxa"/>
            <w:shd w:val="clear" w:color="auto" w:fill="auto"/>
            <w:noWrap/>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TEAE</w:t>
            </w:r>
            <w:r w:rsidR="00D83811">
              <w:rPr>
                <w:rFonts w:ascii="Calibri" w:eastAsia="Times New Roman" w:hAnsi="Calibri" w:cs="Calibri"/>
                <w:color w:val="000000"/>
                <w:kern w:val="0"/>
                <w:sz w:val="22"/>
                <w:szCs w:val="22"/>
                <w14:ligatures w14:val="none"/>
              </w:rPr>
              <w:t>s</w:t>
            </w:r>
          </w:p>
        </w:tc>
        <w:tc>
          <w:tcPr>
            <w:tcW w:w="1779" w:type="dxa"/>
            <w:shd w:val="clear" w:color="auto" w:fill="auto"/>
            <w:noWrap/>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Treatment-emergent Adverse Events</w:t>
            </w:r>
          </w:p>
        </w:tc>
        <w:tc>
          <w:tcPr>
            <w:tcW w:w="7722" w:type="dxa"/>
            <w:shd w:val="clear" w:color="auto" w:fill="auto"/>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 xml:space="preserve">Number of Participants </w:t>
            </w:r>
            <w:r w:rsidR="001109C4" w:rsidRPr="00E30BEC">
              <w:rPr>
                <w:rFonts w:ascii="Calibri" w:eastAsia="Times New Roman" w:hAnsi="Calibri" w:cs="Calibri"/>
                <w:color w:val="000000"/>
                <w:kern w:val="0"/>
                <w:sz w:val="22"/>
                <w:szCs w:val="22"/>
                <w14:ligatures w14:val="none"/>
              </w:rPr>
              <w:t>with</w:t>
            </w:r>
            <w:r w:rsidRPr="00E30BEC">
              <w:rPr>
                <w:rFonts w:ascii="Calibri" w:eastAsia="Times New Roman" w:hAnsi="Calibri" w:cs="Calibri"/>
                <w:color w:val="000000"/>
                <w:kern w:val="0"/>
                <w:sz w:val="22"/>
                <w:szCs w:val="22"/>
                <w14:ligatures w14:val="none"/>
              </w:rPr>
              <w:t xml:space="preserve"> Treatment-emergent Adverse Events (TEAEs) During the Double-Blind Period.</w:t>
            </w:r>
          </w:p>
        </w:tc>
      </w:tr>
      <w:tr w:rsidR="00E30BEC" w:rsidRPr="00E30BEC" w:rsidTr="00E30BEC">
        <w:trPr>
          <w:trHeight w:val="680"/>
          <w:jc w:val="center"/>
        </w:trPr>
        <w:tc>
          <w:tcPr>
            <w:tcW w:w="993" w:type="dxa"/>
            <w:shd w:val="clear" w:color="auto" w:fill="auto"/>
            <w:noWrap/>
            <w:vAlign w:val="center"/>
            <w:hideMark/>
          </w:tcPr>
          <w:p w:rsidR="00E30BEC" w:rsidRPr="00E30BEC" w:rsidRDefault="00E30BEC" w:rsidP="00E30BEC">
            <w:pPr>
              <w:jc w:val="cente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15</w:t>
            </w:r>
          </w:p>
        </w:tc>
        <w:tc>
          <w:tcPr>
            <w:tcW w:w="1408" w:type="dxa"/>
            <w:shd w:val="clear" w:color="auto" w:fill="auto"/>
            <w:noWrap/>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SAE</w:t>
            </w:r>
            <w:r w:rsidR="00D83811">
              <w:rPr>
                <w:rFonts w:ascii="Calibri" w:eastAsia="Times New Roman" w:hAnsi="Calibri" w:cs="Calibri"/>
                <w:color w:val="000000"/>
                <w:kern w:val="0"/>
                <w:sz w:val="22"/>
                <w:szCs w:val="22"/>
                <w14:ligatures w14:val="none"/>
              </w:rPr>
              <w:t>s</w:t>
            </w:r>
          </w:p>
        </w:tc>
        <w:tc>
          <w:tcPr>
            <w:tcW w:w="1779" w:type="dxa"/>
            <w:shd w:val="clear" w:color="auto" w:fill="auto"/>
            <w:noWrap/>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Serious Adverse Events</w:t>
            </w:r>
          </w:p>
        </w:tc>
        <w:tc>
          <w:tcPr>
            <w:tcW w:w="7722" w:type="dxa"/>
            <w:shd w:val="clear" w:color="auto" w:fill="auto"/>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 xml:space="preserve">Number of Participants </w:t>
            </w:r>
            <w:r w:rsidR="001109C4" w:rsidRPr="00E30BEC">
              <w:rPr>
                <w:rFonts w:ascii="Calibri" w:eastAsia="Times New Roman" w:hAnsi="Calibri" w:cs="Calibri"/>
                <w:color w:val="000000"/>
                <w:kern w:val="0"/>
                <w:sz w:val="22"/>
                <w:szCs w:val="22"/>
                <w14:ligatures w14:val="none"/>
              </w:rPr>
              <w:t>with</w:t>
            </w:r>
            <w:r w:rsidRPr="00E30BEC">
              <w:rPr>
                <w:rFonts w:ascii="Calibri" w:eastAsia="Times New Roman" w:hAnsi="Calibri" w:cs="Calibri"/>
                <w:color w:val="000000"/>
                <w:kern w:val="0"/>
                <w:sz w:val="22"/>
                <w:szCs w:val="22"/>
                <w14:ligatures w14:val="none"/>
              </w:rPr>
              <w:t xml:space="preserve"> Serious Adverse Events (SAEs) During the Double-Blind Period.</w:t>
            </w:r>
          </w:p>
        </w:tc>
      </w:tr>
      <w:tr w:rsidR="00E30BEC" w:rsidRPr="00E30BEC" w:rsidTr="00E30BEC">
        <w:trPr>
          <w:trHeight w:val="680"/>
          <w:jc w:val="center"/>
        </w:trPr>
        <w:tc>
          <w:tcPr>
            <w:tcW w:w="993" w:type="dxa"/>
            <w:shd w:val="clear" w:color="auto" w:fill="auto"/>
            <w:noWrap/>
            <w:vAlign w:val="center"/>
            <w:hideMark/>
          </w:tcPr>
          <w:p w:rsidR="00E30BEC" w:rsidRPr="00E30BEC" w:rsidRDefault="00E30BEC" w:rsidP="00E30BEC">
            <w:pPr>
              <w:jc w:val="cente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16</w:t>
            </w:r>
          </w:p>
        </w:tc>
        <w:tc>
          <w:tcPr>
            <w:tcW w:w="1408" w:type="dxa"/>
            <w:shd w:val="clear" w:color="auto" w:fill="auto"/>
            <w:noWrap/>
            <w:vAlign w:val="center"/>
            <w:hideMark/>
          </w:tcPr>
          <w:p w:rsidR="00E30BEC" w:rsidRPr="00E30BEC" w:rsidRDefault="00D83811" w:rsidP="00E30BEC">
            <w:pPr>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D</w:t>
            </w:r>
            <w:r w:rsidRPr="00E30BEC">
              <w:rPr>
                <w:rFonts w:ascii="Calibri" w:eastAsia="Times New Roman" w:hAnsi="Calibri" w:cs="Calibri"/>
                <w:color w:val="000000"/>
                <w:kern w:val="0"/>
                <w:sz w:val="22"/>
                <w:szCs w:val="22"/>
                <w14:ligatures w14:val="none"/>
              </w:rPr>
              <w:t xml:space="preserve">iscontinuation </w:t>
            </w:r>
            <w:r>
              <w:rPr>
                <w:rFonts w:ascii="Calibri" w:eastAsia="Times New Roman" w:hAnsi="Calibri" w:cs="Calibri"/>
                <w:color w:val="000000"/>
                <w:kern w:val="0"/>
                <w:sz w:val="22"/>
                <w:szCs w:val="22"/>
                <w14:ligatures w14:val="none"/>
              </w:rPr>
              <w:t xml:space="preserve">due to </w:t>
            </w:r>
            <w:r w:rsidR="00E30BEC" w:rsidRPr="00E30BEC">
              <w:rPr>
                <w:rFonts w:ascii="Calibri" w:eastAsia="Times New Roman" w:hAnsi="Calibri" w:cs="Calibri"/>
                <w:color w:val="000000"/>
                <w:kern w:val="0"/>
                <w:sz w:val="22"/>
                <w:szCs w:val="22"/>
                <w14:ligatures w14:val="none"/>
              </w:rPr>
              <w:t>AE</w:t>
            </w:r>
            <w:r>
              <w:rPr>
                <w:rFonts w:ascii="Calibri" w:eastAsia="Times New Roman" w:hAnsi="Calibri" w:cs="Calibri"/>
                <w:color w:val="000000"/>
                <w:kern w:val="0"/>
                <w:sz w:val="22"/>
                <w:szCs w:val="22"/>
                <w14:ligatures w14:val="none"/>
              </w:rPr>
              <w:t>s</w:t>
            </w:r>
          </w:p>
        </w:tc>
        <w:tc>
          <w:tcPr>
            <w:tcW w:w="1779" w:type="dxa"/>
            <w:shd w:val="clear" w:color="auto" w:fill="auto"/>
            <w:noWrap/>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Adverse event leading to discontinuation of trial agent.</w:t>
            </w:r>
          </w:p>
        </w:tc>
        <w:tc>
          <w:tcPr>
            <w:tcW w:w="7722" w:type="dxa"/>
            <w:shd w:val="clear" w:color="auto" w:fill="auto"/>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Number of Participants With adverse event leading to discontinuation of trial agent During the Double-Blind Period.</w:t>
            </w:r>
          </w:p>
        </w:tc>
      </w:tr>
      <w:tr w:rsidR="00E30BEC" w:rsidRPr="00E30BEC" w:rsidTr="00E30BEC">
        <w:trPr>
          <w:trHeight w:val="2040"/>
          <w:jc w:val="center"/>
        </w:trPr>
        <w:tc>
          <w:tcPr>
            <w:tcW w:w="993" w:type="dxa"/>
            <w:shd w:val="clear" w:color="auto" w:fill="auto"/>
            <w:noWrap/>
            <w:vAlign w:val="center"/>
            <w:hideMark/>
          </w:tcPr>
          <w:p w:rsidR="00E30BEC" w:rsidRPr="00E30BEC" w:rsidRDefault="00E30BEC" w:rsidP="00E30BEC">
            <w:pPr>
              <w:jc w:val="cente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lastRenderedPageBreak/>
              <w:t>17</w:t>
            </w:r>
          </w:p>
        </w:tc>
        <w:tc>
          <w:tcPr>
            <w:tcW w:w="1408" w:type="dxa"/>
            <w:shd w:val="clear" w:color="auto" w:fill="auto"/>
            <w:noWrap/>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DLQI</w:t>
            </w:r>
          </w:p>
        </w:tc>
        <w:tc>
          <w:tcPr>
            <w:tcW w:w="1779" w:type="dxa"/>
            <w:shd w:val="clear" w:color="auto" w:fill="auto"/>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Change From Baseline in Dermatology Life Quality Index (DLQI) at Week 24.</w:t>
            </w:r>
          </w:p>
        </w:tc>
        <w:tc>
          <w:tcPr>
            <w:tcW w:w="7722" w:type="dxa"/>
            <w:shd w:val="clear" w:color="auto" w:fill="auto"/>
            <w:vAlign w:val="center"/>
            <w:hideMark/>
          </w:tcPr>
          <w:p w:rsidR="00E30BEC" w:rsidRPr="00E30BEC" w:rsidRDefault="00E30BEC" w:rsidP="00E30BEC">
            <w:pPr>
              <w:rPr>
                <w:rFonts w:ascii="Calibri" w:eastAsia="Times New Roman" w:hAnsi="Calibri" w:cs="Calibri"/>
                <w:color w:val="000000"/>
                <w:kern w:val="0"/>
                <w:sz w:val="22"/>
                <w:szCs w:val="22"/>
                <w14:ligatures w14:val="none"/>
              </w:rPr>
            </w:pPr>
            <w:r w:rsidRPr="00E30BEC">
              <w:rPr>
                <w:rFonts w:ascii="Calibri" w:eastAsia="Times New Roman" w:hAnsi="Calibri" w:cs="Calibri"/>
                <w:color w:val="000000"/>
                <w:kern w:val="0"/>
                <w:sz w:val="22"/>
                <w:szCs w:val="22"/>
                <w14:ligatures w14:val="none"/>
              </w:rPr>
              <w:t>The DLQI is a 10-question validated questionnaire for use in participants aged 16 years and over to measure how much the skin problem has affected the participant over the previous 7 days. Each question is scored as: very much = 3; a lot = 2; a little = 1; not at all = 0; not relevant = 0. For Question 7, "Prevented work or studying" = 3. The DLQI was calculated by summing the score of each question, resulting in a maximum of 30 and a minimum of 0. The higher the score, the more quality of life is impaired.</w:t>
            </w:r>
          </w:p>
        </w:tc>
      </w:tr>
    </w:tbl>
    <w:p w:rsidR="00E30BEC" w:rsidRDefault="00E30BEC">
      <w:pPr>
        <w:rPr>
          <w:b/>
          <w:bCs/>
        </w:rPr>
      </w:pPr>
    </w:p>
    <w:p w:rsidR="00E30BEC" w:rsidRDefault="00E30BEC">
      <w:pPr>
        <w:rPr>
          <w:b/>
          <w:bCs/>
        </w:rPr>
      </w:pPr>
    </w:p>
    <w:p w:rsidR="00E30BEC" w:rsidRDefault="00E30BEC">
      <w:pPr>
        <w:rPr>
          <w:b/>
          <w:bCs/>
        </w:rPr>
      </w:pPr>
    </w:p>
    <w:p w:rsidR="00E30BEC" w:rsidRDefault="00E30BEC">
      <w:pPr>
        <w:rPr>
          <w:b/>
          <w:bCs/>
        </w:rPr>
      </w:pPr>
    </w:p>
    <w:p w:rsidR="00E30BEC" w:rsidRDefault="00E30BEC">
      <w:pPr>
        <w:rPr>
          <w:b/>
          <w:bCs/>
        </w:rPr>
      </w:pPr>
    </w:p>
    <w:p w:rsidR="00E30BEC" w:rsidRDefault="00E30BEC">
      <w:pPr>
        <w:rPr>
          <w:b/>
          <w:bCs/>
        </w:rPr>
      </w:pPr>
    </w:p>
    <w:p w:rsidR="00E30BEC" w:rsidRDefault="00E30BEC">
      <w:pPr>
        <w:rPr>
          <w:b/>
          <w:bCs/>
        </w:rPr>
      </w:pPr>
    </w:p>
    <w:p w:rsidR="00E30BEC" w:rsidRDefault="00E30BEC">
      <w:pPr>
        <w:rPr>
          <w:b/>
          <w:bCs/>
        </w:rPr>
      </w:pPr>
    </w:p>
    <w:p w:rsidR="00E30BEC" w:rsidRDefault="00E30BEC">
      <w:pPr>
        <w:rPr>
          <w:b/>
          <w:bCs/>
        </w:rPr>
      </w:pPr>
    </w:p>
    <w:p w:rsidR="00E30BEC" w:rsidRDefault="00E30BEC">
      <w:pPr>
        <w:rPr>
          <w:b/>
          <w:bCs/>
        </w:rPr>
      </w:pPr>
    </w:p>
    <w:p w:rsidR="00E30BEC" w:rsidRDefault="00E30BEC">
      <w:pPr>
        <w:rPr>
          <w:b/>
          <w:bCs/>
        </w:rPr>
      </w:pPr>
    </w:p>
    <w:p w:rsidR="00E30BEC" w:rsidRDefault="00E30BEC">
      <w:pPr>
        <w:rPr>
          <w:b/>
          <w:bCs/>
        </w:rPr>
      </w:pPr>
    </w:p>
    <w:p w:rsidR="00E30BEC" w:rsidRDefault="00E30BEC">
      <w:pPr>
        <w:rPr>
          <w:b/>
          <w:bCs/>
        </w:rPr>
      </w:pPr>
    </w:p>
    <w:p w:rsidR="00E30BEC" w:rsidRDefault="00E30BEC">
      <w:pPr>
        <w:rPr>
          <w:b/>
          <w:bCs/>
        </w:rPr>
      </w:pPr>
    </w:p>
    <w:p w:rsidR="00E30BEC" w:rsidRDefault="00E30BEC">
      <w:pPr>
        <w:rPr>
          <w:b/>
          <w:bCs/>
        </w:rPr>
      </w:pPr>
    </w:p>
    <w:p w:rsidR="00E30BEC" w:rsidRDefault="00E30BEC">
      <w:pPr>
        <w:rPr>
          <w:b/>
          <w:bCs/>
        </w:rPr>
      </w:pPr>
    </w:p>
    <w:p w:rsidR="00E30BEC" w:rsidRDefault="00E30BEC">
      <w:pPr>
        <w:rPr>
          <w:b/>
          <w:bCs/>
        </w:rPr>
      </w:pPr>
    </w:p>
    <w:p w:rsidR="00E30BEC" w:rsidRDefault="00E30BEC">
      <w:pPr>
        <w:rPr>
          <w:b/>
          <w:bCs/>
        </w:rPr>
      </w:pPr>
    </w:p>
    <w:p w:rsidR="00E30BEC" w:rsidRDefault="00E30BEC">
      <w:pPr>
        <w:rPr>
          <w:b/>
          <w:bCs/>
        </w:rPr>
      </w:pPr>
    </w:p>
    <w:p w:rsidR="00E30BEC" w:rsidRDefault="00E30BEC">
      <w:pPr>
        <w:rPr>
          <w:b/>
          <w:bCs/>
        </w:rPr>
      </w:pPr>
    </w:p>
    <w:p w:rsidR="005D0592" w:rsidRDefault="005D0592">
      <w:pPr>
        <w:rPr>
          <w:b/>
          <w:bCs/>
        </w:rPr>
      </w:pPr>
    </w:p>
    <w:p w:rsidR="005D0592" w:rsidRDefault="005D0592">
      <w:pPr>
        <w:rPr>
          <w:b/>
          <w:bCs/>
        </w:rPr>
      </w:pPr>
    </w:p>
    <w:p w:rsidR="005D0592" w:rsidRDefault="005D0592">
      <w:pPr>
        <w:rPr>
          <w:b/>
          <w:bCs/>
        </w:rPr>
      </w:pPr>
    </w:p>
    <w:p w:rsidR="005D0592" w:rsidRDefault="005D0592">
      <w:pPr>
        <w:rPr>
          <w:b/>
          <w:bCs/>
        </w:rPr>
      </w:pPr>
    </w:p>
    <w:p w:rsidR="005D0592" w:rsidRDefault="005D0592">
      <w:pPr>
        <w:rPr>
          <w:b/>
          <w:bCs/>
        </w:rPr>
      </w:pPr>
    </w:p>
    <w:p w:rsidR="005D0592" w:rsidRDefault="005D0592">
      <w:pPr>
        <w:rPr>
          <w:b/>
          <w:bCs/>
        </w:rPr>
      </w:pPr>
    </w:p>
    <w:p w:rsidR="005D0592" w:rsidRDefault="005D0592">
      <w:pPr>
        <w:rPr>
          <w:b/>
          <w:bCs/>
        </w:rPr>
      </w:pPr>
    </w:p>
    <w:p w:rsidR="005D0592" w:rsidRDefault="005D0592">
      <w:pPr>
        <w:rPr>
          <w:b/>
          <w:bCs/>
        </w:rPr>
      </w:pPr>
    </w:p>
    <w:p w:rsidR="005D0592" w:rsidRDefault="005D0592">
      <w:pPr>
        <w:rPr>
          <w:b/>
          <w:bCs/>
        </w:rPr>
      </w:pPr>
    </w:p>
    <w:p w:rsidR="005D0592" w:rsidRDefault="005D0592">
      <w:pPr>
        <w:rPr>
          <w:b/>
          <w:bCs/>
        </w:rPr>
      </w:pPr>
    </w:p>
    <w:p w:rsidR="005D0592" w:rsidRDefault="005D0592">
      <w:pPr>
        <w:rPr>
          <w:b/>
          <w:bCs/>
        </w:rPr>
      </w:pPr>
    </w:p>
    <w:p w:rsidR="005D0592" w:rsidRDefault="005D0592">
      <w:pPr>
        <w:rPr>
          <w:b/>
          <w:bCs/>
        </w:rPr>
      </w:pPr>
    </w:p>
    <w:p w:rsidR="005D0592" w:rsidRDefault="005D0592">
      <w:pPr>
        <w:rPr>
          <w:b/>
          <w:bCs/>
        </w:rPr>
      </w:pPr>
    </w:p>
    <w:p w:rsidR="005D0592" w:rsidRDefault="005D0592">
      <w:pPr>
        <w:rPr>
          <w:b/>
          <w:bCs/>
        </w:rPr>
      </w:pPr>
    </w:p>
    <w:p w:rsidR="005D0592" w:rsidRDefault="005D0592">
      <w:pPr>
        <w:rPr>
          <w:b/>
          <w:bCs/>
        </w:rPr>
      </w:pPr>
    </w:p>
    <w:p w:rsidR="005D0592" w:rsidRDefault="005D0592">
      <w:pPr>
        <w:rPr>
          <w:b/>
          <w:bCs/>
        </w:rPr>
      </w:pPr>
    </w:p>
    <w:p w:rsidR="005D0592" w:rsidRDefault="005D0592">
      <w:pPr>
        <w:rPr>
          <w:b/>
          <w:bCs/>
        </w:rPr>
      </w:pPr>
    </w:p>
    <w:p w:rsidR="001A099A" w:rsidRPr="00F064A4" w:rsidRDefault="00D16C8A">
      <w:pPr>
        <w:rPr>
          <w:sz w:val="22"/>
          <w:szCs w:val="22"/>
        </w:rPr>
      </w:pPr>
      <w:r>
        <w:rPr>
          <w:b/>
          <w:bCs/>
          <w:sz w:val="22"/>
          <w:szCs w:val="22"/>
        </w:rPr>
        <w:lastRenderedPageBreak/>
        <w:t>Supplement t</w:t>
      </w:r>
      <w:r w:rsidR="001A099A" w:rsidRPr="00F064A4">
        <w:rPr>
          <w:b/>
          <w:bCs/>
          <w:sz w:val="22"/>
          <w:szCs w:val="22"/>
        </w:rPr>
        <w:t xml:space="preserve">able </w:t>
      </w:r>
      <w:r w:rsidR="00E30BEC" w:rsidRPr="00F064A4">
        <w:rPr>
          <w:b/>
          <w:bCs/>
          <w:sz w:val="22"/>
          <w:szCs w:val="22"/>
        </w:rPr>
        <w:t>2</w:t>
      </w:r>
      <w:r w:rsidR="00E50B7A" w:rsidRPr="00F064A4">
        <w:rPr>
          <w:b/>
          <w:bCs/>
          <w:sz w:val="22"/>
          <w:szCs w:val="22"/>
        </w:rPr>
        <w:t>.</w:t>
      </w:r>
      <w:r w:rsidR="001A099A" w:rsidRPr="00F064A4">
        <w:rPr>
          <w:sz w:val="22"/>
          <w:szCs w:val="22"/>
        </w:rPr>
        <w:t xml:space="preserve"> Included criteria and excluded criteria of patients with vitiligo</w:t>
      </w:r>
    </w:p>
    <w:tbl>
      <w:tblPr>
        <w:tblW w:w="11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5389"/>
        <w:gridCol w:w="5386"/>
      </w:tblGrid>
      <w:tr w:rsidR="00E50B7A" w:rsidRPr="001A099A" w:rsidTr="00CE6820">
        <w:trPr>
          <w:trHeight w:val="320"/>
          <w:jc w:val="center"/>
        </w:trPr>
        <w:tc>
          <w:tcPr>
            <w:tcW w:w="1127" w:type="dxa"/>
            <w:vMerge w:val="restart"/>
            <w:shd w:val="clear" w:color="auto" w:fill="auto"/>
            <w:noWrap/>
            <w:vAlign w:val="center"/>
            <w:hideMark/>
          </w:tcPr>
          <w:p w:rsidR="001A099A" w:rsidRPr="001A099A" w:rsidRDefault="001A099A" w:rsidP="001A099A">
            <w:pPr>
              <w:jc w:val="center"/>
              <w:rPr>
                <w:rFonts w:ascii="Calibri" w:eastAsia="Times New Roman" w:hAnsi="Calibri" w:cs="Calibri"/>
                <w:b/>
                <w:bCs/>
                <w:color w:val="000000"/>
                <w:kern w:val="0"/>
                <w:sz w:val="22"/>
                <w:szCs w:val="22"/>
                <w14:ligatures w14:val="none"/>
              </w:rPr>
            </w:pPr>
            <w:r w:rsidRPr="001A099A">
              <w:rPr>
                <w:rFonts w:ascii="Calibri" w:eastAsia="Times New Roman" w:hAnsi="Calibri" w:cs="Calibri"/>
                <w:b/>
                <w:bCs/>
                <w:color w:val="000000"/>
                <w:kern w:val="0"/>
                <w:sz w:val="22"/>
                <w:szCs w:val="22"/>
                <w14:ligatures w14:val="none"/>
              </w:rPr>
              <w:t>Study</w:t>
            </w:r>
          </w:p>
        </w:tc>
        <w:tc>
          <w:tcPr>
            <w:tcW w:w="5389" w:type="dxa"/>
            <w:vMerge w:val="restart"/>
            <w:shd w:val="clear" w:color="auto" w:fill="auto"/>
            <w:noWrap/>
            <w:vAlign w:val="center"/>
            <w:hideMark/>
          </w:tcPr>
          <w:p w:rsidR="001A099A" w:rsidRPr="001A099A" w:rsidRDefault="001A099A" w:rsidP="001A099A">
            <w:pPr>
              <w:jc w:val="center"/>
              <w:rPr>
                <w:rFonts w:ascii="Calibri" w:eastAsia="Times New Roman" w:hAnsi="Calibri" w:cs="Calibri"/>
                <w:b/>
                <w:bCs/>
                <w:color w:val="000000"/>
                <w:kern w:val="0"/>
                <w:sz w:val="22"/>
                <w:szCs w:val="22"/>
                <w14:ligatures w14:val="none"/>
              </w:rPr>
            </w:pPr>
            <w:r w:rsidRPr="001A099A">
              <w:rPr>
                <w:rFonts w:ascii="Calibri" w:eastAsia="Times New Roman" w:hAnsi="Calibri" w:cs="Calibri"/>
                <w:b/>
                <w:bCs/>
                <w:color w:val="000000"/>
                <w:kern w:val="0"/>
                <w:sz w:val="22"/>
                <w:szCs w:val="22"/>
                <w14:ligatures w14:val="none"/>
              </w:rPr>
              <w:t>Included criteria</w:t>
            </w:r>
          </w:p>
        </w:tc>
        <w:tc>
          <w:tcPr>
            <w:tcW w:w="5386" w:type="dxa"/>
            <w:vMerge w:val="restart"/>
            <w:shd w:val="clear" w:color="auto" w:fill="auto"/>
            <w:noWrap/>
            <w:vAlign w:val="center"/>
            <w:hideMark/>
          </w:tcPr>
          <w:p w:rsidR="001A099A" w:rsidRPr="001A099A" w:rsidRDefault="001A099A" w:rsidP="001A099A">
            <w:pPr>
              <w:jc w:val="center"/>
              <w:rPr>
                <w:rFonts w:ascii="Calibri" w:eastAsia="Times New Roman" w:hAnsi="Calibri" w:cs="Calibri"/>
                <w:b/>
                <w:bCs/>
                <w:color w:val="000000"/>
                <w:kern w:val="0"/>
                <w:sz w:val="22"/>
                <w:szCs w:val="22"/>
                <w14:ligatures w14:val="none"/>
              </w:rPr>
            </w:pPr>
            <w:r w:rsidRPr="001A099A">
              <w:rPr>
                <w:rFonts w:ascii="Calibri" w:eastAsia="Times New Roman" w:hAnsi="Calibri" w:cs="Calibri"/>
                <w:b/>
                <w:bCs/>
                <w:color w:val="000000"/>
                <w:kern w:val="0"/>
                <w:sz w:val="22"/>
                <w:szCs w:val="22"/>
                <w14:ligatures w14:val="none"/>
              </w:rPr>
              <w:t>Excluded criteria</w:t>
            </w:r>
          </w:p>
        </w:tc>
      </w:tr>
      <w:tr w:rsidR="00E50B7A" w:rsidRPr="001A099A" w:rsidTr="00CE6820">
        <w:trPr>
          <w:trHeight w:val="320"/>
          <w:jc w:val="center"/>
        </w:trPr>
        <w:tc>
          <w:tcPr>
            <w:tcW w:w="1127" w:type="dxa"/>
            <w:vMerge/>
            <w:vAlign w:val="center"/>
            <w:hideMark/>
          </w:tcPr>
          <w:p w:rsidR="00E50B7A" w:rsidRPr="001A099A" w:rsidRDefault="00E50B7A" w:rsidP="001A099A">
            <w:pPr>
              <w:rPr>
                <w:rFonts w:ascii="Calibri" w:eastAsia="Times New Roman" w:hAnsi="Calibri" w:cs="Calibri"/>
                <w:b/>
                <w:bCs/>
                <w:color w:val="000000"/>
                <w:kern w:val="0"/>
                <w:sz w:val="22"/>
                <w:szCs w:val="22"/>
                <w14:ligatures w14:val="none"/>
              </w:rPr>
            </w:pPr>
          </w:p>
        </w:tc>
        <w:tc>
          <w:tcPr>
            <w:tcW w:w="5389" w:type="dxa"/>
            <w:vMerge/>
            <w:vAlign w:val="center"/>
            <w:hideMark/>
          </w:tcPr>
          <w:p w:rsidR="00E50B7A" w:rsidRPr="001A099A" w:rsidRDefault="00E50B7A" w:rsidP="001A099A">
            <w:pPr>
              <w:rPr>
                <w:rFonts w:ascii="Calibri" w:eastAsia="Times New Roman" w:hAnsi="Calibri" w:cs="Calibri"/>
                <w:b/>
                <w:bCs/>
                <w:color w:val="000000"/>
                <w:kern w:val="0"/>
                <w:sz w:val="22"/>
                <w:szCs w:val="22"/>
                <w14:ligatures w14:val="none"/>
              </w:rPr>
            </w:pPr>
          </w:p>
        </w:tc>
        <w:tc>
          <w:tcPr>
            <w:tcW w:w="5386" w:type="dxa"/>
            <w:vMerge/>
            <w:vAlign w:val="center"/>
            <w:hideMark/>
          </w:tcPr>
          <w:p w:rsidR="00E50B7A" w:rsidRPr="001A099A" w:rsidRDefault="00E50B7A" w:rsidP="001A099A">
            <w:pPr>
              <w:rPr>
                <w:rFonts w:ascii="Calibri" w:eastAsia="Times New Roman" w:hAnsi="Calibri" w:cs="Calibri"/>
                <w:b/>
                <w:bCs/>
                <w:color w:val="000000"/>
                <w:kern w:val="0"/>
                <w:sz w:val="22"/>
                <w:szCs w:val="22"/>
                <w14:ligatures w14:val="none"/>
              </w:rPr>
            </w:pPr>
          </w:p>
        </w:tc>
      </w:tr>
      <w:tr w:rsidR="00E50B7A" w:rsidRPr="001A099A" w:rsidTr="00CE6820">
        <w:trPr>
          <w:trHeight w:val="3860"/>
          <w:jc w:val="center"/>
        </w:trPr>
        <w:tc>
          <w:tcPr>
            <w:tcW w:w="1127" w:type="dxa"/>
            <w:shd w:val="clear" w:color="auto" w:fill="auto"/>
            <w:noWrap/>
            <w:vAlign w:val="center"/>
            <w:hideMark/>
          </w:tcPr>
          <w:p w:rsidR="00E50B7A" w:rsidRPr="001A099A" w:rsidRDefault="00E50B7A" w:rsidP="001A099A">
            <w:pPr>
              <w:rPr>
                <w:rFonts w:ascii="Calibri" w:eastAsia="Times New Roman" w:hAnsi="Calibri" w:cs="Calibri"/>
                <w:color w:val="000000"/>
                <w:kern w:val="0"/>
                <w:sz w:val="22"/>
                <w:szCs w:val="22"/>
                <w14:ligatures w14:val="none"/>
              </w:rPr>
            </w:pPr>
            <w:r w:rsidRPr="001A099A">
              <w:rPr>
                <w:rFonts w:ascii="Calibri" w:eastAsia="Times New Roman" w:hAnsi="Calibri" w:cs="Calibri"/>
                <w:color w:val="000000"/>
                <w:kern w:val="0"/>
                <w:sz w:val="22"/>
                <w:szCs w:val="22"/>
                <w14:ligatures w14:val="none"/>
              </w:rPr>
              <w:t>Rosmarin 2020</w:t>
            </w:r>
          </w:p>
        </w:tc>
        <w:tc>
          <w:tcPr>
            <w:tcW w:w="5389" w:type="dxa"/>
            <w:shd w:val="clear" w:color="auto" w:fill="auto"/>
            <w:vAlign w:val="center"/>
            <w:hideMark/>
          </w:tcPr>
          <w:p w:rsidR="00E50B7A" w:rsidRPr="001A099A" w:rsidRDefault="00E50B7A" w:rsidP="001A099A">
            <w:pPr>
              <w:rPr>
                <w:rFonts w:ascii="Calibri" w:eastAsia="Times New Roman" w:hAnsi="Calibri" w:cs="Calibri"/>
                <w:color w:val="000000"/>
                <w:kern w:val="0"/>
                <w:sz w:val="22"/>
                <w:szCs w:val="22"/>
                <w14:ligatures w14:val="none"/>
              </w:rPr>
            </w:pPr>
            <w:r w:rsidRPr="001A099A">
              <w:rPr>
                <w:rFonts w:ascii="Calibri" w:eastAsia="Times New Roman" w:hAnsi="Calibri" w:cs="Calibri"/>
                <w:color w:val="000000"/>
                <w:kern w:val="0"/>
                <w:sz w:val="22"/>
                <w:szCs w:val="22"/>
                <w14:ligatures w14:val="none"/>
              </w:rPr>
              <w:t>1. Clinical diagnosis of vitiligo;</w:t>
            </w:r>
            <w:r w:rsidRPr="001A099A">
              <w:rPr>
                <w:rFonts w:ascii="Calibri" w:eastAsia="Times New Roman" w:hAnsi="Calibri" w:cs="Calibri"/>
                <w:color w:val="000000"/>
                <w:kern w:val="0"/>
                <w:sz w:val="22"/>
                <w:szCs w:val="22"/>
                <w14:ligatures w14:val="none"/>
              </w:rPr>
              <w:br/>
              <w:t>2. Vitiligo with depigmented areas including: 1) at least 0.5% of the total body surface area (BSA) on the face (0.5% BSA is approximately equal to the area of the participant's palm [without digits]); 2) at least 3% of the total BSA on nonfacial areas (3% BSA is approximately equal to the area of 3 of the participant's handprints [palm plus 5 digits]);</w:t>
            </w:r>
            <w:r w:rsidRPr="001A099A">
              <w:rPr>
                <w:rFonts w:ascii="Calibri" w:eastAsia="Times New Roman" w:hAnsi="Calibri" w:cs="Calibri"/>
                <w:color w:val="000000"/>
                <w:kern w:val="0"/>
                <w:sz w:val="22"/>
                <w:szCs w:val="22"/>
                <w14:ligatures w14:val="none"/>
              </w:rPr>
              <w:br/>
              <w:t>3. Participants who agree to discontinue all agents used to treat vitiligo from screening through the final follow-up visit. Over-the-counter preparations deemed acceptable by the investigator and camouflage makeups are permitted.</w:t>
            </w:r>
          </w:p>
        </w:tc>
        <w:tc>
          <w:tcPr>
            <w:tcW w:w="5386" w:type="dxa"/>
            <w:shd w:val="clear" w:color="auto" w:fill="auto"/>
            <w:vAlign w:val="center"/>
            <w:hideMark/>
          </w:tcPr>
          <w:p w:rsidR="00E50B7A" w:rsidRPr="001A099A" w:rsidRDefault="00E50B7A" w:rsidP="001A099A">
            <w:pPr>
              <w:rPr>
                <w:rFonts w:ascii="Calibri" w:eastAsia="Times New Roman" w:hAnsi="Calibri" w:cs="Calibri"/>
                <w:color w:val="000000"/>
                <w:kern w:val="0"/>
                <w:sz w:val="22"/>
                <w:szCs w:val="22"/>
                <w14:ligatures w14:val="none"/>
              </w:rPr>
            </w:pPr>
            <w:r w:rsidRPr="001A099A">
              <w:rPr>
                <w:rFonts w:ascii="Calibri" w:eastAsia="Times New Roman" w:hAnsi="Calibri" w:cs="Calibri"/>
                <w:color w:val="000000"/>
                <w:kern w:val="0"/>
                <w:sz w:val="22"/>
                <w:szCs w:val="22"/>
                <w14:ligatures w14:val="none"/>
              </w:rPr>
              <w:t>1. Any dermatological disease confounding vitiligo assessment, previous use of JAK inhibitor therapy, and use of the following therapies for vitiligo: any biological or experimental therapy within 12 weeks or five half-lives of screening, phototherapy within 8 weeks of screening, or immunomodulating oral or systemic medication within 4 weeks of screening.</w:t>
            </w:r>
            <w:r w:rsidRPr="001A099A">
              <w:rPr>
                <w:rFonts w:ascii="Calibri" w:eastAsia="Times New Roman" w:hAnsi="Calibri" w:cs="Calibri"/>
                <w:color w:val="000000"/>
                <w:kern w:val="0"/>
                <w:sz w:val="22"/>
                <w:szCs w:val="22"/>
                <w14:ligatures w14:val="none"/>
              </w:rPr>
              <w:br/>
              <w:t>2. Clinically substantially abnormal lating hormone or free T4 concentration at screening; presence of cytopenia defined as a leucocyte count less than 3·0 × 10⁹ per L (&lt;2·5 × 10⁹ per L for African American patients), neutrophil count less than the lower limit of normal, lymphocyte count less than 0·8 × 10⁹ per L, haemoglobin concentration less than 10 g/dL, and platelet count less than 100 × 10⁹ per L.</w:t>
            </w:r>
          </w:p>
        </w:tc>
      </w:tr>
      <w:tr w:rsidR="00E50B7A" w:rsidRPr="001A099A" w:rsidTr="00CE6820">
        <w:trPr>
          <w:trHeight w:val="3350"/>
          <w:jc w:val="center"/>
        </w:trPr>
        <w:tc>
          <w:tcPr>
            <w:tcW w:w="1127" w:type="dxa"/>
            <w:shd w:val="clear" w:color="auto" w:fill="auto"/>
            <w:vAlign w:val="center"/>
            <w:hideMark/>
          </w:tcPr>
          <w:p w:rsidR="00E50B7A" w:rsidRPr="001A099A" w:rsidRDefault="00E50B7A" w:rsidP="001A099A">
            <w:pPr>
              <w:rPr>
                <w:rFonts w:ascii="Calibri" w:eastAsia="Times New Roman" w:hAnsi="Calibri" w:cs="Calibri"/>
                <w:color w:val="000000"/>
                <w:kern w:val="0"/>
                <w:sz w:val="22"/>
                <w:szCs w:val="22"/>
                <w14:ligatures w14:val="none"/>
              </w:rPr>
            </w:pPr>
            <w:r w:rsidRPr="001A099A">
              <w:rPr>
                <w:rFonts w:ascii="Calibri" w:eastAsia="Times New Roman" w:hAnsi="Calibri" w:cs="Calibri"/>
                <w:color w:val="000000"/>
                <w:kern w:val="0"/>
                <w:sz w:val="22"/>
                <w:szCs w:val="22"/>
                <w14:ligatures w14:val="none"/>
              </w:rPr>
              <w:t>Rosmarin 2022</w:t>
            </w:r>
            <w:r w:rsidRPr="001A099A">
              <w:rPr>
                <w:rFonts w:ascii="Calibri" w:eastAsia="Times New Roman" w:hAnsi="Calibri" w:cs="Calibri"/>
                <w:color w:val="000000"/>
                <w:kern w:val="0"/>
                <w:sz w:val="22"/>
                <w:szCs w:val="22"/>
                <w14:ligatures w14:val="none"/>
              </w:rPr>
              <w:br/>
              <w:t>(TRuE-V1)</w:t>
            </w:r>
            <w:r w:rsidR="00403926">
              <w:rPr>
                <w:rFonts w:ascii="Calibri" w:eastAsia="Times New Roman" w:hAnsi="Calibri" w:cs="Calibri"/>
                <w:color w:val="000000"/>
                <w:kern w:val="0"/>
                <w:sz w:val="22"/>
                <w:szCs w:val="22"/>
                <w14:ligatures w14:val="none"/>
              </w:rPr>
              <w:t xml:space="preserve">, </w:t>
            </w:r>
            <w:r w:rsidR="00403926" w:rsidRPr="001A099A">
              <w:rPr>
                <w:rFonts w:ascii="Calibri" w:eastAsia="Times New Roman" w:hAnsi="Calibri" w:cs="Calibri"/>
                <w:color w:val="000000"/>
                <w:kern w:val="0"/>
                <w:sz w:val="22"/>
                <w:szCs w:val="22"/>
                <w14:ligatures w14:val="none"/>
              </w:rPr>
              <w:t>Rosmarin 2022</w:t>
            </w:r>
            <w:r w:rsidR="00403926" w:rsidRPr="001A099A">
              <w:rPr>
                <w:rFonts w:ascii="Calibri" w:eastAsia="Times New Roman" w:hAnsi="Calibri" w:cs="Calibri"/>
                <w:color w:val="000000"/>
                <w:kern w:val="0"/>
                <w:sz w:val="22"/>
                <w:szCs w:val="22"/>
                <w14:ligatures w14:val="none"/>
              </w:rPr>
              <w:br/>
              <w:t>(TRuE-V2)</w:t>
            </w:r>
          </w:p>
        </w:tc>
        <w:tc>
          <w:tcPr>
            <w:tcW w:w="5389" w:type="dxa"/>
            <w:shd w:val="clear" w:color="auto" w:fill="auto"/>
            <w:vAlign w:val="bottom"/>
            <w:hideMark/>
          </w:tcPr>
          <w:p w:rsidR="00E50B7A" w:rsidRPr="001A099A" w:rsidRDefault="00E50B7A" w:rsidP="001A099A">
            <w:pPr>
              <w:rPr>
                <w:rFonts w:ascii="Calibri" w:eastAsia="Times New Roman" w:hAnsi="Calibri" w:cs="Calibri"/>
                <w:color w:val="000000"/>
                <w:kern w:val="0"/>
                <w:sz w:val="22"/>
                <w:szCs w:val="22"/>
                <w14:ligatures w14:val="none"/>
              </w:rPr>
            </w:pPr>
            <w:r w:rsidRPr="001A099A">
              <w:rPr>
                <w:rFonts w:ascii="Calibri" w:eastAsia="Times New Roman" w:hAnsi="Calibri" w:cs="Calibri"/>
                <w:color w:val="000000"/>
                <w:kern w:val="0"/>
                <w:sz w:val="22"/>
                <w:szCs w:val="22"/>
                <w14:ligatures w14:val="none"/>
              </w:rPr>
              <w:t>1. 12 Years and older (Child, Adult, Older Adult);</w:t>
            </w:r>
            <w:r w:rsidRPr="001A099A">
              <w:rPr>
                <w:rFonts w:ascii="Calibri" w:eastAsia="Times New Roman" w:hAnsi="Calibri" w:cs="Calibri"/>
                <w:color w:val="000000"/>
                <w:kern w:val="0"/>
                <w:sz w:val="22"/>
                <w:szCs w:val="22"/>
                <w14:ligatures w14:val="none"/>
              </w:rPr>
              <w:br/>
              <w:t>2. Clinical diagnosis of non-segmental vitiligo with depigmented area including ≥ 0.5% BSA on the face, ≥ 0.5 F-VASI, ≥ 3% BSA on nonfacial areas, ≥ 3 T-VASI, and total body vitiligo area (facial and nonfacial) not exceeding 10% BSA;</w:t>
            </w:r>
            <w:r w:rsidRPr="001A099A">
              <w:rPr>
                <w:rFonts w:ascii="Calibri" w:eastAsia="Times New Roman" w:hAnsi="Calibri" w:cs="Calibri"/>
                <w:color w:val="000000"/>
                <w:kern w:val="0"/>
                <w:sz w:val="22"/>
                <w:szCs w:val="22"/>
                <w14:ligatures w14:val="none"/>
              </w:rPr>
              <w:br/>
              <w:t>3. Agree to discontinue all agents used to treat vitiligo from screening through the final safety follow-up visit. Over-the-counter preparations deemed acceptable by the investigator and camouflage makeups are permitted;</w:t>
            </w:r>
            <w:r w:rsidRPr="001A099A">
              <w:rPr>
                <w:rFonts w:ascii="Calibri" w:eastAsia="Times New Roman" w:hAnsi="Calibri" w:cs="Calibri"/>
                <w:color w:val="000000"/>
                <w:kern w:val="0"/>
                <w:sz w:val="22"/>
                <w:szCs w:val="22"/>
                <w14:ligatures w14:val="none"/>
              </w:rPr>
              <w:br/>
              <w:t>4. Must be willing to take appropriate contraceptive measures to avoid pregnancy or fathering a child for the duration of study participation.</w:t>
            </w:r>
          </w:p>
        </w:tc>
        <w:tc>
          <w:tcPr>
            <w:tcW w:w="5386" w:type="dxa"/>
            <w:shd w:val="clear" w:color="auto" w:fill="auto"/>
            <w:vAlign w:val="bottom"/>
            <w:hideMark/>
          </w:tcPr>
          <w:p w:rsidR="00E50B7A" w:rsidRPr="001A099A" w:rsidRDefault="00E50B7A" w:rsidP="001A099A">
            <w:pPr>
              <w:rPr>
                <w:rFonts w:ascii="Calibri" w:eastAsia="Times New Roman" w:hAnsi="Calibri" w:cs="Calibri"/>
                <w:color w:val="000000"/>
                <w:kern w:val="0"/>
                <w:sz w:val="22"/>
                <w:szCs w:val="22"/>
                <w14:ligatures w14:val="none"/>
              </w:rPr>
            </w:pPr>
            <w:r w:rsidRPr="001A099A">
              <w:rPr>
                <w:rFonts w:ascii="Calibri" w:eastAsia="Times New Roman" w:hAnsi="Calibri" w:cs="Calibri"/>
                <w:color w:val="000000"/>
                <w:kern w:val="0"/>
                <w:sz w:val="22"/>
                <w:szCs w:val="22"/>
                <w14:ligatures w14:val="none"/>
              </w:rPr>
              <w:t>1. No pigmented hair within any of the vitiligo areas on the face;</w:t>
            </w:r>
            <w:r w:rsidRPr="001A099A">
              <w:rPr>
                <w:rFonts w:ascii="Calibri" w:eastAsia="Times New Roman" w:hAnsi="Calibri" w:cs="Calibri"/>
                <w:color w:val="000000"/>
                <w:kern w:val="0"/>
                <w:sz w:val="22"/>
                <w:szCs w:val="22"/>
                <w14:ligatures w14:val="none"/>
              </w:rPr>
              <w:br/>
              <w:t>2. Other forms of vitiligo (eg, segmental) or other differential diagnosis of vitiligo or other skin depigmentation disorders (eg, piebaldism, pityriasis alba, leprosy, postinflammatory hypopigmentation, progressive macule hypomelanosis, nevus anemicus, chemical leukoderma, and tinea versicolor);</w:t>
            </w:r>
            <w:r w:rsidRPr="001A099A">
              <w:rPr>
                <w:rFonts w:ascii="Calibri" w:eastAsia="Times New Roman" w:hAnsi="Calibri" w:cs="Calibri"/>
                <w:color w:val="000000"/>
                <w:kern w:val="0"/>
                <w:sz w:val="22"/>
                <w:szCs w:val="22"/>
                <w14:ligatures w14:val="none"/>
              </w:rPr>
              <w:br/>
              <w:t>3. Have used depigmentation treatments (eg, monobenzone) for past treatment of vitiligo or other pigmented areas;</w:t>
            </w:r>
            <w:r w:rsidRPr="001A099A">
              <w:rPr>
                <w:rFonts w:ascii="Calibri" w:eastAsia="Times New Roman" w:hAnsi="Calibri" w:cs="Calibri"/>
                <w:color w:val="000000"/>
                <w:kern w:val="0"/>
                <w:sz w:val="22"/>
                <w:szCs w:val="22"/>
                <w14:ligatures w14:val="none"/>
              </w:rPr>
              <w:br/>
              <w:t>4. Use of protocol-defined treatments within the indicated washout period before baseline.</w:t>
            </w:r>
          </w:p>
        </w:tc>
      </w:tr>
    </w:tbl>
    <w:p w:rsidR="001A099A" w:rsidRDefault="001A099A"/>
    <w:p w:rsidR="001A099A" w:rsidRDefault="001A099A"/>
    <w:p w:rsidR="00107567" w:rsidRDefault="00107567"/>
    <w:p w:rsidR="00403926" w:rsidRDefault="00403926"/>
    <w:p w:rsidR="00403926" w:rsidRDefault="00403926"/>
    <w:p w:rsidR="00403926" w:rsidRDefault="00403926"/>
    <w:p w:rsidR="00403926" w:rsidRDefault="00403926"/>
    <w:p w:rsidR="00403926" w:rsidRDefault="00403926"/>
    <w:p w:rsidR="00403926" w:rsidRDefault="00403926"/>
    <w:p w:rsidR="00403926" w:rsidRDefault="00403926"/>
    <w:p w:rsidR="00403926" w:rsidRDefault="00403926"/>
    <w:p w:rsidR="00403926" w:rsidRDefault="00403926"/>
    <w:p w:rsidR="00403926" w:rsidRDefault="00403926"/>
    <w:p w:rsidR="00403926" w:rsidRDefault="00403926"/>
    <w:p w:rsidR="00403926" w:rsidRDefault="00403926"/>
    <w:p w:rsidR="00107567" w:rsidRPr="00F064A4" w:rsidRDefault="00D16C8A" w:rsidP="00107567">
      <w:pPr>
        <w:rPr>
          <w:sz w:val="22"/>
          <w:szCs w:val="22"/>
          <w:lang w:val="en-US"/>
        </w:rPr>
      </w:pPr>
      <w:r>
        <w:rPr>
          <w:b/>
          <w:bCs/>
          <w:sz w:val="22"/>
          <w:szCs w:val="22"/>
        </w:rPr>
        <w:lastRenderedPageBreak/>
        <w:t xml:space="preserve">Supplement </w:t>
      </w:r>
      <w:r>
        <w:rPr>
          <w:b/>
          <w:bCs/>
          <w:sz w:val="22"/>
          <w:szCs w:val="22"/>
          <w:lang w:val="en-US"/>
        </w:rPr>
        <w:t>t</w:t>
      </w:r>
      <w:r w:rsidR="00107567" w:rsidRPr="00F064A4">
        <w:rPr>
          <w:b/>
          <w:bCs/>
          <w:sz w:val="22"/>
          <w:szCs w:val="22"/>
          <w:lang w:val="en-US"/>
        </w:rPr>
        <w:t xml:space="preserve">able </w:t>
      </w:r>
      <w:r w:rsidR="00E30BEC" w:rsidRPr="00F064A4">
        <w:rPr>
          <w:b/>
          <w:bCs/>
          <w:sz w:val="22"/>
          <w:szCs w:val="22"/>
          <w:lang w:val="en-US"/>
        </w:rPr>
        <w:t>3</w:t>
      </w:r>
      <w:r w:rsidR="00107567" w:rsidRPr="00F064A4">
        <w:rPr>
          <w:b/>
          <w:bCs/>
          <w:sz w:val="22"/>
          <w:szCs w:val="22"/>
          <w:lang w:val="en-US"/>
        </w:rPr>
        <w:t>.</w:t>
      </w:r>
      <w:r w:rsidR="00107567" w:rsidRPr="00F064A4">
        <w:rPr>
          <w:sz w:val="22"/>
          <w:szCs w:val="22"/>
          <w:lang w:val="en-US"/>
        </w:rPr>
        <w:t xml:space="preserve"> Previous therapy and complications of participants in included trials</w:t>
      </w:r>
    </w:p>
    <w:tbl>
      <w:tblPr>
        <w:tblW w:w="12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2"/>
        <w:gridCol w:w="1343"/>
        <w:gridCol w:w="1276"/>
        <w:gridCol w:w="974"/>
        <w:gridCol w:w="1294"/>
        <w:gridCol w:w="1290"/>
        <w:gridCol w:w="1134"/>
        <w:gridCol w:w="20"/>
        <w:gridCol w:w="1256"/>
        <w:gridCol w:w="1134"/>
        <w:gridCol w:w="1261"/>
      </w:tblGrid>
      <w:tr w:rsidR="00107567" w:rsidRPr="00486F2A" w:rsidTr="0045196C">
        <w:trPr>
          <w:trHeight w:val="320"/>
          <w:jc w:val="center"/>
        </w:trPr>
        <w:tc>
          <w:tcPr>
            <w:tcW w:w="1062" w:type="dxa"/>
            <w:vMerge w:val="restart"/>
            <w:shd w:val="clear" w:color="auto" w:fill="auto"/>
            <w:vAlign w:val="center"/>
            <w:hideMark/>
          </w:tcPr>
          <w:p w:rsidR="00107567" w:rsidRPr="00486F2A" w:rsidRDefault="00107567" w:rsidP="0045196C">
            <w:pPr>
              <w:jc w:val="center"/>
              <w:rPr>
                <w:rFonts w:ascii="Calibri" w:eastAsia="Times New Roman" w:hAnsi="Calibri" w:cs="Calibri"/>
                <w:b/>
                <w:bCs/>
                <w:color w:val="000000"/>
                <w:kern w:val="0"/>
                <w:sz w:val="22"/>
                <w:szCs w:val="22"/>
                <w14:ligatures w14:val="none"/>
              </w:rPr>
            </w:pPr>
            <w:r w:rsidRPr="00486F2A">
              <w:rPr>
                <w:rFonts w:ascii="Calibri" w:eastAsia="Times New Roman" w:hAnsi="Calibri" w:cs="Calibri"/>
                <w:b/>
                <w:bCs/>
                <w:color w:val="000000"/>
                <w:kern w:val="0"/>
                <w:sz w:val="22"/>
                <w:szCs w:val="22"/>
                <w14:ligatures w14:val="none"/>
              </w:rPr>
              <w:t>Study</w:t>
            </w:r>
          </w:p>
        </w:tc>
        <w:tc>
          <w:tcPr>
            <w:tcW w:w="7331" w:type="dxa"/>
            <w:gridSpan w:val="7"/>
            <w:shd w:val="clear" w:color="auto" w:fill="auto"/>
            <w:noWrap/>
            <w:vAlign w:val="bottom"/>
            <w:hideMark/>
          </w:tcPr>
          <w:p w:rsidR="00107567" w:rsidRPr="00486F2A" w:rsidRDefault="00107567" w:rsidP="0045196C">
            <w:pPr>
              <w:jc w:val="center"/>
              <w:rPr>
                <w:rFonts w:ascii="Calibri" w:eastAsia="Times New Roman" w:hAnsi="Calibri" w:cs="Calibri"/>
                <w:b/>
                <w:bCs/>
                <w:color w:val="000000"/>
                <w:kern w:val="0"/>
                <w:sz w:val="22"/>
                <w:szCs w:val="22"/>
                <w14:ligatures w14:val="none"/>
              </w:rPr>
            </w:pPr>
            <w:r w:rsidRPr="00486F2A">
              <w:rPr>
                <w:rFonts w:ascii="Calibri" w:eastAsia="Times New Roman" w:hAnsi="Calibri" w:cs="Calibri"/>
                <w:b/>
                <w:bCs/>
                <w:color w:val="000000"/>
                <w:kern w:val="0"/>
                <w:sz w:val="22"/>
                <w:szCs w:val="22"/>
                <w14:ligatures w14:val="none"/>
              </w:rPr>
              <w:t>Previous Therapy</w:t>
            </w:r>
          </w:p>
        </w:tc>
        <w:tc>
          <w:tcPr>
            <w:tcW w:w="3651" w:type="dxa"/>
            <w:gridSpan w:val="3"/>
            <w:shd w:val="clear" w:color="auto" w:fill="auto"/>
            <w:noWrap/>
            <w:vAlign w:val="bottom"/>
            <w:hideMark/>
          </w:tcPr>
          <w:p w:rsidR="00107567" w:rsidRPr="00486F2A" w:rsidRDefault="00107567" w:rsidP="0045196C">
            <w:pPr>
              <w:jc w:val="center"/>
              <w:rPr>
                <w:rFonts w:ascii="Calibri" w:eastAsia="Times New Roman" w:hAnsi="Calibri" w:cs="Calibri"/>
                <w:b/>
                <w:bCs/>
                <w:color w:val="000000"/>
                <w:kern w:val="0"/>
                <w:sz w:val="22"/>
                <w:szCs w:val="22"/>
                <w14:ligatures w14:val="none"/>
              </w:rPr>
            </w:pPr>
            <w:r w:rsidRPr="00486F2A">
              <w:rPr>
                <w:rFonts w:ascii="Calibri" w:eastAsia="Times New Roman" w:hAnsi="Calibri" w:cs="Calibri"/>
                <w:b/>
                <w:bCs/>
                <w:color w:val="000000"/>
                <w:kern w:val="0"/>
                <w:sz w:val="22"/>
                <w:szCs w:val="22"/>
                <w14:ligatures w14:val="none"/>
              </w:rPr>
              <w:t>Complications</w:t>
            </w:r>
          </w:p>
        </w:tc>
      </w:tr>
      <w:tr w:rsidR="00107567" w:rsidRPr="00486F2A" w:rsidTr="0045196C">
        <w:trPr>
          <w:trHeight w:val="1020"/>
          <w:jc w:val="center"/>
        </w:trPr>
        <w:tc>
          <w:tcPr>
            <w:tcW w:w="1062" w:type="dxa"/>
            <w:vMerge/>
            <w:vAlign w:val="center"/>
            <w:hideMark/>
          </w:tcPr>
          <w:p w:rsidR="00107567" w:rsidRPr="00486F2A" w:rsidRDefault="00107567" w:rsidP="0045196C">
            <w:pPr>
              <w:rPr>
                <w:rFonts w:ascii="Calibri" w:eastAsia="Times New Roman" w:hAnsi="Calibri" w:cs="Calibri"/>
                <w:b/>
                <w:bCs/>
                <w:color w:val="000000"/>
                <w:kern w:val="0"/>
                <w:sz w:val="22"/>
                <w:szCs w:val="22"/>
                <w14:ligatures w14:val="none"/>
              </w:rPr>
            </w:pPr>
          </w:p>
        </w:tc>
        <w:tc>
          <w:tcPr>
            <w:tcW w:w="1343" w:type="dxa"/>
            <w:shd w:val="clear" w:color="auto" w:fill="auto"/>
            <w:vAlign w:val="center"/>
            <w:hideMark/>
          </w:tcPr>
          <w:p w:rsidR="00107567" w:rsidRPr="00486F2A" w:rsidRDefault="00107567" w:rsidP="0045196C">
            <w:pPr>
              <w:jc w:val="center"/>
              <w:rPr>
                <w:rFonts w:ascii="Calibri" w:eastAsia="Times New Roman" w:hAnsi="Calibri" w:cs="Calibri"/>
                <w:b/>
                <w:bCs/>
                <w:color w:val="000000"/>
                <w:kern w:val="0"/>
                <w:sz w:val="22"/>
                <w:szCs w:val="22"/>
                <w14:ligatures w14:val="none"/>
              </w:rPr>
            </w:pPr>
            <w:r w:rsidRPr="00486F2A">
              <w:rPr>
                <w:rFonts w:ascii="Calibri" w:eastAsia="Times New Roman" w:hAnsi="Calibri" w:cs="Calibri"/>
                <w:b/>
                <w:bCs/>
                <w:color w:val="000000"/>
                <w:kern w:val="0"/>
                <w:sz w:val="22"/>
                <w:szCs w:val="22"/>
                <w14:ligatures w14:val="none"/>
              </w:rPr>
              <w:t>Topical corticosteroids, %</w:t>
            </w:r>
          </w:p>
        </w:tc>
        <w:tc>
          <w:tcPr>
            <w:tcW w:w="1276" w:type="dxa"/>
            <w:shd w:val="clear" w:color="auto" w:fill="auto"/>
            <w:vAlign w:val="center"/>
            <w:hideMark/>
          </w:tcPr>
          <w:p w:rsidR="00107567" w:rsidRPr="00486F2A" w:rsidRDefault="00107567" w:rsidP="0045196C">
            <w:pPr>
              <w:jc w:val="center"/>
              <w:rPr>
                <w:rFonts w:ascii="Calibri" w:eastAsia="Times New Roman" w:hAnsi="Calibri" w:cs="Calibri"/>
                <w:b/>
                <w:bCs/>
                <w:color w:val="000000"/>
                <w:kern w:val="0"/>
                <w:sz w:val="22"/>
                <w:szCs w:val="22"/>
                <w14:ligatures w14:val="none"/>
              </w:rPr>
            </w:pPr>
            <w:r w:rsidRPr="00486F2A">
              <w:rPr>
                <w:rFonts w:ascii="Calibri" w:eastAsia="Times New Roman" w:hAnsi="Calibri" w:cs="Calibri"/>
                <w:b/>
                <w:bCs/>
                <w:color w:val="000000"/>
                <w:kern w:val="0"/>
                <w:sz w:val="22"/>
                <w:szCs w:val="22"/>
                <w14:ligatures w14:val="none"/>
              </w:rPr>
              <w:t>Calcineurin inhibitors, %</w:t>
            </w:r>
          </w:p>
        </w:tc>
        <w:tc>
          <w:tcPr>
            <w:tcW w:w="974" w:type="dxa"/>
            <w:shd w:val="clear" w:color="auto" w:fill="auto"/>
            <w:vAlign w:val="center"/>
            <w:hideMark/>
          </w:tcPr>
          <w:p w:rsidR="00107567" w:rsidRPr="00486F2A" w:rsidRDefault="00107567" w:rsidP="0045196C">
            <w:pPr>
              <w:jc w:val="center"/>
              <w:rPr>
                <w:rFonts w:ascii="Calibri" w:eastAsia="Times New Roman" w:hAnsi="Calibri" w:cs="Calibri"/>
                <w:b/>
                <w:bCs/>
                <w:color w:val="000000"/>
                <w:kern w:val="0"/>
                <w:sz w:val="22"/>
                <w:szCs w:val="22"/>
                <w14:ligatures w14:val="none"/>
              </w:rPr>
            </w:pPr>
            <w:r w:rsidRPr="00486F2A">
              <w:rPr>
                <w:rFonts w:ascii="Calibri" w:eastAsia="Times New Roman" w:hAnsi="Calibri" w:cs="Calibri"/>
                <w:b/>
                <w:bCs/>
                <w:color w:val="000000"/>
                <w:kern w:val="0"/>
                <w:sz w:val="22"/>
                <w:szCs w:val="22"/>
                <w14:ligatures w14:val="none"/>
              </w:rPr>
              <w:t>Phototherapy, %</w:t>
            </w:r>
          </w:p>
        </w:tc>
        <w:tc>
          <w:tcPr>
            <w:tcW w:w="1294" w:type="dxa"/>
            <w:shd w:val="clear" w:color="auto" w:fill="auto"/>
            <w:vAlign w:val="center"/>
            <w:hideMark/>
          </w:tcPr>
          <w:p w:rsidR="00107567" w:rsidRPr="00486F2A" w:rsidRDefault="00107567" w:rsidP="0045196C">
            <w:pPr>
              <w:jc w:val="center"/>
              <w:rPr>
                <w:rFonts w:ascii="Calibri" w:eastAsia="Times New Roman" w:hAnsi="Calibri" w:cs="Calibri"/>
                <w:b/>
                <w:bCs/>
                <w:color w:val="000000"/>
                <w:kern w:val="0"/>
                <w:sz w:val="22"/>
                <w:szCs w:val="22"/>
                <w14:ligatures w14:val="none"/>
              </w:rPr>
            </w:pPr>
            <w:r w:rsidRPr="00486F2A">
              <w:rPr>
                <w:rFonts w:ascii="Calibri" w:eastAsia="Times New Roman" w:hAnsi="Calibri" w:cs="Calibri"/>
                <w:b/>
                <w:bCs/>
                <w:color w:val="000000"/>
                <w:kern w:val="0"/>
                <w:sz w:val="22"/>
                <w:szCs w:val="22"/>
                <w14:ligatures w14:val="none"/>
              </w:rPr>
              <w:t>Excimer laser therapy, %</w:t>
            </w:r>
          </w:p>
        </w:tc>
        <w:tc>
          <w:tcPr>
            <w:tcW w:w="1290" w:type="dxa"/>
            <w:shd w:val="clear" w:color="auto" w:fill="auto"/>
            <w:vAlign w:val="center"/>
            <w:hideMark/>
          </w:tcPr>
          <w:p w:rsidR="00107567" w:rsidRPr="00486F2A" w:rsidRDefault="00107567" w:rsidP="0045196C">
            <w:pPr>
              <w:jc w:val="center"/>
              <w:rPr>
                <w:rFonts w:ascii="Calibri" w:eastAsia="Times New Roman" w:hAnsi="Calibri" w:cs="Calibri"/>
                <w:b/>
                <w:bCs/>
                <w:color w:val="000000"/>
                <w:kern w:val="0"/>
                <w:sz w:val="22"/>
                <w:szCs w:val="22"/>
                <w14:ligatures w14:val="none"/>
              </w:rPr>
            </w:pPr>
            <w:r w:rsidRPr="00486F2A">
              <w:rPr>
                <w:rFonts w:ascii="Calibri" w:eastAsia="Times New Roman" w:hAnsi="Calibri" w:cs="Calibri"/>
                <w:b/>
                <w:bCs/>
                <w:color w:val="000000"/>
                <w:kern w:val="0"/>
                <w:sz w:val="22"/>
                <w:szCs w:val="22"/>
                <w14:ligatures w14:val="none"/>
              </w:rPr>
              <w:t>Photochemotherapy, %</w:t>
            </w:r>
          </w:p>
        </w:tc>
        <w:tc>
          <w:tcPr>
            <w:tcW w:w="1134" w:type="dxa"/>
            <w:shd w:val="clear" w:color="auto" w:fill="auto"/>
            <w:vAlign w:val="center"/>
            <w:hideMark/>
          </w:tcPr>
          <w:p w:rsidR="00107567" w:rsidRPr="00486F2A" w:rsidRDefault="00107567" w:rsidP="0045196C">
            <w:pPr>
              <w:jc w:val="center"/>
              <w:rPr>
                <w:rFonts w:ascii="Calibri" w:eastAsia="Times New Roman" w:hAnsi="Calibri" w:cs="Calibri"/>
                <w:b/>
                <w:bCs/>
                <w:color w:val="000000"/>
                <w:kern w:val="0"/>
                <w:sz w:val="22"/>
                <w:szCs w:val="22"/>
                <w14:ligatures w14:val="none"/>
              </w:rPr>
            </w:pPr>
            <w:r w:rsidRPr="00486F2A">
              <w:rPr>
                <w:rFonts w:ascii="Calibri" w:eastAsia="Times New Roman" w:hAnsi="Calibri" w:cs="Calibri"/>
                <w:b/>
                <w:bCs/>
                <w:color w:val="000000"/>
                <w:kern w:val="0"/>
                <w:sz w:val="22"/>
                <w:szCs w:val="22"/>
                <w14:ligatures w14:val="none"/>
              </w:rPr>
              <w:t>Vitamin D derivatives, %</w:t>
            </w:r>
          </w:p>
        </w:tc>
        <w:tc>
          <w:tcPr>
            <w:tcW w:w="1276" w:type="dxa"/>
            <w:gridSpan w:val="2"/>
            <w:shd w:val="clear" w:color="auto" w:fill="auto"/>
            <w:vAlign w:val="center"/>
            <w:hideMark/>
          </w:tcPr>
          <w:p w:rsidR="00107567" w:rsidRPr="00486F2A" w:rsidRDefault="00107567" w:rsidP="0045196C">
            <w:pPr>
              <w:jc w:val="center"/>
              <w:rPr>
                <w:rFonts w:ascii="Calibri" w:eastAsia="Times New Roman" w:hAnsi="Calibri" w:cs="Calibri"/>
                <w:b/>
                <w:bCs/>
                <w:color w:val="000000"/>
                <w:kern w:val="0"/>
                <w:sz w:val="22"/>
                <w:szCs w:val="22"/>
                <w14:ligatures w14:val="none"/>
              </w:rPr>
            </w:pPr>
            <w:r w:rsidRPr="00486F2A">
              <w:rPr>
                <w:rFonts w:ascii="Calibri" w:eastAsia="Times New Roman" w:hAnsi="Calibri" w:cs="Calibri"/>
                <w:b/>
                <w:bCs/>
                <w:color w:val="000000"/>
                <w:kern w:val="0"/>
                <w:sz w:val="22"/>
                <w:szCs w:val="22"/>
                <w14:ligatures w14:val="none"/>
              </w:rPr>
              <w:t>Thyroid disorders, %</w:t>
            </w:r>
          </w:p>
        </w:tc>
        <w:tc>
          <w:tcPr>
            <w:tcW w:w="1134" w:type="dxa"/>
            <w:shd w:val="clear" w:color="auto" w:fill="auto"/>
            <w:vAlign w:val="center"/>
            <w:hideMark/>
          </w:tcPr>
          <w:p w:rsidR="00107567" w:rsidRPr="00486F2A" w:rsidRDefault="00107567" w:rsidP="0045196C">
            <w:pPr>
              <w:jc w:val="center"/>
              <w:rPr>
                <w:rFonts w:ascii="Calibri" w:eastAsia="Times New Roman" w:hAnsi="Calibri" w:cs="Calibri"/>
                <w:b/>
                <w:bCs/>
                <w:color w:val="000000"/>
                <w:kern w:val="0"/>
                <w:sz w:val="22"/>
                <w:szCs w:val="22"/>
                <w14:ligatures w14:val="none"/>
              </w:rPr>
            </w:pPr>
            <w:r w:rsidRPr="00486F2A">
              <w:rPr>
                <w:rFonts w:ascii="Calibri" w:eastAsia="Times New Roman" w:hAnsi="Calibri" w:cs="Calibri"/>
                <w:b/>
                <w:bCs/>
                <w:color w:val="000000"/>
                <w:kern w:val="0"/>
                <w:sz w:val="22"/>
                <w:szCs w:val="22"/>
                <w14:ligatures w14:val="none"/>
              </w:rPr>
              <w:t>Juvenile diabetes, %</w:t>
            </w:r>
          </w:p>
        </w:tc>
        <w:tc>
          <w:tcPr>
            <w:tcW w:w="1261" w:type="dxa"/>
            <w:shd w:val="clear" w:color="auto" w:fill="auto"/>
            <w:vAlign w:val="center"/>
            <w:hideMark/>
          </w:tcPr>
          <w:p w:rsidR="00107567" w:rsidRPr="00486F2A" w:rsidRDefault="00107567" w:rsidP="0045196C">
            <w:pPr>
              <w:jc w:val="center"/>
              <w:rPr>
                <w:rFonts w:ascii="Calibri" w:eastAsia="Times New Roman" w:hAnsi="Calibri" w:cs="Calibri"/>
                <w:b/>
                <w:bCs/>
                <w:color w:val="000000"/>
                <w:kern w:val="0"/>
                <w:sz w:val="22"/>
                <w:szCs w:val="22"/>
                <w14:ligatures w14:val="none"/>
              </w:rPr>
            </w:pPr>
            <w:r w:rsidRPr="00486F2A">
              <w:rPr>
                <w:rFonts w:ascii="Calibri" w:eastAsia="Times New Roman" w:hAnsi="Calibri" w:cs="Calibri"/>
                <w:b/>
                <w:bCs/>
                <w:color w:val="000000"/>
                <w:kern w:val="0"/>
                <w:sz w:val="22"/>
                <w:szCs w:val="22"/>
                <w14:ligatures w14:val="none"/>
              </w:rPr>
              <w:t>Pernicious anaemia, %</w:t>
            </w:r>
          </w:p>
        </w:tc>
      </w:tr>
      <w:tr w:rsidR="00107567" w:rsidRPr="00486F2A" w:rsidTr="0045196C">
        <w:trPr>
          <w:trHeight w:val="340"/>
          <w:jc w:val="center"/>
        </w:trPr>
        <w:tc>
          <w:tcPr>
            <w:tcW w:w="1062" w:type="dxa"/>
            <w:shd w:val="clear" w:color="auto" w:fill="auto"/>
            <w:vAlign w:val="center"/>
            <w:hideMark/>
          </w:tcPr>
          <w:p w:rsidR="00107567" w:rsidRPr="00486F2A" w:rsidRDefault="00107567" w:rsidP="0045196C">
            <w:pPr>
              <w:rPr>
                <w:rFonts w:ascii="Calibri" w:eastAsia="Times New Roman" w:hAnsi="Calibri" w:cs="Calibri"/>
                <w:color w:val="000000"/>
                <w:kern w:val="0"/>
                <w:sz w:val="22"/>
                <w:szCs w:val="22"/>
                <w14:ligatures w14:val="none"/>
              </w:rPr>
            </w:pPr>
            <w:r w:rsidRPr="00486F2A">
              <w:rPr>
                <w:rFonts w:ascii="Calibri" w:eastAsia="Times New Roman" w:hAnsi="Calibri" w:cs="Calibri"/>
                <w:color w:val="000000"/>
                <w:kern w:val="0"/>
                <w:sz w:val="22"/>
                <w:szCs w:val="22"/>
                <w14:ligatures w14:val="none"/>
              </w:rPr>
              <w:t>Rosmarin 2020</w:t>
            </w:r>
          </w:p>
        </w:tc>
        <w:tc>
          <w:tcPr>
            <w:tcW w:w="1343" w:type="dxa"/>
            <w:shd w:val="clear" w:color="auto" w:fill="auto"/>
            <w:noWrap/>
            <w:vAlign w:val="center"/>
            <w:hideMark/>
          </w:tcPr>
          <w:p w:rsidR="00107567" w:rsidRPr="00486F2A" w:rsidRDefault="00107567" w:rsidP="0045196C">
            <w:pPr>
              <w:jc w:val="center"/>
              <w:rPr>
                <w:rFonts w:ascii="Calibri" w:eastAsia="Times New Roman" w:hAnsi="Calibri" w:cs="Calibri"/>
                <w:color w:val="000000"/>
                <w:kern w:val="0"/>
                <w:sz w:val="22"/>
                <w:szCs w:val="22"/>
                <w14:ligatures w14:val="none"/>
              </w:rPr>
            </w:pPr>
            <w:r w:rsidRPr="00486F2A">
              <w:rPr>
                <w:rFonts w:ascii="Calibri" w:eastAsia="Times New Roman" w:hAnsi="Calibri" w:cs="Calibri"/>
                <w:color w:val="000000"/>
                <w:kern w:val="0"/>
                <w:sz w:val="22"/>
                <w:szCs w:val="22"/>
                <w14:ligatures w14:val="none"/>
              </w:rPr>
              <w:t>72, 45.9%</w:t>
            </w:r>
          </w:p>
        </w:tc>
        <w:tc>
          <w:tcPr>
            <w:tcW w:w="1276" w:type="dxa"/>
            <w:shd w:val="clear" w:color="auto" w:fill="auto"/>
            <w:noWrap/>
            <w:vAlign w:val="center"/>
            <w:hideMark/>
          </w:tcPr>
          <w:p w:rsidR="00107567" w:rsidRPr="00486F2A" w:rsidRDefault="00107567" w:rsidP="0045196C">
            <w:pPr>
              <w:jc w:val="center"/>
              <w:rPr>
                <w:rFonts w:ascii="Calibri" w:eastAsia="Times New Roman" w:hAnsi="Calibri" w:cs="Calibri"/>
                <w:color w:val="000000"/>
                <w:kern w:val="0"/>
                <w:sz w:val="22"/>
                <w:szCs w:val="22"/>
                <w14:ligatures w14:val="none"/>
              </w:rPr>
            </w:pPr>
            <w:r w:rsidRPr="00486F2A">
              <w:rPr>
                <w:rFonts w:ascii="Calibri" w:eastAsia="Times New Roman" w:hAnsi="Calibri" w:cs="Calibri"/>
                <w:color w:val="000000"/>
                <w:kern w:val="0"/>
                <w:sz w:val="22"/>
                <w:szCs w:val="22"/>
                <w14:ligatures w14:val="none"/>
              </w:rPr>
              <w:t>70, 44.6%</w:t>
            </w:r>
          </w:p>
        </w:tc>
        <w:tc>
          <w:tcPr>
            <w:tcW w:w="974" w:type="dxa"/>
            <w:shd w:val="clear" w:color="auto" w:fill="auto"/>
            <w:noWrap/>
            <w:vAlign w:val="center"/>
            <w:hideMark/>
          </w:tcPr>
          <w:p w:rsidR="00107567" w:rsidRPr="00486F2A" w:rsidRDefault="00107567" w:rsidP="0045196C">
            <w:pPr>
              <w:jc w:val="center"/>
              <w:rPr>
                <w:rFonts w:ascii="Calibri" w:eastAsia="Times New Roman" w:hAnsi="Calibri" w:cs="Calibri"/>
                <w:color w:val="000000"/>
                <w:kern w:val="0"/>
                <w:sz w:val="22"/>
                <w:szCs w:val="22"/>
                <w14:ligatures w14:val="none"/>
              </w:rPr>
            </w:pPr>
            <w:r w:rsidRPr="00486F2A">
              <w:rPr>
                <w:rFonts w:ascii="Calibri" w:eastAsia="Times New Roman" w:hAnsi="Calibri" w:cs="Calibri"/>
                <w:color w:val="000000"/>
                <w:kern w:val="0"/>
                <w:sz w:val="22"/>
                <w:szCs w:val="22"/>
                <w14:ligatures w14:val="none"/>
              </w:rPr>
              <w:t>55, 35.0%</w:t>
            </w:r>
          </w:p>
        </w:tc>
        <w:tc>
          <w:tcPr>
            <w:tcW w:w="1294" w:type="dxa"/>
            <w:shd w:val="clear" w:color="auto" w:fill="auto"/>
            <w:noWrap/>
            <w:vAlign w:val="center"/>
            <w:hideMark/>
          </w:tcPr>
          <w:p w:rsidR="00107567" w:rsidRPr="00486F2A" w:rsidRDefault="00107567" w:rsidP="0045196C">
            <w:pPr>
              <w:jc w:val="center"/>
              <w:rPr>
                <w:rFonts w:ascii="Calibri" w:eastAsia="Times New Roman" w:hAnsi="Calibri" w:cs="Calibri"/>
                <w:color w:val="000000"/>
                <w:kern w:val="0"/>
                <w:sz w:val="22"/>
                <w:szCs w:val="22"/>
                <w14:ligatures w14:val="none"/>
              </w:rPr>
            </w:pPr>
            <w:r w:rsidRPr="00486F2A">
              <w:rPr>
                <w:rFonts w:ascii="Calibri" w:eastAsia="Times New Roman" w:hAnsi="Calibri" w:cs="Calibri"/>
                <w:color w:val="000000"/>
                <w:kern w:val="0"/>
                <w:sz w:val="22"/>
                <w:szCs w:val="22"/>
                <w14:ligatures w14:val="none"/>
              </w:rPr>
              <w:t>20, 12.7%</w:t>
            </w:r>
          </w:p>
        </w:tc>
        <w:tc>
          <w:tcPr>
            <w:tcW w:w="1290" w:type="dxa"/>
            <w:shd w:val="clear" w:color="auto" w:fill="auto"/>
            <w:noWrap/>
            <w:vAlign w:val="center"/>
            <w:hideMark/>
          </w:tcPr>
          <w:p w:rsidR="00107567" w:rsidRPr="00486F2A" w:rsidRDefault="00107567" w:rsidP="0045196C">
            <w:pPr>
              <w:jc w:val="center"/>
              <w:rPr>
                <w:rFonts w:ascii="Calibri" w:eastAsia="Times New Roman" w:hAnsi="Calibri" w:cs="Calibri"/>
                <w:color w:val="000000"/>
                <w:kern w:val="0"/>
                <w:sz w:val="22"/>
                <w:szCs w:val="22"/>
                <w14:ligatures w14:val="none"/>
              </w:rPr>
            </w:pPr>
            <w:r w:rsidRPr="00486F2A">
              <w:rPr>
                <w:rFonts w:ascii="Calibri" w:eastAsia="Times New Roman" w:hAnsi="Calibri" w:cs="Calibri"/>
                <w:color w:val="000000"/>
                <w:kern w:val="0"/>
                <w:sz w:val="22"/>
                <w:szCs w:val="22"/>
                <w14:ligatures w14:val="none"/>
              </w:rPr>
              <w:t>12, 7.6%</w:t>
            </w:r>
          </w:p>
        </w:tc>
        <w:tc>
          <w:tcPr>
            <w:tcW w:w="1134" w:type="dxa"/>
            <w:shd w:val="clear" w:color="auto" w:fill="auto"/>
            <w:noWrap/>
            <w:vAlign w:val="center"/>
            <w:hideMark/>
          </w:tcPr>
          <w:p w:rsidR="00107567" w:rsidRPr="00486F2A" w:rsidRDefault="00107567" w:rsidP="0045196C">
            <w:pPr>
              <w:jc w:val="center"/>
              <w:rPr>
                <w:rFonts w:ascii="Calibri" w:eastAsia="Times New Roman" w:hAnsi="Calibri" w:cs="Calibri"/>
                <w:color w:val="000000"/>
                <w:kern w:val="0"/>
                <w:sz w:val="22"/>
                <w:szCs w:val="22"/>
                <w14:ligatures w14:val="none"/>
              </w:rPr>
            </w:pPr>
            <w:r w:rsidRPr="00486F2A">
              <w:rPr>
                <w:rFonts w:ascii="Calibri" w:eastAsia="Times New Roman" w:hAnsi="Calibri" w:cs="Calibri"/>
                <w:color w:val="000000"/>
                <w:kern w:val="0"/>
                <w:sz w:val="22"/>
                <w:szCs w:val="22"/>
                <w14:ligatures w14:val="none"/>
              </w:rPr>
              <w:t>7, 4.5%</w:t>
            </w:r>
          </w:p>
        </w:tc>
        <w:tc>
          <w:tcPr>
            <w:tcW w:w="1276" w:type="dxa"/>
            <w:gridSpan w:val="2"/>
            <w:shd w:val="clear" w:color="auto" w:fill="auto"/>
            <w:noWrap/>
            <w:vAlign w:val="center"/>
            <w:hideMark/>
          </w:tcPr>
          <w:p w:rsidR="00107567" w:rsidRPr="00486F2A" w:rsidRDefault="00107567" w:rsidP="0045196C">
            <w:pPr>
              <w:jc w:val="center"/>
              <w:rPr>
                <w:rFonts w:ascii="Calibri" w:eastAsia="Times New Roman" w:hAnsi="Calibri" w:cs="Calibri"/>
                <w:color w:val="000000"/>
                <w:kern w:val="0"/>
                <w:sz w:val="22"/>
                <w:szCs w:val="22"/>
                <w14:ligatures w14:val="none"/>
              </w:rPr>
            </w:pPr>
            <w:r w:rsidRPr="00486F2A">
              <w:rPr>
                <w:rFonts w:ascii="Calibri" w:eastAsia="Times New Roman" w:hAnsi="Calibri" w:cs="Calibri"/>
                <w:color w:val="000000"/>
                <w:kern w:val="0"/>
                <w:sz w:val="22"/>
                <w:szCs w:val="22"/>
                <w14:ligatures w14:val="none"/>
              </w:rPr>
              <w:t>39, 24.8%</w:t>
            </w:r>
          </w:p>
        </w:tc>
        <w:tc>
          <w:tcPr>
            <w:tcW w:w="1134" w:type="dxa"/>
            <w:shd w:val="clear" w:color="auto" w:fill="auto"/>
            <w:noWrap/>
            <w:vAlign w:val="center"/>
            <w:hideMark/>
          </w:tcPr>
          <w:p w:rsidR="00107567" w:rsidRPr="00486F2A" w:rsidRDefault="00107567" w:rsidP="0045196C">
            <w:pPr>
              <w:jc w:val="center"/>
              <w:rPr>
                <w:rFonts w:ascii="Calibri" w:eastAsia="Times New Roman" w:hAnsi="Calibri" w:cs="Calibri"/>
                <w:color w:val="000000"/>
                <w:kern w:val="0"/>
                <w:sz w:val="22"/>
                <w:szCs w:val="22"/>
                <w14:ligatures w14:val="none"/>
              </w:rPr>
            </w:pPr>
            <w:r w:rsidRPr="00486F2A">
              <w:rPr>
                <w:rFonts w:ascii="Calibri" w:eastAsia="Times New Roman" w:hAnsi="Calibri" w:cs="Calibri"/>
                <w:color w:val="000000"/>
                <w:kern w:val="0"/>
                <w:sz w:val="22"/>
                <w:szCs w:val="22"/>
                <w14:ligatures w14:val="none"/>
              </w:rPr>
              <w:t>2, 1.3%</w:t>
            </w:r>
          </w:p>
        </w:tc>
        <w:tc>
          <w:tcPr>
            <w:tcW w:w="1261" w:type="dxa"/>
            <w:shd w:val="clear" w:color="auto" w:fill="auto"/>
            <w:noWrap/>
            <w:vAlign w:val="center"/>
            <w:hideMark/>
          </w:tcPr>
          <w:p w:rsidR="00107567" w:rsidRPr="00486F2A" w:rsidRDefault="00107567" w:rsidP="0045196C">
            <w:pPr>
              <w:jc w:val="center"/>
              <w:rPr>
                <w:rFonts w:ascii="Calibri" w:eastAsia="Times New Roman" w:hAnsi="Calibri" w:cs="Calibri"/>
                <w:color w:val="000000"/>
                <w:kern w:val="0"/>
                <w:sz w:val="22"/>
                <w:szCs w:val="22"/>
                <w14:ligatures w14:val="none"/>
              </w:rPr>
            </w:pPr>
            <w:r w:rsidRPr="00486F2A">
              <w:rPr>
                <w:rFonts w:ascii="Calibri" w:eastAsia="Times New Roman" w:hAnsi="Calibri" w:cs="Calibri"/>
                <w:color w:val="000000"/>
                <w:kern w:val="0"/>
                <w:sz w:val="22"/>
                <w:szCs w:val="22"/>
                <w14:ligatures w14:val="none"/>
              </w:rPr>
              <w:t>1, 0.6%</w:t>
            </w:r>
          </w:p>
        </w:tc>
      </w:tr>
      <w:tr w:rsidR="00107567" w:rsidRPr="00486F2A" w:rsidTr="0045196C">
        <w:trPr>
          <w:trHeight w:val="680"/>
          <w:jc w:val="center"/>
        </w:trPr>
        <w:tc>
          <w:tcPr>
            <w:tcW w:w="1062" w:type="dxa"/>
            <w:shd w:val="clear" w:color="auto" w:fill="auto"/>
            <w:vAlign w:val="center"/>
            <w:hideMark/>
          </w:tcPr>
          <w:p w:rsidR="00107567" w:rsidRPr="00486F2A" w:rsidRDefault="00107567" w:rsidP="0045196C">
            <w:pPr>
              <w:rPr>
                <w:rFonts w:ascii="Calibri" w:eastAsia="Times New Roman" w:hAnsi="Calibri" w:cs="Calibri"/>
                <w:color w:val="000000"/>
                <w:kern w:val="0"/>
                <w:sz w:val="22"/>
                <w:szCs w:val="22"/>
                <w14:ligatures w14:val="none"/>
              </w:rPr>
            </w:pPr>
            <w:r w:rsidRPr="00486F2A">
              <w:rPr>
                <w:rFonts w:ascii="Calibri" w:eastAsia="Times New Roman" w:hAnsi="Calibri" w:cs="Calibri"/>
                <w:color w:val="000000"/>
                <w:kern w:val="0"/>
                <w:sz w:val="22"/>
                <w:szCs w:val="22"/>
                <w14:ligatures w14:val="none"/>
              </w:rPr>
              <w:t>Rosmarin 2022</w:t>
            </w:r>
            <w:r w:rsidRPr="00486F2A">
              <w:rPr>
                <w:rFonts w:ascii="Calibri" w:eastAsia="Times New Roman" w:hAnsi="Calibri" w:cs="Calibri"/>
                <w:color w:val="000000"/>
                <w:kern w:val="0"/>
                <w:sz w:val="22"/>
                <w:szCs w:val="22"/>
                <w14:ligatures w14:val="none"/>
              </w:rPr>
              <w:br/>
              <w:t>(TRuE-V1)</w:t>
            </w:r>
          </w:p>
        </w:tc>
        <w:tc>
          <w:tcPr>
            <w:tcW w:w="1343" w:type="dxa"/>
            <w:shd w:val="clear" w:color="auto" w:fill="auto"/>
            <w:noWrap/>
            <w:vAlign w:val="center"/>
            <w:hideMark/>
          </w:tcPr>
          <w:p w:rsidR="00107567" w:rsidRPr="00486F2A" w:rsidRDefault="00107567" w:rsidP="0045196C">
            <w:pPr>
              <w:jc w:val="center"/>
              <w:rPr>
                <w:rFonts w:ascii="Calibri" w:eastAsia="Times New Roman" w:hAnsi="Calibri" w:cs="Calibri"/>
                <w:color w:val="000000"/>
                <w:kern w:val="0"/>
                <w:sz w:val="22"/>
                <w:szCs w:val="22"/>
                <w14:ligatures w14:val="none"/>
              </w:rPr>
            </w:pPr>
            <w:r w:rsidRPr="00486F2A">
              <w:rPr>
                <w:rFonts w:ascii="Calibri" w:eastAsia="Times New Roman" w:hAnsi="Calibri" w:cs="Calibri"/>
                <w:color w:val="000000"/>
                <w:kern w:val="0"/>
                <w:sz w:val="22"/>
                <w:szCs w:val="22"/>
                <w14:ligatures w14:val="none"/>
              </w:rPr>
              <w:t>95, 28.8%</w:t>
            </w:r>
          </w:p>
        </w:tc>
        <w:tc>
          <w:tcPr>
            <w:tcW w:w="1276" w:type="dxa"/>
            <w:shd w:val="clear" w:color="auto" w:fill="auto"/>
            <w:noWrap/>
            <w:vAlign w:val="center"/>
            <w:hideMark/>
          </w:tcPr>
          <w:p w:rsidR="00107567" w:rsidRPr="00486F2A" w:rsidRDefault="00107567" w:rsidP="0045196C">
            <w:pPr>
              <w:jc w:val="center"/>
              <w:rPr>
                <w:rFonts w:ascii="Calibri" w:eastAsia="Times New Roman" w:hAnsi="Calibri" w:cs="Calibri"/>
                <w:color w:val="000000"/>
                <w:kern w:val="0"/>
                <w:sz w:val="22"/>
                <w:szCs w:val="22"/>
                <w14:ligatures w14:val="none"/>
              </w:rPr>
            </w:pPr>
            <w:r w:rsidRPr="00486F2A">
              <w:rPr>
                <w:rFonts w:ascii="Calibri" w:eastAsia="Times New Roman" w:hAnsi="Calibri" w:cs="Calibri"/>
                <w:color w:val="000000"/>
                <w:kern w:val="0"/>
                <w:sz w:val="22"/>
                <w:szCs w:val="22"/>
                <w14:ligatures w14:val="none"/>
              </w:rPr>
              <w:t>103, 31.2%</w:t>
            </w:r>
          </w:p>
        </w:tc>
        <w:tc>
          <w:tcPr>
            <w:tcW w:w="974" w:type="dxa"/>
            <w:shd w:val="clear" w:color="auto" w:fill="auto"/>
            <w:noWrap/>
            <w:vAlign w:val="center"/>
            <w:hideMark/>
          </w:tcPr>
          <w:p w:rsidR="00107567" w:rsidRPr="00486F2A" w:rsidRDefault="00107567" w:rsidP="0045196C">
            <w:pPr>
              <w:jc w:val="center"/>
              <w:rPr>
                <w:rFonts w:ascii="Calibri" w:eastAsia="Times New Roman" w:hAnsi="Calibri" w:cs="Calibri"/>
                <w:color w:val="000000"/>
                <w:kern w:val="0"/>
                <w:sz w:val="22"/>
                <w:szCs w:val="22"/>
                <w14:ligatures w14:val="none"/>
              </w:rPr>
            </w:pPr>
            <w:r w:rsidRPr="00486F2A">
              <w:rPr>
                <w:rFonts w:ascii="Calibri" w:eastAsia="Times New Roman" w:hAnsi="Calibri" w:cs="Calibri"/>
                <w:color w:val="000000"/>
                <w:kern w:val="0"/>
                <w:sz w:val="22"/>
                <w:szCs w:val="22"/>
                <w14:ligatures w14:val="none"/>
              </w:rPr>
              <w:t>61, 18.5%</w:t>
            </w:r>
          </w:p>
        </w:tc>
        <w:tc>
          <w:tcPr>
            <w:tcW w:w="1294" w:type="dxa"/>
            <w:shd w:val="clear" w:color="auto" w:fill="auto"/>
            <w:noWrap/>
            <w:vAlign w:val="center"/>
            <w:hideMark/>
          </w:tcPr>
          <w:p w:rsidR="00107567" w:rsidRPr="00486F2A" w:rsidRDefault="00107567" w:rsidP="0045196C">
            <w:pPr>
              <w:jc w:val="center"/>
              <w:rPr>
                <w:rFonts w:ascii="Calibri" w:eastAsia="Times New Roman" w:hAnsi="Calibri" w:cs="Calibri"/>
                <w:color w:val="000000"/>
                <w:kern w:val="0"/>
                <w:sz w:val="22"/>
                <w:szCs w:val="22"/>
                <w14:ligatures w14:val="none"/>
              </w:rPr>
            </w:pPr>
            <w:r w:rsidRPr="00486F2A">
              <w:rPr>
                <w:rFonts w:ascii="Calibri" w:eastAsia="Times New Roman" w:hAnsi="Calibri" w:cs="Calibri"/>
                <w:color w:val="000000"/>
                <w:kern w:val="0"/>
                <w:sz w:val="22"/>
                <w:szCs w:val="22"/>
                <w14:ligatures w14:val="none"/>
              </w:rPr>
              <w:t>16, 4.8%</w:t>
            </w:r>
          </w:p>
        </w:tc>
        <w:tc>
          <w:tcPr>
            <w:tcW w:w="1290" w:type="dxa"/>
            <w:shd w:val="clear" w:color="auto" w:fill="auto"/>
            <w:noWrap/>
            <w:vAlign w:val="center"/>
            <w:hideMark/>
          </w:tcPr>
          <w:p w:rsidR="00107567" w:rsidRPr="00486F2A" w:rsidRDefault="00107567" w:rsidP="0045196C">
            <w:pPr>
              <w:jc w:val="center"/>
              <w:rPr>
                <w:rFonts w:ascii="Calibri" w:eastAsia="Times New Roman" w:hAnsi="Calibri" w:cs="Calibri"/>
                <w:color w:val="000000"/>
                <w:kern w:val="0"/>
                <w:sz w:val="22"/>
                <w:szCs w:val="22"/>
                <w14:ligatures w14:val="none"/>
              </w:rPr>
            </w:pPr>
            <w:r w:rsidRPr="00486F2A">
              <w:rPr>
                <w:rFonts w:ascii="Calibri" w:eastAsia="Times New Roman" w:hAnsi="Calibri" w:cs="Calibri"/>
                <w:color w:val="000000"/>
                <w:kern w:val="0"/>
                <w:sz w:val="22"/>
                <w:szCs w:val="22"/>
                <w14:ligatures w14:val="none"/>
              </w:rPr>
              <w:t>12, 3.6%</w:t>
            </w:r>
          </w:p>
        </w:tc>
        <w:tc>
          <w:tcPr>
            <w:tcW w:w="1134" w:type="dxa"/>
            <w:shd w:val="clear" w:color="auto" w:fill="auto"/>
            <w:noWrap/>
            <w:vAlign w:val="center"/>
            <w:hideMark/>
          </w:tcPr>
          <w:p w:rsidR="00107567" w:rsidRPr="00486F2A" w:rsidRDefault="00107567" w:rsidP="0045196C">
            <w:pPr>
              <w:jc w:val="center"/>
              <w:rPr>
                <w:rFonts w:ascii="Calibri" w:eastAsia="Times New Roman" w:hAnsi="Calibri" w:cs="Calibri"/>
                <w:color w:val="000000"/>
                <w:kern w:val="0"/>
                <w:sz w:val="22"/>
                <w:szCs w:val="22"/>
                <w14:ligatures w14:val="none"/>
              </w:rPr>
            </w:pPr>
            <w:r w:rsidRPr="00486F2A">
              <w:rPr>
                <w:rFonts w:ascii="Calibri" w:eastAsia="Times New Roman" w:hAnsi="Calibri" w:cs="Calibri"/>
                <w:color w:val="000000"/>
                <w:kern w:val="0"/>
                <w:sz w:val="22"/>
                <w:szCs w:val="22"/>
                <w14:ligatures w14:val="none"/>
              </w:rPr>
              <w:t>6, 1.8%</w:t>
            </w:r>
          </w:p>
        </w:tc>
        <w:tc>
          <w:tcPr>
            <w:tcW w:w="1276" w:type="dxa"/>
            <w:gridSpan w:val="2"/>
            <w:shd w:val="clear" w:color="auto" w:fill="auto"/>
            <w:noWrap/>
            <w:vAlign w:val="center"/>
            <w:hideMark/>
          </w:tcPr>
          <w:p w:rsidR="00107567" w:rsidRPr="00486F2A" w:rsidRDefault="00107567" w:rsidP="0045196C">
            <w:pPr>
              <w:jc w:val="center"/>
              <w:rPr>
                <w:rFonts w:ascii="Calibri" w:eastAsia="Times New Roman" w:hAnsi="Calibri" w:cs="Calibri"/>
                <w:color w:val="000000"/>
                <w:kern w:val="0"/>
                <w:sz w:val="22"/>
                <w:szCs w:val="22"/>
                <w14:ligatures w14:val="none"/>
              </w:rPr>
            </w:pPr>
            <w:r w:rsidRPr="00486F2A">
              <w:rPr>
                <w:rFonts w:ascii="Calibri" w:eastAsia="Times New Roman" w:hAnsi="Calibri" w:cs="Calibri"/>
                <w:color w:val="000000"/>
                <w:kern w:val="0"/>
                <w:sz w:val="22"/>
                <w:szCs w:val="22"/>
                <w14:ligatures w14:val="none"/>
              </w:rPr>
              <w:t>67, 42.7%</w:t>
            </w:r>
          </w:p>
        </w:tc>
        <w:tc>
          <w:tcPr>
            <w:tcW w:w="1134" w:type="dxa"/>
            <w:shd w:val="clear" w:color="auto" w:fill="auto"/>
            <w:noWrap/>
            <w:vAlign w:val="center"/>
            <w:hideMark/>
          </w:tcPr>
          <w:p w:rsidR="00107567" w:rsidRPr="00486F2A" w:rsidRDefault="00107567" w:rsidP="0045196C">
            <w:pPr>
              <w:jc w:val="center"/>
              <w:rPr>
                <w:rFonts w:ascii="Calibri" w:eastAsia="Times New Roman" w:hAnsi="Calibri" w:cs="Calibri"/>
                <w:color w:val="000000"/>
                <w:kern w:val="0"/>
                <w:sz w:val="22"/>
                <w:szCs w:val="22"/>
                <w14:ligatures w14:val="none"/>
              </w:rPr>
            </w:pPr>
            <w:r w:rsidRPr="00486F2A">
              <w:rPr>
                <w:rFonts w:ascii="Calibri" w:eastAsia="Times New Roman" w:hAnsi="Calibri" w:cs="Calibri"/>
                <w:color w:val="000000"/>
                <w:kern w:val="0"/>
                <w:sz w:val="22"/>
                <w:szCs w:val="22"/>
                <w14:ligatures w14:val="none"/>
              </w:rPr>
              <w:t>1, 0.6%</w:t>
            </w:r>
          </w:p>
        </w:tc>
        <w:tc>
          <w:tcPr>
            <w:tcW w:w="1261" w:type="dxa"/>
            <w:shd w:val="clear" w:color="auto" w:fill="auto"/>
            <w:noWrap/>
            <w:vAlign w:val="center"/>
            <w:hideMark/>
          </w:tcPr>
          <w:p w:rsidR="00107567" w:rsidRPr="00486F2A" w:rsidRDefault="00107567" w:rsidP="0045196C">
            <w:pPr>
              <w:jc w:val="center"/>
              <w:rPr>
                <w:rFonts w:ascii="Calibri" w:eastAsia="Times New Roman" w:hAnsi="Calibri" w:cs="Calibri"/>
                <w:color w:val="000000"/>
                <w:kern w:val="0"/>
                <w:sz w:val="22"/>
                <w:szCs w:val="22"/>
                <w14:ligatures w14:val="none"/>
              </w:rPr>
            </w:pPr>
            <w:r w:rsidRPr="00486F2A">
              <w:rPr>
                <w:rFonts w:ascii="Calibri" w:eastAsia="Times New Roman" w:hAnsi="Calibri" w:cs="Calibri"/>
                <w:color w:val="000000"/>
                <w:kern w:val="0"/>
                <w:sz w:val="22"/>
                <w:szCs w:val="22"/>
                <w14:ligatures w14:val="none"/>
              </w:rPr>
              <w:t>1, 0.3%</w:t>
            </w:r>
          </w:p>
        </w:tc>
      </w:tr>
      <w:tr w:rsidR="00107567" w:rsidRPr="00486F2A" w:rsidTr="0045196C">
        <w:trPr>
          <w:trHeight w:val="680"/>
          <w:jc w:val="center"/>
        </w:trPr>
        <w:tc>
          <w:tcPr>
            <w:tcW w:w="1062" w:type="dxa"/>
            <w:shd w:val="clear" w:color="auto" w:fill="auto"/>
            <w:vAlign w:val="center"/>
            <w:hideMark/>
          </w:tcPr>
          <w:p w:rsidR="00107567" w:rsidRPr="00486F2A" w:rsidRDefault="00107567" w:rsidP="0045196C">
            <w:pPr>
              <w:rPr>
                <w:rFonts w:ascii="Calibri" w:eastAsia="Times New Roman" w:hAnsi="Calibri" w:cs="Calibri"/>
                <w:color w:val="000000"/>
                <w:kern w:val="0"/>
                <w:sz w:val="22"/>
                <w:szCs w:val="22"/>
                <w14:ligatures w14:val="none"/>
              </w:rPr>
            </w:pPr>
            <w:r w:rsidRPr="00486F2A">
              <w:rPr>
                <w:rFonts w:ascii="Calibri" w:eastAsia="Times New Roman" w:hAnsi="Calibri" w:cs="Calibri"/>
                <w:color w:val="000000"/>
                <w:kern w:val="0"/>
                <w:sz w:val="22"/>
                <w:szCs w:val="22"/>
                <w14:ligatures w14:val="none"/>
              </w:rPr>
              <w:t>Rosmarin 2022</w:t>
            </w:r>
            <w:r w:rsidRPr="00486F2A">
              <w:rPr>
                <w:rFonts w:ascii="Calibri" w:eastAsia="Times New Roman" w:hAnsi="Calibri" w:cs="Calibri"/>
                <w:color w:val="000000"/>
                <w:kern w:val="0"/>
                <w:sz w:val="22"/>
                <w:szCs w:val="22"/>
                <w14:ligatures w14:val="none"/>
              </w:rPr>
              <w:br/>
              <w:t>(TRuE-V2)</w:t>
            </w:r>
          </w:p>
        </w:tc>
        <w:tc>
          <w:tcPr>
            <w:tcW w:w="1343" w:type="dxa"/>
            <w:shd w:val="clear" w:color="auto" w:fill="auto"/>
            <w:noWrap/>
            <w:vAlign w:val="center"/>
            <w:hideMark/>
          </w:tcPr>
          <w:p w:rsidR="00107567" w:rsidRPr="00486F2A" w:rsidRDefault="00107567" w:rsidP="0045196C">
            <w:pPr>
              <w:jc w:val="center"/>
              <w:rPr>
                <w:rFonts w:ascii="Calibri" w:eastAsia="Times New Roman" w:hAnsi="Calibri" w:cs="Calibri"/>
                <w:color w:val="000000"/>
                <w:kern w:val="0"/>
                <w:sz w:val="22"/>
                <w:szCs w:val="22"/>
                <w14:ligatures w14:val="none"/>
              </w:rPr>
            </w:pPr>
            <w:r w:rsidRPr="00486F2A">
              <w:rPr>
                <w:rFonts w:ascii="Calibri" w:eastAsia="Times New Roman" w:hAnsi="Calibri" w:cs="Calibri"/>
                <w:color w:val="000000"/>
                <w:kern w:val="0"/>
                <w:sz w:val="22"/>
                <w:szCs w:val="22"/>
                <w14:ligatures w14:val="none"/>
              </w:rPr>
              <w:t>94, 27.4%</w:t>
            </w:r>
          </w:p>
        </w:tc>
        <w:tc>
          <w:tcPr>
            <w:tcW w:w="1276" w:type="dxa"/>
            <w:shd w:val="clear" w:color="auto" w:fill="auto"/>
            <w:noWrap/>
            <w:vAlign w:val="center"/>
            <w:hideMark/>
          </w:tcPr>
          <w:p w:rsidR="00107567" w:rsidRPr="00486F2A" w:rsidRDefault="00107567" w:rsidP="0045196C">
            <w:pPr>
              <w:jc w:val="center"/>
              <w:rPr>
                <w:rFonts w:ascii="Calibri" w:eastAsia="Times New Roman" w:hAnsi="Calibri" w:cs="Calibri"/>
                <w:color w:val="000000"/>
                <w:kern w:val="0"/>
                <w:sz w:val="22"/>
                <w:szCs w:val="22"/>
                <w14:ligatures w14:val="none"/>
              </w:rPr>
            </w:pPr>
            <w:r w:rsidRPr="00486F2A">
              <w:rPr>
                <w:rFonts w:ascii="Calibri" w:eastAsia="Times New Roman" w:hAnsi="Calibri" w:cs="Calibri"/>
                <w:color w:val="000000"/>
                <w:kern w:val="0"/>
                <w:sz w:val="22"/>
                <w:szCs w:val="22"/>
                <w14:ligatures w14:val="none"/>
              </w:rPr>
              <w:t>111, 32.4%</w:t>
            </w:r>
          </w:p>
        </w:tc>
        <w:tc>
          <w:tcPr>
            <w:tcW w:w="974" w:type="dxa"/>
            <w:shd w:val="clear" w:color="auto" w:fill="auto"/>
            <w:noWrap/>
            <w:vAlign w:val="center"/>
            <w:hideMark/>
          </w:tcPr>
          <w:p w:rsidR="00107567" w:rsidRPr="00486F2A" w:rsidRDefault="00107567" w:rsidP="0045196C">
            <w:pPr>
              <w:jc w:val="center"/>
              <w:rPr>
                <w:rFonts w:ascii="Calibri" w:eastAsia="Times New Roman" w:hAnsi="Calibri" w:cs="Calibri"/>
                <w:color w:val="000000"/>
                <w:kern w:val="0"/>
                <w:sz w:val="22"/>
                <w:szCs w:val="22"/>
                <w14:ligatures w14:val="none"/>
              </w:rPr>
            </w:pPr>
            <w:r w:rsidRPr="00486F2A">
              <w:rPr>
                <w:rFonts w:ascii="Calibri" w:eastAsia="Times New Roman" w:hAnsi="Calibri" w:cs="Calibri"/>
                <w:color w:val="000000"/>
                <w:kern w:val="0"/>
                <w:sz w:val="22"/>
                <w:szCs w:val="22"/>
                <w14:ligatures w14:val="none"/>
              </w:rPr>
              <w:t>79, 23.0%</w:t>
            </w:r>
          </w:p>
        </w:tc>
        <w:tc>
          <w:tcPr>
            <w:tcW w:w="1294" w:type="dxa"/>
            <w:shd w:val="clear" w:color="auto" w:fill="auto"/>
            <w:noWrap/>
            <w:vAlign w:val="center"/>
            <w:hideMark/>
          </w:tcPr>
          <w:p w:rsidR="00107567" w:rsidRPr="00486F2A" w:rsidRDefault="00107567" w:rsidP="0045196C">
            <w:pPr>
              <w:jc w:val="center"/>
              <w:rPr>
                <w:rFonts w:ascii="Calibri" w:eastAsia="Times New Roman" w:hAnsi="Calibri" w:cs="Calibri"/>
                <w:color w:val="000000"/>
                <w:kern w:val="0"/>
                <w:sz w:val="22"/>
                <w:szCs w:val="22"/>
                <w14:ligatures w14:val="none"/>
              </w:rPr>
            </w:pPr>
            <w:r w:rsidRPr="00486F2A">
              <w:rPr>
                <w:rFonts w:ascii="Calibri" w:eastAsia="Times New Roman" w:hAnsi="Calibri" w:cs="Calibri"/>
                <w:color w:val="000000"/>
                <w:kern w:val="0"/>
                <w:sz w:val="22"/>
                <w:szCs w:val="22"/>
                <w14:ligatures w14:val="none"/>
              </w:rPr>
              <w:t>30, 8.7%</w:t>
            </w:r>
          </w:p>
        </w:tc>
        <w:tc>
          <w:tcPr>
            <w:tcW w:w="1290" w:type="dxa"/>
            <w:shd w:val="clear" w:color="auto" w:fill="auto"/>
            <w:noWrap/>
            <w:vAlign w:val="center"/>
            <w:hideMark/>
          </w:tcPr>
          <w:p w:rsidR="00107567" w:rsidRPr="00486F2A" w:rsidRDefault="00107567" w:rsidP="0045196C">
            <w:pPr>
              <w:jc w:val="center"/>
              <w:rPr>
                <w:rFonts w:ascii="Calibri" w:eastAsia="Times New Roman" w:hAnsi="Calibri" w:cs="Calibri"/>
                <w:color w:val="000000"/>
                <w:kern w:val="0"/>
                <w:sz w:val="22"/>
                <w:szCs w:val="22"/>
                <w14:ligatures w14:val="none"/>
              </w:rPr>
            </w:pPr>
            <w:r w:rsidRPr="00486F2A">
              <w:rPr>
                <w:rFonts w:ascii="Calibri" w:eastAsia="Times New Roman" w:hAnsi="Calibri" w:cs="Calibri"/>
                <w:color w:val="000000"/>
                <w:kern w:val="0"/>
                <w:sz w:val="22"/>
                <w:szCs w:val="22"/>
                <w14:ligatures w14:val="none"/>
              </w:rPr>
              <w:t>23, 6.7%</w:t>
            </w:r>
          </w:p>
        </w:tc>
        <w:tc>
          <w:tcPr>
            <w:tcW w:w="1134" w:type="dxa"/>
            <w:shd w:val="clear" w:color="auto" w:fill="auto"/>
            <w:noWrap/>
            <w:vAlign w:val="center"/>
            <w:hideMark/>
          </w:tcPr>
          <w:p w:rsidR="00107567" w:rsidRPr="00486F2A" w:rsidRDefault="00107567" w:rsidP="0045196C">
            <w:pPr>
              <w:jc w:val="center"/>
              <w:rPr>
                <w:rFonts w:ascii="Calibri" w:eastAsia="Times New Roman" w:hAnsi="Calibri" w:cs="Calibri"/>
                <w:color w:val="000000"/>
                <w:kern w:val="0"/>
                <w:sz w:val="22"/>
                <w:szCs w:val="22"/>
                <w14:ligatures w14:val="none"/>
              </w:rPr>
            </w:pPr>
            <w:r w:rsidRPr="00486F2A">
              <w:rPr>
                <w:rFonts w:ascii="Calibri" w:eastAsia="Times New Roman" w:hAnsi="Calibri" w:cs="Calibri"/>
                <w:color w:val="000000"/>
                <w:kern w:val="0"/>
                <w:sz w:val="22"/>
                <w:szCs w:val="22"/>
                <w14:ligatures w14:val="none"/>
              </w:rPr>
              <w:t>1, 0.3%</w:t>
            </w:r>
          </w:p>
        </w:tc>
        <w:tc>
          <w:tcPr>
            <w:tcW w:w="1276" w:type="dxa"/>
            <w:gridSpan w:val="2"/>
            <w:shd w:val="clear" w:color="auto" w:fill="auto"/>
            <w:noWrap/>
            <w:vAlign w:val="center"/>
            <w:hideMark/>
          </w:tcPr>
          <w:p w:rsidR="00107567" w:rsidRPr="00486F2A" w:rsidRDefault="00107567" w:rsidP="0045196C">
            <w:pPr>
              <w:jc w:val="center"/>
              <w:rPr>
                <w:rFonts w:ascii="Calibri" w:eastAsia="Times New Roman" w:hAnsi="Calibri" w:cs="Calibri"/>
                <w:color w:val="000000"/>
                <w:kern w:val="0"/>
                <w:sz w:val="22"/>
                <w:szCs w:val="22"/>
                <w14:ligatures w14:val="none"/>
              </w:rPr>
            </w:pPr>
            <w:r w:rsidRPr="00486F2A">
              <w:rPr>
                <w:rFonts w:ascii="Calibri" w:eastAsia="Times New Roman" w:hAnsi="Calibri" w:cs="Calibri"/>
                <w:color w:val="000000"/>
                <w:kern w:val="0"/>
                <w:sz w:val="22"/>
                <w:szCs w:val="22"/>
                <w14:ligatures w14:val="none"/>
              </w:rPr>
              <w:t>50, 31.8%</w:t>
            </w:r>
          </w:p>
        </w:tc>
        <w:tc>
          <w:tcPr>
            <w:tcW w:w="1134" w:type="dxa"/>
            <w:shd w:val="clear" w:color="auto" w:fill="auto"/>
            <w:noWrap/>
            <w:vAlign w:val="center"/>
            <w:hideMark/>
          </w:tcPr>
          <w:p w:rsidR="00107567" w:rsidRPr="00486F2A" w:rsidRDefault="00107567" w:rsidP="0045196C">
            <w:pPr>
              <w:jc w:val="center"/>
              <w:rPr>
                <w:rFonts w:ascii="Calibri" w:eastAsia="Times New Roman" w:hAnsi="Calibri" w:cs="Calibri"/>
                <w:color w:val="000000"/>
                <w:kern w:val="0"/>
                <w:sz w:val="22"/>
                <w:szCs w:val="22"/>
                <w14:ligatures w14:val="none"/>
              </w:rPr>
            </w:pPr>
            <w:r w:rsidRPr="00486F2A">
              <w:rPr>
                <w:rFonts w:ascii="Calibri" w:eastAsia="Times New Roman" w:hAnsi="Calibri" w:cs="Calibri"/>
                <w:color w:val="000000"/>
                <w:kern w:val="0"/>
                <w:sz w:val="22"/>
                <w:szCs w:val="22"/>
                <w14:ligatures w14:val="none"/>
              </w:rPr>
              <w:t>0, 0%</w:t>
            </w:r>
          </w:p>
        </w:tc>
        <w:tc>
          <w:tcPr>
            <w:tcW w:w="1261" w:type="dxa"/>
            <w:shd w:val="clear" w:color="auto" w:fill="auto"/>
            <w:noWrap/>
            <w:vAlign w:val="center"/>
            <w:hideMark/>
          </w:tcPr>
          <w:p w:rsidR="00107567" w:rsidRPr="00486F2A" w:rsidRDefault="00107567" w:rsidP="0045196C">
            <w:pPr>
              <w:jc w:val="center"/>
              <w:rPr>
                <w:rFonts w:ascii="Calibri" w:eastAsia="Times New Roman" w:hAnsi="Calibri" w:cs="Calibri"/>
                <w:color w:val="000000"/>
                <w:kern w:val="0"/>
                <w:sz w:val="22"/>
                <w:szCs w:val="22"/>
                <w14:ligatures w14:val="none"/>
              </w:rPr>
            </w:pPr>
            <w:r w:rsidRPr="00486F2A">
              <w:rPr>
                <w:rFonts w:ascii="Calibri" w:eastAsia="Times New Roman" w:hAnsi="Calibri" w:cs="Calibri"/>
                <w:color w:val="000000"/>
                <w:kern w:val="0"/>
                <w:sz w:val="22"/>
                <w:szCs w:val="22"/>
                <w14:ligatures w14:val="none"/>
              </w:rPr>
              <w:t>0, 0%</w:t>
            </w:r>
          </w:p>
        </w:tc>
      </w:tr>
    </w:tbl>
    <w:p w:rsidR="00107567" w:rsidRDefault="00107567" w:rsidP="00107567"/>
    <w:p w:rsidR="00107567" w:rsidRDefault="00107567"/>
    <w:p w:rsidR="0022737D" w:rsidRDefault="0022737D"/>
    <w:p w:rsidR="0022737D" w:rsidRDefault="0022737D"/>
    <w:p w:rsidR="0022737D" w:rsidRDefault="0022737D"/>
    <w:p w:rsidR="0022737D" w:rsidRDefault="0022737D"/>
    <w:p w:rsidR="0022737D" w:rsidRDefault="0022737D"/>
    <w:p w:rsidR="0022737D" w:rsidRDefault="0022737D"/>
    <w:p w:rsidR="0022737D" w:rsidRDefault="0022737D"/>
    <w:p w:rsidR="0022737D" w:rsidRDefault="0022737D"/>
    <w:p w:rsidR="0022737D" w:rsidRDefault="0022737D"/>
    <w:p w:rsidR="0022737D" w:rsidRDefault="0022737D"/>
    <w:p w:rsidR="0022737D" w:rsidRDefault="0022737D"/>
    <w:p w:rsidR="0022737D" w:rsidRDefault="0022737D"/>
    <w:p w:rsidR="0022737D" w:rsidRDefault="0022737D"/>
    <w:p w:rsidR="0022737D" w:rsidRDefault="0022737D"/>
    <w:p w:rsidR="0022737D" w:rsidRDefault="0022737D"/>
    <w:p w:rsidR="0022737D" w:rsidRDefault="0022737D"/>
    <w:p w:rsidR="0022737D" w:rsidRDefault="0022737D"/>
    <w:p w:rsidR="0022737D" w:rsidRDefault="0022737D"/>
    <w:p w:rsidR="0022737D" w:rsidRDefault="0022737D"/>
    <w:p w:rsidR="0022737D" w:rsidRDefault="0022737D"/>
    <w:p w:rsidR="0022737D" w:rsidRDefault="0022737D"/>
    <w:p w:rsidR="0022737D" w:rsidRDefault="0022737D"/>
    <w:p w:rsidR="0022737D" w:rsidRDefault="0022737D"/>
    <w:p w:rsidR="0022737D" w:rsidRDefault="0022737D"/>
    <w:p w:rsidR="0022737D" w:rsidRDefault="0022737D"/>
    <w:p w:rsidR="0022737D" w:rsidRDefault="0022737D"/>
    <w:p w:rsidR="0022737D" w:rsidRDefault="0022737D">
      <w:pPr>
        <w:sectPr w:rsidR="0022737D">
          <w:pgSz w:w="12240" w:h="15840"/>
          <w:pgMar w:top="1440" w:right="1440" w:bottom="1440" w:left="1440" w:header="708" w:footer="708" w:gutter="0"/>
          <w:cols w:space="708"/>
          <w:docGrid w:linePitch="360"/>
        </w:sectPr>
      </w:pPr>
    </w:p>
    <w:p w:rsidR="0022737D" w:rsidRPr="00592BEE" w:rsidRDefault="00D16C8A">
      <w:pPr>
        <w:rPr>
          <w:sz w:val="22"/>
          <w:szCs w:val="22"/>
        </w:rPr>
      </w:pPr>
      <w:r>
        <w:rPr>
          <w:b/>
          <w:bCs/>
          <w:sz w:val="22"/>
          <w:szCs w:val="22"/>
        </w:rPr>
        <w:lastRenderedPageBreak/>
        <w:t>Supplement t</w:t>
      </w:r>
      <w:r w:rsidR="00452F74" w:rsidRPr="00592BEE">
        <w:rPr>
          <w:b/>
          <w:bCs/>
          <w:sz w:val="22"/>
          <w:szCs w:val="22"/>
        </w:rPr>
        <w:t xml:space="preserve">able </w:t>
      </w:r>
      <w:r>
        <w:rPr>
          <w:b/>
          <w:bCs/>
          <w:sz w:val="22"/>
          <w:szCs w:val="22"/>
        </w:rPr>
        <w:t>4</w:t>
      </w:r>
      <w:r w:rsidR="00452F74" w:rsidRPr="00592BEE">
        <w:rPr>
          <w:b/>
          <w:bCs/>
          <w:sz w:val="22"/>
          <w:szCs w:val="22"/>
        </w:rPr>
        <w:t>.</w:t>
      </w:r>
      <w:r w:rsidR="00452F74" w:rsidRPr="00592BEE">
        <w:rPr>
          <w:sz w:val="22"/>
          <w:szCs w:val="22"/>
        </w:rPr>
        <w:t xml:space="preserve"> </w:t>
      </w:r>
      <w:r w:rsidR="00447B68" w:rsidRPr="00592BEE">
        <w:rPr>
          <w:sz w:val="22"/>
          <w:szCs w:val="22"/>
        </w:rPr>
        <w:t>Risk of bias assessment</w:t>
      </w:r>
    </w:p>
    <w:tbl>
      <w:tblPr>
        <w:tblW w:w="15101" w:type="dxa"/>
        <w:jc w:val="center"/>
        <w:tblLayout w:type="fixed"/>
        <w:tblLook w:val="04A0" w:firstRow="1" w:lastRow="0" w:firstColumn="1" w:lastColumn="0" w:noHBand="0" w:noVBand="1"/>
      </w:tblPr>
      <w:tblGrid>
        <w:gridCol w:w="2830"/>
        <w:gridCol w:w="2460"/>
        <w:gridCol w:w="1720"/>
        <w:gridCol w:w="1660"/>
        <w:gridCol w:w="1660"/>
        <w:gridCol w:w="1660"/>
        <w:gridCol w:w="1660"/>
        <w:gridCol w:w="1451"/>
      </w:tblGrid>
      <w:tr w:rsidR="0022737D" w:rsidRPr="00592BEE" w:rsidTr="0022737D">
        <w:trPr>
          <w:trHeight w:val="1500"/>
          <w:jc w:val="center"/>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737D" w:rsidRPr="00592BEE" w:rsidRDefault="0022737D" w:rsidP="0022737D">
            <w:pPr>
              <w:jc w:val="center"/>
              <w:rPr>
                <w:rFonts w:ascii="Calibri" w:eastAsia="Times New Roman" w:hAnsi="Calibri" w:cs="Calibri"/>
                <w:b/>
                <w:bCs/>
                <w:color w:val="000000"/>
                <w:kern w:val="0"/>
                <w:sz w:val="22"/>
                <w:szCs w:val="22"/>
                <w14:ligatures w14:val="none"/>
              </w:rPr>
            </w:pPr>
            <w:r w:rsidRPr="00592BEE">
              <w:rPr>
                <w:rFonts w:ascii="Calibri" w:eastAsia="Times New Roman" w:hAnsi="Calibri" w:cs="Calibri"/>
                <w:b/>
                <w:bCs/>
                <w:color w:val="000000"/>
                <w:kern w:val="0"/>
                <w:sz w:val="22"/>
                <w:szCs w:val="22"/>
                <w14:ligatures w14:val="none"/>
              </w:rPr>
              <w:t>Study</w:t>
            </w:r>
          </w:p>
        </w:tc>
        <w:tc>
          <w:tcPr>
            <w:tcW w:w="2460" w:type="dxa"/>
            <w:tcBorders>
              <w:top w:val="single" w:sz="4" w:space="0" w:color="auto"/>
              <w:left w:val="nil"/>
              <w:bottom w:val="single" w:sz="4" w:space="0" w:color="auto"/>
              <w:right w:val="single" w:sz="4" w:space="0" w:color="auto"/>
            </w:tcBorders>
            <w:shd w:val="clear" w:color="auto" w:fill="auto"/>
            <w:vAlign w:val="center"/>
            <w:hideMark/>
          </w:tcPr>
          <w:p w:rsidR="0022737D" w:rsidRPr="00592BEE" w:rsidRDefault="0022737D" w:rsidP="0022737D">
            <w:pPr>
              <w:jc w:val="center"/>
              <w:rPr>
                <w:rFonts w:ascii="Calibri" w:eastAsia="Times New Roman" w:hAnsi="Calibri" w:cs="Calibri"/>
                <w:b/>
                <w:bCs/>
                <w:color w:val="000000"/>
                <w:kern w:val="0"/>
                <w:sz w:val="22"/>
                <w:szCs w:val="22"/>
                <w14:ligatures w14:val="none"/>
              </w:rPr>
            </w:pPr>
            <w:r w:rsidRPr="00592BEE">
              <w:rPr>
                <w:rFonts w:ascii="Calibri" w:eastAsia="Times New Roman" w:hAnsi="Calibri" w:cs="Calibri"/>
                <w:b/>
                <w:bCs/>
                <w:color w:val="000000"/>
                <w:kern w:val="0"/>
                <w:sz w:val="22"/>
                <w:szCs w:val="22"/>
                <w14:ligatures w14:val="none"/>
              </w:rPr>
              <w:t>Outcomes</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22737D" w:rsidRPr="00592BEE" w:rsidRDefault="0022737D" w:rsidP="0022737D">
            <w:pPr>
              <w:rPr>
                <w:rFonts w:ascii="Calibri" w:eastAsia="Times New Roman" w:hAnsi="Calibri" w:cs="Calibri"/>
                <w:b/>
                <w:bCs/>
                <w:color w:val="000000"/>
                <w:kern w:val="0"/>
                <w:sz w:val="22"/>
                <w:szCs w:val="22"/>
                <w14:ligatures w14:val="none"/>
              </w:rPr>
            </w:pPr>
            <w:r w:rsidRPr="00592BEE">
              <w:rPr>
                <w:rFonts w:ascii="Calibri" w:eastAsia="Times New Roman" w:hAnsi="Calibri" w:cs="Calibri"/>
                <w:b/>
                <w:bCs/>
                <w:color w:val="000000"/>
                <w:kern w:val="0"/>
                <w:sz w:val="22"/>
                <w:szCs w:val="22"/>
                <w14:ligatures w14:val="none"/>
              </w:rPr>
              <w:t>1) Bias arising from the randomization process</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22737D" w:rsidRPr="00592BEE" w:rsidRDefault="0022737D" w:rsidP="0022737D">
            <w:pPr>
              <w:rPr>
                <w:rFonts w:ascii="Calibri" w:eastAsia="Times New Roman" w:hAnsi="Calibri" w:cs="Calibri"/>
                <w:b/>
                <w:bCs/>
                <w:color w:val="000000"/>
                <w:kern w:val="0"/>
                <w:sz w:val="22"/>
                <w:szCs w:val="22"/>
                <w14:ligatures w14:val="none"/>
              </w:rPr>
            </w:pPr>
            <w:r w:rsidRPr="00592BEE">
              <w:rPr>
                <w:rFonts w:ascii="Calibri" w:eastAsia="Times New Roman" w:hAnsi="Calibri" w:cs="Calibri"/>
                <w:b/>
                <w:bCs/>
                <w:color w:val="000000"/>
                <w:kern w:val="0"/>
                <w:sz w:val="22"/>
                <w:szCs w:val="22"/>
                <w14:ligatures w14:val="none"/>
              </w:rPr>
              <w:t>2) Bias due to deviations from the intended intervention</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22737D" w:rsidRPr="00592BEE" w:rsidRDefault="0022737D" w:rsidP="0022737D">
            <w:pPr>
              <w:rPr>
                <w:rFonts w:ascii="Calibri" w:eastAsia="Times New Roman" w:hAnsi="Calibri" w:cs="Calibri"/>
                <w:b/>
                <w:bCs/>
                <w:color w:val="000000"/>
                <w:kern w:val="0"/>
                <w:sz w:val="22"/>
                <w:szCs w:val="22"/>
                <w14:ligatures w14:val="none"/>
              </w:rPr>
            </w:pPr>
            <w:r w:rsidRPr="00592BEE">
              <w:rPr>
                <w:rFonts w:ascii="Calibri" w:eastAsia="Times New Roman" w:hAnsi="Calibri" w:cs="Calibri"/>
                <w:b/>
                <w:bCs/>
                <w:color w:val="000000"/>
                <w:kern w:val="0"/>
                <w:sz w:val="22"/>
                <w:szCs w:val="22"/>
                <w14:ligatures w14:val="none"/>
              </w:rPr>
              <w:t>3) Bias due to missing outcome data</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22737D" w:rsidRPr="00592BEE" w:rsidRDefault="0022737D" w:rsidP="0022737D">
            <w:pPr>
              <w:rPr>
                <w:rFonts w:ascii="Calibri" w:eastAsia="Times New Roman" w:hAnsi="Calibri" w:cs="Calibri"/>
                <w:b/>
                <w:bCs/>
                <w:color w:val="000000"/>
                <w:kern w:val="0"/>
                <w:sz w:val="22"/>
                <w:szCs w:val="22"/>
                <w14:ligatures w14:val="none"/>
              </w:rPr>
            </w:pPr>
            <w:r w:rsidRPr="00592BEE">
              <w:rPr>
                <w:rFonts w:ascii="Calibri" w:eastAsia="Times New Roman" w:hAnsi="Calibri" w:cs="Calibri"/>
                <w:b/>
                <w:bCs/>
                <w:color w:val="000000"/>
                <w:kern w:val="0"/>
                <w:sz w:val="22"/>
                <w:szCs w:val="22"/>
                <w14:ligatures w14:val="none"/>
              </w:rPr>
              <w:t>4) Bias in measurement of the outcome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22737D" w:rsidRPr="00592BEE" w:rsidRDefault="0022737D" w:rsidP="0022737D">
            <w:pPr>
              <w:rPr>
                <w:rFonts w:ascii="Calibri" w:eastAsia="Times New Roman" w:hAnsi="Calibri" w:cs="Calibri"/>
                <w:b/>
                <w:bCs/>
                <w:color w:val="000000"/>
                <w:kern w:val="0"/>
                <w:sz w:val="22"/>
                <w:szCs w:val="22"/>
                <w14:ligatures w14:val="none"/>
              </w:rPr>
            </w:pPr>
            <w:r w:rsidRPr="00592BEE">
              <w:rPr>
                <w:rFonts w:ascii="Calibri" w:eastAsia="Times New Roman" w:hAnsi="Calibri" w:cs="Calibri"/>
                <w:b/>
                <w:bCs/>
                <w:color w:val="000000"/>
                <w:kern w:val="0"/>
                <w:sz w:val="22"/>
                <w:szCs w:val="22"/>
                <w14:ligatures w14:val="none"/>
              </w:rPr>
              <w:t>5) Bias in selection of the reported results</w:t>
            </w:r>
          </w:p>
        </w:tc>
        <w:tc>
          <w:tcPr>
            <w:tcW w:w="1451" w:type="dxa"/>
            <w:tcBorders>
              <w:top w:val="single" w:sz="4" w:space="0" w:color="auto"/>
              <w:left w:val="nil"/>
              <w:bottom w:val="single" w:sz="4" w:space="0" w:color="auto"/>
              <w:right w:val="single" w:sz="4" w:space="0" w:color="auto"/>
            </w:tcBorders>
            <w:shd w:val="clear" w:color="auto" w:fill="auto"/>
            <w:vAlign w:val="center"/>
            <w:hideMark/>
          </w:tcPr>
          <w:p w:rsidR="0022737D" w:rsidRPr="00592BEE" w:rsidRDefault="0022737D" w:rsidP="0022737D">
            <w:pPr>
              <w:rPr>
                <w:rFonts w:ascii="Calibri" w:eastAsia="Times New Roman" w:hAnsi="Calibri" w:cs="Calibri"/>
                <w:b/>
                <w:bCs/>
                <w:color w:val="000000"/>
                <w:kern w:val="0"/>
                <w:sz w:val="22"/>
                <w:szCs w:val="22"/>
                <w14:ligatures w14:val="none"/>
              </w:rPr>
            </w:pPr>
            <w:r w:rsidRPr="00592BEE">
              <w:rPr>
                <w:rFonts w:ascii="Calibri" w:eastAsia="Times New Roman" w:hAnsi="Calibri" w:cs="Calibri"/>
                <w:b/>
                <w:bCs/>
                <w:color w:val="000000"/>
                <w:kern w:val="0"/>
                <w:sz w:val="22"/>
                <w:szCs w:val="22"/>
                <w14:ligatures w14:val="none"/>
              </w:rPr>
              <w:t>Domain justification</w:t>
            </w:r>
          </w:p>
        </w:tc>
      </w:tr>
      <w:tr w:rsidR="0022737D" w:rsidRPr="00592BEE" w:rsidTr="0022737D">
        <w:trPr>
          <w:trHeight w:val="320"/>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2020</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F-VASI</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320"/>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2020</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T-VASI</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320"/>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2020</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F-VASI90</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320"/>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2020</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F-VASI75</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113"/>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2020</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F-VASI50</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320"/>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2020</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F-VASI25</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320"/>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2020</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T-VASI90</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320"/>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2020</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T-VASI75</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259"/>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2020</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T-VASI50</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320"/>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2020</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T-VASI25</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320"/>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2020</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TEAE</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320"/>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2020</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SAE</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121"/>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2020</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Disconti_AE</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320"/>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(TRuE-V1)</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F-VASI</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320"/>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(TRuE-V1)</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T-VASI</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320"/>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(TRuE-V1)</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F-BSA</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125"/>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(TRuE-V1)</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T-BSA</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320"/>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(TRuE-V1)</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DLQI</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320"/>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(TRuE-V1)</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F-VASI90</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320"/>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(TRuE-V1)</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F-VASI75</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822755">
        <w:trPr>
          <w:trHeight w:val="6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(TRuE-V1)</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F-VASI50</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320"/>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(TRuE-V1)</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F-VASI25</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109"/>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(TRuE-V1)</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T-VASI90</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320"/>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lastRenderedPageBreak/>
              <w:t>Rosmarin 2022 (TRuE-V1)</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T-VASI75</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822755">
        <w:trPr>
          <w:trHeight w:val="6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(TRuE-V1)</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T-VASI50</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320"/>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(TRuE-V1)</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T-VASI25</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253"/>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(TRuE-V1)</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VNS-4 or 5</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320"/>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(TRuE-V1)</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TEAE</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320"/>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(TRuE-V1)</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SAE</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320"/>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(TRuE-V1)</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Disconti_AE</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25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(TRuE-V2)</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F-VASI</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320"/>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(TRuE-V2)</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T-VASI</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822755">
        <w:trPr>
          <w:trHeight w:val="115"/>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(TRuE-V2)</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F-BSA</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320"/>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(TRuE-V2)</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T-BSA</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261"/>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(TRuE-V2)</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DLQI</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320"/>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(TRuE-V2)</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F-VASI90</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822755">
        <w:trPr>
          <w:trHeight w:val="6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(TRuE-V2)</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F-VASI75</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320"/>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(TRuE-V2)</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F-VASI50</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320"/>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(TRuE-V2)</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F-VASI25</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22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(TRuE-V2)</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T-VASI90</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320"/>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(TRuE-V2)</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T-VASI75</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822755">
        <w:trPr>
          <w:trHeight w:val="85"/>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(TRuE-V2)</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T-VASI50</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822755">
        <w:trPr>
          <w:trHeight w:val="6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(TRuE-V2)</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T-VASI25</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89"/>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(TRuE-V2)</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VNS-4 or 5</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822755">
        <w:trPr>
          <w:trHeight w:val="67"/>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(TRuE-V2)</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TEAE</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320"/>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(TRuE-V2)</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SAE</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r w:rsidR="0022737D" w:rsidRPr="00592BEE" w:rsidTr="0022737D">
        <w:trPr>
          <w:trHeight w:val="320"/>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Rosmarin 2022 (TRuE-V2)</w:t>
            </w:r>
          </w:p>
        </w:tc>
        <w:tc>
          <w:tcPr>
            <w:tcW w:w="2460" w:type="dxa"/>
            <w:tcBorders>
              <w:top w:val="nil"/>
              <w:left w:val="nil"/>
              <w:bottom w:val="single" w:sz="4" w:space="0" w:color="auto"/>
              <w:right w:val="single" w:sz="4" w:space="0" w:color="auto"/>
            </w:tcBorders>
            <w:shd w:val="clear" w:color="auto" w:fill="auto"/>
            <w:noWrap/>
            <w:vAlign w:val="bottom"/>
            <w:hideMark/>
          </w:tcPr>
          <w:p w:rsidR="0022737D" w:rsidRPr="00592BEE" w:rsidRDefault="0022737D" w:rsidP="0022737D">
            <w:pP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Disconti_AE</w:t>
            </w:r>
          </w:p>
        </w:tc>
        <w:tc>
          <w:tcPr>
            <w:tcW w:w="172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660"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Definitely Low</w:t>
            </w:r>
          </w:p>
        </w:tc>
        <w:tc>
          <w:tcPr>
            <w:tcW w:w="1451" w:type="dxa"/>
            <w:tcBorders>
              <w:top w:val="nil"/>
              <w:left w:val="nil"/>
              <w:bottom w:val="single" w:sz="4" w:space="0" w:color="auto"/>
              <w:right w:val="single" w:sz="4" w:space="0" w:color="auto"/>
            </w:tcBorders>
            <w:shd w:val="clear" w:color="000000" w:fill="70AD47"/>
            <w:noWrap/>
            <w:vAlign w:val="bottom"/>
            <w:hideMark/>
          </w:tcPr>
          <w:p w:rsidR="0022737D" w:rsidRPr="00592BEE" w:rsidRDefault="0022737D" w:rsidP="0022737D">
            <w:pPr>
              <w:jc w:val="center"/>
              <w:rPr>
                <w:rFonts w:ascii="Calibri" w:eastAsia="Times New Roman" w:hAnsi="Calibri" w:cs="Calibri"/>
                <w:color w:val="000000"/>
                <w:kern w:val="0"/>
                <w:sz w:val="22"/>
                <w:szCs w:val="22"/>
                <w14:ligatures w14:val="none"/>
              </w:rPr>
            </w:pPr>
            <w:r w:rsidRPr="00592BEE">
              <w:rPr>
                <w:rFonts w:ascii="Calibri" w:eastAsia="Times New Roman" w:hAnsi="Calibri" w:cs="Calibri"/>
                <w:color w:val="000000"/>
                <w:kern w:val="0"/>
                <w:sz w:val="22"/>
                <w:szCs w:val="22"/>
                <w14:ligatures w14:val="none"/>
              </w:rPr>
              <w:t>Low</w:t>
            </w:r>
          </w:p>
        </w:tc>
      </w:tr>
    </w:tbl>
    <w:p w:rsidR="0022737D" w:rsidRDefault="008277B9" w:rsidP="00792A2F">
      <w:pPr>
        <w:jc w:val="both"/>
        <w:rPr>
          <w:sz w:val="22"/>
          <w:szCs w:val="22"/>
        </w:rPr>
      </w:pPr>
      <w:r w:rsidRPr="00592BEE">
        <w:rPr>
          <w:sz w:val="22"/>
          <w:szCs w:val="22"/>
        </w:rPr>
        <w:t xml:space="preserve">F-VASI, </w:t>
      </w:r>
      <w:r w:rsidR="00792A2F" w:rsidRPr="00592BEE">
        <w:rPr>
          <w:sz w:val="22"/>
          <w:szCs w:val="22"/>
          <w:lang w:val="en-US"/>
        </w:rPr>
        <w:t>Facial Vitiligo Area Scoring Index</w:t>
      </w:r>
      <w:r w:rsidRPr="00592BEE">
        <w:rPr>
          <w:sz w:val="22"/>
          <w:szCs w:val="22"/>
        </w:rPr>
        <w:t xml:space="preserve">; T-VASI, </w:t>
      </w:r>
      <w:r w:rsidR="00792A2F" w:rsidRPr="00592BEE">
        <w:rPr>
          <w:sz w:val="22"/>
          <w:szCs w:val="22"/>
          <w:lang w:val="en-US"/>
        </w:rPr>
        <w:t>Total Vitiligo Area Scoring Index</w:t>
      </w:r>
      <w:r w:rsidR="00792A2F" w:rsidRPr="00592BEE">
        <w:rPr>
          <w:sz w:val="22"/>
          <w:szCs w:val="22"/>
        </w:rPr>
        <w:t xml:space="preserve">; </w:t>
      </w:r>
      <w:r w:rsidRPr="00592BEE">
        <w:rPr>
          <w:sz w:val="22"/>
          <w:szCs w:val="22"/>
        </w:rPr>
        <w:t xml:space="preserve">F-BSA, </w:t>
      </w:r>
      <w:r w:rsidR="00792A2F" w:rsidRPr="00592BEE">
        <w:rPr>
          <w:sz w:val="22"/>
          <w:szCs w:val="22"/>
          <w:lang w:val="en-US"/>
        </w:rPr>
        <w:t>Facial Body Surface Area</w:t>
      </w:r>
      <w:r w:rsidRPr="00592BEE">
        <w:rPr>
          <w:sz w:val="22"/>
          <w:szCs w:val="22"/>
        </w:rPr>
        <w:t xml:space="preserve">; T-BSA, </w:t>
      </w:r>
      <w:r w:rsidR="00792A2F" w:rsidRPr="00592BEE">
        <w:rPr>
          <w:rFonts w:hint="eastAsia"/>
          <w:sz w:val="22"/>
          <w:szCs w:val="22"/>
          <w:lang w:val="en-US"/>
        </w:rPr>
        <w:t>Total Body Surface Area</w:t>
      </w:r>
      <w:r w:rsidRPr="00592BEE">
        <w:rPr>
          <w:sz w:val="22"/>
          <w:szCs w:val="22"/>
        </w:rPr>
        <w:t xml:space="preserve">; DLQI, </w:t>
      </w:r>
      <w:r w:rsidR="00792A2F" w:rsidRPr="00592BEE">
        <w:rPr>
          <w:sz w:val="22"/>
          <w:szCs w:val="22"/>
          <w:lang w:val="en-US"/>
        </w:rPr>
        <w:t>Dermatology Life Quality Index</w:t>
      </w:r>
      <w:r w:rsidRPr="00592BEE">
        <w:rPr>
          <w:sz w:val="22"/>
          <w:szCs w:val="22"/>
        </w:rPr>
        <w:t>; VNS</w:t>
      </w:r>
      <w:r w:rsidR="00792A2F" w:rsidRPr="00592BEE">
        <w:rPr>
          <w:sz w:val="22"/>
          <w:szCs w:val="22"/>
        </w:rPr>
        <w:t xml:space="preserve">, </w:t>
      </w:r>
      <w:r w:rsidR="00792A2F" w:rsidRPr="00592BEE">
        <w:rPr>
          <w:rFonts w:hint="eastAsia"/>
          <w:sz w:val="22"/>
          <w:szCs w:val="22"/>
          <w:lang w:val="en-US"/>
        </w:rPr>
        <w:t>Vitiligo Noticeability Scale</w:t>
      </w:r>
      <w:r w:rsidR="00792A2F" w:rsidRPr="00592BEE">
        <w:rPr>
          <w:sz w:val="22"/>
          <w:szCs w:val="22"/>
        </w:rPr>
        <w:t>;</w:t>
      </w:r>
      <w:r w:rsidRPr="00592BEE">
        <w:rPr>
          <w:sz w:val="22"/>
          <w:szCs w:val="22"/>
        </w:rPr>
        <w:t xml:space="preserve"> TEAE, </w:t>
      </w:r>
      <w:r w:rsidR="00792A2F" w:rsidRPr="00592BEE">
        <w:rPr>
          <w:sz w:val="22"/>
          <w:szCs w:val="22"/>
          <w:lang w:val="en-US"/>
        </w:rPr>
        <w:t>Treatment-emergent Adverse Events</w:t>
      </w:r>
      <w:r w:rsidRPr="00592BEE">
        <w:rPr>
          <w:sz w:val="22"/>
          <w:szCs w:val="22"/>
        </w:rPr>
        <w:t xml:space="preserve">; SAE, </w:t>
      </w:r>
      <w:r w:rsidR="00792A2F" w:rsidRPr="00592BEE">
        <w:rPr>
          <w:sz w:val="22"/>
          <w:szCs w:val="22"/>
          <w:lang w:val="en-US"/>
        </w:rPr>
        <w:t>Serious Adverse Events</w:t>
      </w:r>
      <w:r w:rsidRPr="00592BEE">
        <w:rPr>
          <w:sz w:val="22"/>
          <w:szCs w:val="22"/>
        </w:rPr>
        <w:t xml:space="preserve">; Disconti_AE, </w:t>
      </w:r>
      <w:r w:rsidR="00792A2F" w:rsidRPr="00592BEE">
        <w:rPr>
          <w:sz w:val="22"/>
          <w:szCs w:val="22"/>
          <w:lang w:val="en-US"/>
        </w:rPr>
        <w:t>Discontinuation due to Adverse Events</w:t>
      </w:r>
      <w:r w:rsidRPr="00592BEE">
        <w:rPr>
          <w:sz w:val="22"/>
          <w:szCs w:val="22"/>
        </w:rPr>
        <w:t>.</w:t>
      </w: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sectPr w:rsidR="002734ED" w:rsidSect="0022737D">
          <w:pgSz w:w="15840" w:h="12240" w:orient="landscape"/>
          <w:pgMar w:top="1440" w:right="1440" w:bottom="1440" w:left="1440" w:header="708" w:footer="708" w:gutter="0"/>
          <w:cols w:space="708"/>
          <w:docGrid w:linePitch="360"/>
        </w:sectPr>
      </w:pPr>
    </w:p>
    <w:p w:rsidR="002734ED" w:rsidRDefault="002734ED" w:rsidP="00792A2F">
      <w:pPr>
        <w:jc w:val="both"/>
        <w:rPr>
          <w:sz w:val="22"/>
          <w:szCs w:val="22"/>
        </w:rPr>
      </w:pPr>
      <w:r w:rsidRPr="002734ED">
        <w:rPr>
          <w:b/>
          <w:bCs/>
          <w:sz w:val="22"/>
          <w:szCs w:val="22"/>
        </w:rPr>
        <w:lastRenderedPageBreak/>
        <w:t>Supplement Figure 1.</w:t>
      </w:r>
      <w:r>
        <w:rPr>
          <w:sz w:val="22"/>
          <w:szCs w:val="22"/>
        </w:rPr>
        <w:t xml:space="preserve"> </w:t>
      </w:r>
      <w:r w:rsidRPr="002734ED">
        <w:rPr>
          <w:sz w:val="22"/>
          <w:szCs w:val="22"/>
        </w:rPr>
        <w:t>Ruxolitinib vs vehicle cream on quality of life</w:t>
      </w:r>
    </w:p>
    <w:p w:rsidR="002734ED" w:rsidRDefault="002734ED" w:rsidP="00792A2F">
      <w:pPr>
        <w:jc w:val="both"/>
        <w:rPr>
          <w:sz w:val="22"/>
          <w:szCs w:val="22"/>
        </w:rPr>
      </w:pPr>
    </w:p>
    <w:p w:rsidR="002734ED" w:rsidRDefault="002734ED" w:rsidP="00792A2F">
      <w:pPr>
        <w:jc w:val="both"/>
        <w:rPr>
          <w:sz w:val="22"/>
          <w:szCs w:val="22"/>
        </w:rPr>
      </w:pPr>
      <w:r>
        <w:rPr>
          <w:noProof/>
          <w:sz w:val="22"/>
          <w:szCs w:val="22"/>
        </w:rPr>
        <w:drawing>
          <wp:inline distT="0" distB="0" distL="0" distR="0">
            <wp:extent cx="5029200" cy="1041400"/>
            <wp:effectExtent l="0" t="0" r="0" b="0"/>
            <wp:docPr id="128271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71288" name="Picture 128271288"/>
                    <pic:cNvPicPr/>
                  </pic:nvPicPr>
                  <pic:blipFill>
                    <a:blip r:embed="rId4" cstate="print">
                      <a:extLst>
                        <a:ext uri="{28A0092B-C50C-407E-A947-70E740481C1C}">
                          <a14:useLocalDpi xmlns:a14="http://schemas.microsoft.com/office/drawing/2010/main" val="0"/>
                        </a:ext>
                      </a:extLst>
                    </a:blip>
                    <a:stretch>
                      <a:fillRect/>
                    </a:stretch>
                  </pic:blipFill>
                  <pic:spPr>
                    <a:xfrm>
                      <a:off x="0" y="0"/>
                      <a:ext cx="5029200" cy="1041400"/>
                    </a:xfrm>
                    <a:prstGeom prst="rect">
                      <a:avLst/>
                    </a:prstGeom>
                  </pic:spPr>
                </pic:pic>
              </a:graphicData>
            </a:graphic>
          </wp:inline>
        </w:drawing>
      </w: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rPr>
      </w:pPr>
    </w:p>
    <w:p w:rsidR="002734ED" w:rsidRDefault="002734ED" w:rsidP="00792A2F">
      <w:pPr>
        <w:jc w:val="both"/>
        <w:rPr>
          <w:sz w:val="22"/>
          <w:szCs w:val="22"/>
          <w:lang w:val="en-US"/>
        </w:rPr>
      </w:pPr>
      <w:r w:rsidRPr="002734ED">
        <w:rPr>
          <w:b/>
          <w:bCs/>
          <w:sz w:val="22"/>
          <w:szCs w:val="22"/>
        </w:rPr>
        <w:lastRenderedPageBreak/>
        <w:t xml:space="preserve">Supplement Figure </w:t>
      </w:r>
      <w:r>
        <w:rPr>
          <w:b/>
          <w:bCs/>
          <w:sz w:val="22"/>
          <w:szCs w:val="22"/>
        </w:rPr>
        <w:t>2</w:t>
      </w:r>
      <w:r w:rsidRPr="002734ED">
        <w:rPr>
          <w:b/>
          <w:bCs/>
          <w:sz w:val="22"/>
          <w:szCs w:val="22"/>
        </w:rPr>
        <w:t>.</w:t>
      </w:r>
      <w:r>
        <w:rPr>
          <w:b/>
          <w:bCs/>
          <w:sz w:val="22"/>
          <w:szCs w:val="22"/>
        </w:rPr>
        <w:t xml:space="preserve"> </w:t>
      </w:r>
      <w:r w:rsidRPr="00427306">
        <w:rPr>
          <w:sz w:val="22"/>
          <w:szCs w:val="22"/>
          <w:lang w:val="en-US"/>
        </w:rPr>
        <w:t>Ruxolitinib vs vehicle cream on safety</w:t>
      </w:r>
    </w:p>
    <w:p w:rsidR="002734ED" w:rsidRDefault="002734ED" w:rsidP="00792A2F">
      <w:pPr>
        <w:jc w:val="both"/>
        <w:rPr>
          <w:sz w:val="22"/>
          <w:szCs w:val="22"/>
          <w:lang w:val="en-US"/>
        </w:rPr>
      </w:pPr>
    </w:p>
    <w:p w:rsidR="002734ED" w:rsidRPr="00592BEE" w:rsidRDefault="002734ED" w:rsidP="00792A2F">
      <w:pPr>
        <w:jc w:val="both"/>
        <w:rPr>
          <w:sz w:val="22"/>
          <w:szCs w:val="22"/>
        </w:rPr>
      </w:pPr>
      <w:r>
        <w:rPr>
          <w:noProof/>
          <w:sz w:val="22"/>
          <w:szCs w:val="22"/>
        </w:rPr>
        <w:drawing>
          <wp:inline distT="0" distB="0" distL="0" distR="0">
            <wp:extent cx="5029200" cy="3048000"/>
            <wp:effectExtent l="0" t="0" r="0" b="0"/>
            <wp:docPr id="1124464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46436" name="Picture 112446436"/>
                    <pic:cNvPicPr/>
                  </pic:nvPicPr>
                  <pic:blipFill>
                    <a:blip r:embed="rId5" cstate="print">
                      <a:extLst>
                        <a:ext uri="{28A0092B-C50C-407E-A947-70E740481C1C}">
                          <a14:useLocalDpi xmlns:a14="http://schemas.microsoft.com/office/drawing/2010/main" val="0"/>
                        </a:ext>
                      </a:extLst>
                    </a:blip>
                    <a:stretch>
                      <a:fillRect/>
                    </a:stretch>
                  </pic:blipFill>
                  <pic:spPr>
                    <a:xfrm>
                      <a:off x="0" y="0"/>
                      <a:ext cx="5029200" cy="3048000"/>
                    </a:xfrm>
                    <a:prstGeom prst="rect">
                      <a:avLst/>
                    </a:prstGeom>
                  </pic:spPr>
                </pic:pic>
              </a:graphicData>
            </a:graphic>
          </wp:inline>
        </w:drawing>
      </w:r>
    </w:p>
    <w:sectPr w:rsidR="002734ED" w:rsidRPr="00592BEE" w:rsidSect="002734E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F2A"/>
    <w:rsid w:val="00032CE0"/>
    <w:rsid w:val="00055A0D"/>
    <w:rsid w:val="00070B9B"/>
    <w:rsid w:val="000C7A82"/>
    <w:rsid w:val="00102FC0"/>
    <w:rsid w:val="00107567"/>
    <w:rsid w:val="001109C4"/>
    <w:rsid w:val="0018460A"/>
    <w:rsid w:val="001A099A"/>
    <w:rsid w:val="001A7638"/>
    <w:rsid w:val="001B2B9A"/>
    <w:rsid w:val="001B389A"/>
    <w:rsid w:val="001F15E2"/>
    <w:rsid w:val="0020203D"/>
    <w:rsid w:val="0022737D"/>
    <w:rsid w:val="002734ED"/>
    <w:rsid w:val="00292DC4"/>
    <w:rsid w:val="002C3B8F"/>
    <w:rsid w:val="002F4761"/>
    <w:rsid w:val="003456F5"/>
    <w:rsid w:val="003F4567"/>
    <w:rsid w:val="003F720F"/>
    <w:rsid w:val="00403926"/>
    <w:rsid w:val="0043349C"/>
    <w:rsid w:val="00447B68"/>
    <w:rsid w:val="00452F74"/>
    <w:rsid w:val="00486F2A"/>
    <w:rsid w:val="004919FA"/>
    <w:rsid w:val="00585DF0"/>
    <w:rsid w:val="00592BEE"/>
    <w:rsid w:val="005B79DC"/>
    <w:rsid w:val="005D0592"/>
    <w:rsid w:val="006A1CE7"/>
    <w:rsid w:val="006A6BA6"/>
    <w:rsid w:val="00790D40"/>
    <w:rsid w:val="00792A2F"/>
    <w:rsid w:val="007C30DC"/>
    <w:rsid w:val="007F0DC8"/>
    <w:rsid w:val="00822755"/>
    <w:rsid w:val="008277B9"/>
    <w:rsid w:val="00866F67"/>
    <w:rsid w:val="008A1AB7"/>
    <w:rsid w:val="008B047E"/>
    <w:rsid w:val="008B0509"/>
    <w:rsid w:val="008B16BC"/>
    <w:rsid w:val="008F3BED"/>
    <w:rsid w:val="009D4820"/>
    <w:rsid w:val="00A35571"/>
    <w:rsid w:val="00A51327"/>
    <w:rsid w:val="00A80268"/>
    <w:rsid w:val="00B12B07"/>
    <w:rsid w:val="00C05090"/>
    <w:rsid w:val="00C52E9A"/>
    <w:rsid w:val="00C54496"/>
    <w:rsid w:val="00C7116F"/>
    <w:rsid w:val="00CE6820"/>
    <w:rsid w:val="00D16C8A"/>
    <w:rsid w:val="00D804C6"/>
    <w:rsid w:val="00D83811"/>
    <w:rsid w:val="00DB1DF5"/>
    <w:rsid w:val="00E05679"/>
    <w:rsid w:val="00E30BEC"/>
    <w:rsid w:val="00E37A15"/>
    <w:rsid w:val="00E50B7A"/>
    <w:rsid w:val="00EA7C66"/>
    <w:rsid w:val="00F064A4"/>
    <w:rsid w:val="00F23E6B"/>
    <w:rsid w:val="00F66586"/>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3AEC1"/>
  <w15:chartTrackingRefBased/>
  <w15:docId w15:val="{3254403F-4C42-6F46-98E6-567031CC5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A"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291877">
      <w:bodyDiv w:val="1"/>
      <w:marLeft w:val="0"/>
      <w:marRight w:val="0"/>
      <w:marTop w:val="0"/>
      <w:marBottom w:val="0"/>
      <w:divBdr>
        <w:top w:val="none" w:sz="0" w:space="0" w:color="auto"/>
        <w:left w:val="none" w:sz="0" w:space="0" w:color="auto"/>
        <w:bottom w:val="none" w:sz="0" w:space="0" w:color="auto"/>
        <w:right w:val="none" w:sz="0" w:space="0" w:color="auto"/>
      </w:divBdr>
    </w:div>
    <w:div w:id="851379445">
      <w:bodyDiv w:val="1"/>
      <w:marLeft w:val="0"/>
      <w:marRight w:val="0"/>
      <w:marTop w:val="0"/>
      <w:marBottom w:val="0"/>
      <w:divBdr>
        <w:top w:val="none" w:sz="0" w:space="0" w:color="auto"/>
        <w:left w:val="none" w:sz="0" w:space="0" w:color="auto"/>
        <w:bottom w:val="none" w:sz="0" w:space="0" w:color="auto"/>
        <w:right w:val="none" w:sz="0" w:space="0" w:color="auto"/>
      </w:divBdr>
    </w:div>
    <w:div w:id="1340500967">
      <w:bodyDiv w:val="1"/>
      <w:marLeft w:val="0"/>
      <w:marRight w:val="0"/>
      <w:marTop w:val="0"/>
      <w:marBottom w:val="0"/>
      <w:divBdr>
        <w:top w:val="none" w:sz="0" w:space="0" w:color="auto"/>
        <w:left w:val="none" w:sz="0" w:space="0" w:color="auto"/>
        <w:bottom w:val="none" w:sz="0" w:space="0" w:color="auto"/>
        <w:right w:val="none" w:sz="0" w:space="0" w:color="auto"/>
      </w:divBdr>
    </w:div>
    <w:div w:id="173678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Relationship Id="rId4"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11</Pages>
  <Words>3552</Words>
  <Characters>20253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23758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 Liu</dc:creator>
  <cp:keywords/>
  <dc:description/>
  <cp:lastModifiedBy>Ming Liu</cp:lastModifiedBy>
  <cp:revision>47</cp:revision>
  <dcterms:created xsi:type="dcterms:W3CDTF">2023-06-05T14:17:00Z</dcterms:created>
  <dcterms:modified xsi:type="dcterms:W3CDTF">2023-07-10T13:17:00Z</dcterms:modified>
  <cp:category/>
</cp:coreProperties>
</file>