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4FB" w:rsidRPr="007554FB" w:rsidRDefault="007554FB" w:rsidP="007554FB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Appendix </w:t>
      </w:r>
      <w:r w:rsidR="00974C91">
        <w:rPr>
          <w:rFonts w:ascii="Times New Roman" w:hAnsi="Times New Roman" w:hint="eastAsia"/>
          <w:sz w:val="24"/>
          <w:szCs w:val="24"/>
        </w:rPr>
        <w:t>B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: Trial registration data</w:t>
      </w:r>
    </w:p>
    <w:tbl>
      <w:tblPr>
        <w:tblW w:w="8439" w:type="dxa"/>
        <w:tblBorders>
          <w:top w:val="single" w:sz="6" w:space="0" w:color="CCCCCC"/>
        </w:tblBorders>
        <w:shd w:val="clear" w:color="auto" w:fill="EEEEE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0"/>
        <w:gridCol w:w="5739"/>
      </w:tblGrid>
      <w:tr w:rsidR="007554FB" w:rsidRPr="007554FB" w:rsidTr="001348F4">
        <w:trPr>
          <w:tblHeader/>
        </w:trPr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DDDDDD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Data category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FFFFFF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Information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Primary registry and trial identifying number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Chinese Clinical Trial Registry</w:t>
            </w: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br/>
              <w:t>ChiCTR1800017015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Date of registration in primary registry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8 July, 2018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Source(s) of monetary or material support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Shanghai </w:t>
            </w:r>
            <w:proofErr w:type="spellStart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Jiaotong</w:t>
            </w:r>
            <w:proofErr w:type="spellEnd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 University Affiliated Sixth People’s Hospital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Primary sponsor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Shanghai </w:t>
            </w:r>
            <w:proofErr w:type="spellStart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Jiaotong</w:t>
            </w:r>
            <w:proofErr w:type="spellEnd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 University Affiliated Sixth People’s Hospital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Contact for public queries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Xianyou</w:t>
            </w:r>
            <w:proofErr w:type="spellEnd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 Zheng [zhengxianyou@126.com]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Contact for scientific queries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Xianyou</w:t>
            </w:r>
            <w:proofErr w:type="spellEnd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 Zheng</w:t>
            </w: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br/>
              <w:t xml:space="preserve">Shanghai </w:t>
            </w:r>
            <w:proofErr w:type="spellStart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Jiaotong</w:t>
            </w:r>
            <w:proofErr w:type="spellEnd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 University Affiliated Sixth People’s Hospital, Shanghai, China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Public title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Pain management after </w:t>
            </w:r>
            <w:proofErr w:type="spellStart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nonoperative</w:t>
            </w:r>
            <w:proofErr w:type="spellEnd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 treatment of limb fracture - a double-blind randomized controlled trial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Scientific title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i/>
                <w:iCs/>
                <w:kern w:val="0"/>
                <w:sz w:val="24"/>
                <w:szCs w:val="24"/>
                <w:bdr w:val="none" w:sz="0" w:space="0" w:color="auto" w:frame="1"/>
              </w:rPr>
              <w:t xml:space="preserve">Pain management after </w:t>
            </w:r>
            <w:proofErr w:type="spellStart"/>
            <w:r w:rsidRPr="007554FB">
              <w:rPr>
                <w:rFonts w:ascii="Times New Roman" w:hAnsi="Times New Roman"/>
                <w:i/>
                <w:iCs/>
                <w:kern w:val="0"/>
                <w:sz w:val="24"/>
                <w:szCs w:val="24"/>
                <w:bdr w:val="none" w:sz="0" w:space="0" w:color="auto" w:frame="1"/>
              </w:rPr>
              <w:t>nonoperative</w:t>
            </w:r>
            <w:proofErr w:type="spellEnd"/>
            <w:r w:rsidRPr="007554FB">
              <w:rPr>
                <w:rFonts w:ascii="Times New Roman" w:hAnsi="Times New Roman"/>
                <w:i/>
                <w:iCs/>
                <w:kern w:val="0"/>
                <w:sz w:val="24"/>
                <w:szCs w:val="24"/>
                <w:bdr w:val="none" w:sz="0" w:space="0" w:color="auto" w:frame="1"/>
              </w:rPr>
              <w:t xml:space="preserve"> treatment of limb fracture - a double-blind randomized controlled trial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Countries of recruitment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China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Health condition(s) or problem(s) studied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pain management, limb fracture</w:t>
            </w:r>
          </w:p>
        </w:tc>
      </w:tr>
      <w:tr w:rsidR="007554FB" w:rsidRPr="007554FB" w:rsidTr="001348F4">
        <w:tc>
          <w:tcPr>
            <w:tcW w:w="2700" w:type="dxa"/>
            <w:vMerge w:val="restar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Intervention(s)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intervention group: oral oxycodone (5 mg)/acetaminophen (325 mg),</w:t>
            </w:r>
            <w:r w:rsidRPr="007554FB">
              <w:rPr>
                <w:rFonts w:ascii="Times New Roman" w:eastAsiaTheme="minorEastAsia" w:hAnsi="Times New Roman"/>
              </w:rPr>
              <w:t xml:space="preserve"> </w:t>
            </w: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take one pill on an as-needed basis, but no more frequently than once every 4 hours</w:t>
            </w:r>
          </w:p>
        </w:tc>
      </w:tr>
      <w:tr w:rsidR="007554FB" w:rsidRPr="007554FB" w:rsidTr="001348F4">
        <w:tc>
          <w:tcPr>
            <w:tcW w:w="0" w:type="auto"/>
            <w:vMerge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vAlign w:val="center"/>
            <w:hideMark/>
          </w:tcPr>
          <w:p w:rsidR="007554FB" w:rsidRPr="007554FB" w:rsidRDefault="007554FB" w:rsidP="007554FB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control group: oral</w:t>
            </w:r>
            <w:r w:rsidRPr="007554FB">
              <w:rPr>
                <w:rFonts w:ascii="Times New Roman" w:eastAsiaTheme="minorEastAsia" w:hAnsi="Times New Roman"/>
              </w:rPr>
              <w:t xml:space="preserve"> </w:t>
            </w: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acetaminophen (650 mg),</w:t>
            </w:r>
            <w:r w:rsidRPr="007554FB">
              <w:rPr>
                <w:rFonts w:ascii="Times New Roman" w:eastAsiaTheme="minorEastAsia" w:hAnsi="Times New Roman"/>
              </w:rPr>
              <w:t xml:space="preserve"> </w:t>
            </w: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take one pill on an as-needed basis, but no more frequently than once every 4 hours</w:t>
            </w:r>
          </w:p>
        </w:tc>
      </w:tr>
      <w:tr w:rsidR="007554FB" w:rsidRPr="007554FB" w:rsidTr="001348F4">
        <w:tc>
          <w:tcPr>
            <w:tcW w:w="2700" w:type="dxa"/>
            <w:vMerge w:val="restar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Key inclusion and exclusion criteria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Ages eligible for study: ≥18 years </w:t>
            </w: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br/>
              <w:t>Sexes eligible for study: both</w:t>
            </w: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br/>
              <w:t>Accepts healthy volunteers: no</w:t>
            </w:r>
          </w:p>
        </w:tc>
      </w:tr>
      <w:tr w:rsidR="007554FB" w:rsidRPr="007554FB" w:rsidTr="001348F4">
        <w:tc>
          <w:tcPr>
            <w:tcW w:w="0" w:type="auto"/>
            <w:vMerge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vAlign w:val="center"/>
            <w:hideMark/>
          </w:tcPr>
          <w:p w:rsidR="007554FB" w:rsidRPr="007554FB" w:rsidRDefault="007554FB" w:rsidP="007554FB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Inclusion criteria: Aged from 18 to 100 years old, male or female is not limited; diagnosis of acute limb fracture less </w:t>
            </w: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lastRenderedPageBreak/>
              <w:t xml:space="preserve">than one day after injury; location of fractures including foot, ankle, tibia, fibula, knee, femur, hip, hand, wrist, forearm, elbow, </w:t>
            </w:r>
            <w:proofErr w:type="spellStart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humerus</w:t>
            </w:r>
            <w:proofErr w:type="spellEnd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, shoulder and clavicle; indicated for </w:t>
            </w:r>
            <w:proofErr w:type="spellStart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nonoperative</w:t>
            </w:r>
            <w:proofErr w:type="spellEnd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 treatment; and willing to participated in this study.</w:t>
            </w:r>
          </w:p>
        </w:tc>
      </w:tr>
      <w:tr w:rsidR="007554FB" w:rsidRPr="007554FB" w:rsidTr="001348F4">
        <w:tc>
          <w:tcPr>
            <w:tcW w:w="0" w:type="auto"/>
            <w:vMerge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vAlign w:val="center"/>
            <w:hideMark/>
          </w:tcPr>
          <w:p w:rsidR="007554FB" w:rsidRPr="007554FB" w:rsidRDefault="007554FB" w:rsidP="007554FB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Exclusion criteria: With other non-limb fractures; multiple fractures involved more than one site; with vascular, nerve or tendon injuries; open fractures; chronic condition requiring frequent pain management such as sickle cell disease, fibromyalgia, or any neuropathy; have taken methadone ever; report of an adverse reaction to any of the study medications; allergic to any of the study medications or contraindications such as peptic ulcer disease; report of any prior use of recreational narcotics; medical condition that might affect metabolism of opioid analgesics, acetaminophen, such as hepatitis, renal insufficiency or failure, hypo- or hyperthyroidism, </w:t>
            </w:r>
            <w:proofErr w:type="spellStart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Addisons</w:t>
            </w:r>
            <w:proofErr w:type="spellEnd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 or </w:t>
            </w:r>
            <w:proofErr w:type="spellStart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Cushings</w:t>
            </w:r>
            <w:proofErr w:type="spellEnd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 disease; taking any medicine that might interact with any of the study medications, such as anticholinergic drugs, oral contraceptives, loop diuretic, probenecid or liver enzyme inducer; history of mental disorders, unable to communicate properly and answer questions such as dementia </w:t>
            </w:r>
            <w:proofErr w:type="spellStart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etc</w:t>
            </w:r>
            <w:proofErr w:type="spellEnd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; physically handicapped people with mobility problems; no fixed address and easily lost to visitors; pregnancy by either urine or serum HCG testing; unwilling or unable to cooperate with data collectors.</w:t>
            </w:r>
          </w:p>
        </w:tc>
      </w:tr>
      <w:tr w:rsidR="007554FB" w:rsidRPr="007554FB" w:rsidTr="001348F4">
        <w:tc>
          <w:tcPr>
            <w:tcW w:w="2700" w:type="dxa"/>
            <w:vMerge w:val="restar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Study type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Interventional</w:t>
            </w:r>
          </w:p>
        </w:tc>
      </w:tr>
      <w:tr w:rsidR="007554FB" w:rsidRPr="007554FB" w:rsidTr="001348F4">
        <w:tc>
          <w:tcPr>
            <w:tcW w:w="0" w:type="auto"/>
            <w:vMerge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vAlign w:val="center"/>
            <w:hideMark/>
          </w:tcPr>
          <w:p w:rsidR="007554FB" w:rsidRPr="007554FB" w:rsidRDefault="007554FB" w:rsidP="007554FB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Allocation: randomized intervention model. Parallel assignment masking: double blind (subject, caregiver, investigator, outcomes assessor)</w:t>
            </w:r>
          </w:p>
        </w:tc>
      </w:tr>
      <w:tr w:rsidR="007554FB" w:rsidRPr="007554FB" w:rsidTr="001348F4">
        <w:tc>
          <w:tcPr>
            <w:tcW w:w="0" w:type="auto"/>
            <w:vMerge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vAlign w:val="center"/>
            <w:hideMark/>
          </w:tcPr>
          <w:p w:rsidR="007554FB" w:rsidRPr="007554FB" w:rsidRDefault="007554FB" w:rsidP="007554FB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Primary purpose: </w:t>
            </w:r>
            <w:proofErr w:type="spellStart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noninferior</w:t>
            </w:r>
            <w:proofErr w:type="spellEnd"/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 xml:space="preserve"> trial</w:t>
            </w:r>
          </w:p>
        </w:tc>
      </w:tr>
      <w:tr w:rsidR="007554FB" w:rsidRPr="007554FB" w:rsidTr="001348F4">
        <w:tc>
          <w:tcPr>
            <w:tcW w:w="0" w:type="auto"/>
            <w:vMerge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vAlign w:val="center"/>
            <w:hideMark/>
          </w:tcPr>
          <w:p w:rsidR="007554FB" w:rsidRPr="007554FB" w:rsidRDefault="007554FB" w:rsidP="007554FB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other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Date of first enrolment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Not yet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lastRenderedPageBreak/>
              <w:t>Target sample size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1000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Recruitment status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Recruiting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Primary outcome(s)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NRS score (time frame: 14 days; not designated as safety issue)</w:t>
            </w:r>
          </w:p>
        </w:tc>
      </w:tr>
      <w:tr w:rsidR="007554FB" w:rsidRPr="007554FB" w:rsidTr="001348F4">
        <w:tc>
          <w:tcPr>
            <w:tcW w:w="2700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Key secondary outcomes</w:t>
            </w:r>
          </w:p>
        </w:tc>
        <w:tc>
          <w:tcPr>
            <w:tcW w:w="5739" w:type="dxa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EEEEE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:rsidR="007554FB" w:rsidRPr="007554FB" w:rsidRDefault="007554FB" w:rsidP="007554FB">
            <w:pPr>
              <w:widowControl/>
              <w:spacing w:line="360" w:lineRule="atLeas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SAS, SDS, and EQ-5d scores, the patient’s satisfaction with the medication,</w:t>
            </w:r>
            <w:r w:rsidRPr="007554FB">
              <w:rPr>
                <w:rFonts w:ascii="Times New Roman" w:eastAsiaTheme="minorEastAsia" w:hAnsi="Times New Roman"/>
              </w:rPr>
              <w:t xml:space="preserve"> </w:t>
            </w: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change in the quality and duration of sleep,</w:t>
            </w:r>
            <w:r w:rsidRPr="007554FB">
              <w:rPr>
                <w:rFonts w:ascii="Times New Roman" w:eastAsiaTheme="minorEastAsia" w:hAnsi="Times New Roman"/>
              </w:rPr>
              <w:t xml:space="preserve"> </w:t>
            </w:r>
            <w:r w:rsidRPr="007554FB">
              <w:rPr>
                <w:rFonts w:ascii="Times New Roman" w:hAnsi="Times New Roman"/>
                <w:kern w:val="0"/>
                <w:sz w:val="24"/>
                <w:szCs w:val="24"/>
              </w:rPr>
              <w:t>number of study medications used and duration that analgesics were taken (time frame: 14 days; not designated as safety issue)</w:t>
            </w:r>
          </w:p>
        </w:tc>
      </w:tr>
    </w:tbl>
    <w:p w:rsidR="004F170C" w:rsidRPr="007554FB" w:rsidRDefault="004F170C"/>
    <w:sectPr w:rsidR="004F170C" w:rsidRPr="00755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F09" w:rsidRDefault="00E65F09" w:rsidP="00974C91">
      <w:r>
        <w:separator/>
      </w:r>
    </w:p>
  </w:endnote>
  <w:endnote w:type="continuationSeparator" w:id="0">
    <w:p w:rsidR="00E65F09" w:rsidRDefault="00E65F09" w:rsidP="00974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F09" w:rsidRDefault="00E65F09" w:rsidP="00974C91">
      <w:r>
        <w:separator/>
      </w:r>
    </w:p>
  </w:footnote>
  <w:footnote w:type="continuationSeparator" w:id="0">
    <w:p w:rsidR="00E65F09" w:rsidRDefault="00E65F09" w:rsidP="00974C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9FC"/>
    <w:rsid w:val="004F170C"/>
    <w:rsid w:val="007554FB"/>
    <w:rsid w:val="00974C91"/>
    <w:rsid w:val="00D959FC"/>
    <w:rsid w:val="00E65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4F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4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4C9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4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4C9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4F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4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4C9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4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4C9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22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535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GAOTAO</dc:creator>
  <cp:keywords/>
  <dc:description/>
  <cp:lastModifiedBy>GAOTAO</cp:lastModifiedBy>
  <cp:revision>3</cp:revision>
  <dcterms:created xsi:type="dcterms:W3CDTF">2018-07-21T04:06:00Z</dcterms:created>
  <dcterms:modified xsi:type="dcterms:W3CDTF">2018-07-24T13:29:00Z</dcterms:modified>
</cp:coreProperties>
</file>