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1D72D" w14:textId="77777777" w:rsidR="00783FCF" w:rsidRDefault="00000000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 wp14:anchorId="1D11D75F" wp14:editId="1D11D760">
            <wp:extent cx="5263515" cy="2837180"/>
            <wp:effectExtent l="0" t="0" r="13335" b="127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83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Cs w:val="21"/>
        </w:rPr>
        <w:t>Figure S1.</w:t>
      </w:r>
      <w:r>
        <w:rPr>
          <w:rFonts w:ascii="Times New Roman" w:hAnsi="Times New Roman" w:cs="Times New Roman"/>
          <w:szCs w:val="21"/>
        </w:rPr>
        <w:t xml:space="preserve"> Sampling spots of this study. The google map shows the sampling sites of the wild (W), provision (P), and captive (C) </w:t>
      </w:r>
      <w:r>
        <w:rPr>
          <w:rFonts w:ascii="Times New Roman" w:hAnsi="Times New Roman" w:cs="Times New Roman" w:hint="eastAsia"/>
          <w:szCs w:val="21"/>
        </w:rPr>
        <w:t>golden snub-nosed monkey</w:t>
      </w:r>
      <w:r>
        <w:rPr>
          <w:rFonts w:ascii="Times New Roman" w:hAnsi="Times New Roman" w:cs="Times New Roman"/>
          <w:szCs w:val="21"/>
        </w:rPr>
        <w:t xml:space="preserve"> in Shennonjia National Park, as well as the position of the conservation station .</w:t>
      </w:r>
    </w:p>
    <w:p w14:paraId="1D11D72E" w14:textId="77777777" w:rsidR="00783FCF" w:rsidRDefault="00783FCF">
      <w:pPr>
        <w:rPr>
          <w:rFonts w:ascii="Times New Roman" w:hAnsi="Times New Roman" w:cs="Times New Roman"/>
          <w:szCs w:val="21"/>
        </w:rPr>
      </w:pPr>
    </w:p>
    <w:p w14:paraId="1D11D72F" w14:textId="77777777" w:rsidR="00783FCF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noProof/>
        </w:rPr>
        <w:drawing>
          <wp:inline distT="0" distB="0" distL="114300" distR="114300" wp14:anchorId="1D11D761" wp14:editId="1D11D762">
            <wp:extent cx="3639820" cy="2943225"/>
            <wp:effectExtent l="0" t="0" r="17780" b="9525"/>
            <wp:docPr id="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3982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1D730" w14:textId="77777777" w:rsidR="00783FCF" w:rsidRDefault="00000000">
      <w:pPr>
        <w:rPr>
          <w:rFonts w:ascii="Times New Roman" w:eastAsia="宋体" w:hAnsi="Times New Roman" w:cs="Times New Roman"/>
          <w:szCs w:val="21"/>
          <w:lang w:bidi="ar"/>
        </w:rPr>
      </w:pPr>
      <w:r>
        <w:rPr>
          <w:rFonts w:ascii="Times New Roman" w:hAnsi="Times New Roman" w:cs="Times New Roman"/>
          <w:b/>
          <w:bCs/>
          <w:szCs w:val="21"/>
        </w:rPr>
        <w:t xml:space="preserve">Figure S2. </w:t>
      </w:r>
      <w:r>
        <w:rPr>
          <w:rFonts w:ascii="Times New Roman" w:eastAsia="宋体" w:hAnsi="Times New Roman" w:cs="Times New Roman"/>
          <w:szCs w:val="21"/>
          <w:lang w:bidi="ar"/>
        </w:rPr>
        <w:t xml:space="preserve">Rarefaction analysis </w:t>
      </w:r>
      <w:r>
        <w:rPr>
          <w:rFonts w:ascii="Times New Roman" w:eastAsia="宋体" w:hAnsi="Times New Roman" w:cs="Times New Roman" w:hint="eastAsia"/>
          <w:szCs w:val="21"/>
          <w:lang w:bidi="ar"/>
        </w:rPr>
        <w:t xml:space="preserve">based </w:t>
      </w:r>
      <w:r>
        <w:rPr>
          <w:rFonts w:ascii="Times New Roman" w:eastAsia="宋体" w:hAnsi="Times New Roman" w:cs="Times New Roman"/>
          <w:szCs w:val="21"/>
          <w:lang w:bidi="ar"/>
        </w:rPr>
        <w:t>on observed species.</w:t>
      </w:r>
    </w:p>
    <w:p w14:paraId="1D11D731" w14:textId="77777777" w:rsidR="00783FCF" w:rsidRDefault="0000000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 wp14:anchorId="1D11D763" wp14:editId="1D11D764">
            <wp:extent cx="3036570" cy="2437130"/>
            <wp:effectExtent l="0" t="0" r="11430" b="127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36570" cy="243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1D732" w14:textId="77777777" w:rsidR="00783FCF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  <w:bCs/>
        </w:rPr>
        <w:t xml:space="preserve">Figure S3. </w:t>
      </w:r>
      <w:r>
        <w:rPr>
          <w:rFonts w:ascii="Times New Roman" w:hAnsi="Times New Roman" w:cs="Times New Roman" w:hint="eastAsia"/>
        </w:rPr>
        <w:t>Statistics of functional annotation for the gut microbial reference gene catalog.</w:t>
      </w:r>
    </w:p>
    <w:p w14:paraId="1D11D733" w14:textId="77777777" w:rsidR="00783FCF" w:rsidRDefault="00783FCF">
      <w:pPr>
        <w:rPr>
          <w:rFonts w:ascii="Times New Roman" w:hAnsi="Times New Roman" w:cs="Times New Roman"/>
        </w:rPr>
      </w:pPr>
    </w:p>
    <w:p w14:paraId="1D11D734" w14:textId="77777777" w:rsidR="00783FCF" w:rsidRDefault="00000000">
      <w:pPr>
        <w:rPr>
          <w:rFonts w:ascii="Times New Roman" w:eastAsia="宋体" w:hAnsi="Times New Roman" w:cs="Times New Roman"/>
          <w:szCs w:val="21"/>
          <w:lang w:bidi="ar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 wp14:anchorId="1D11D765" wp14:editId="1D11D766">
            <wp:extent cx="5268595" cy="3086100"/>
            <wp:effectExtent l="0" t="0" r="8255" b="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1D735" w14:textId="77777777" w:rsidR="00783FCF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Figure S</w:t>
      </w:r>
      <w:r>
        <w:rPr>
          <w:rFonts w:ascii="Times New Roman" w:hAnsi="Times New Roman" w:cs="Times New Roman" w:hint="eastAsia"/>
          <w:b/>
          <w:bCs/>
        </w:rPr>
        <w:t>4</w:t>
      </w:r>
      <w:r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</w:rPr>
        <w:t xml:space="preserve">KEGG function composition based on NR genes from the </w:t>
      </w:r>
      <w:r>
        <w:rPr>
          <w:rFonts w:ascii="Times New Roman" w:hAnsi="Times New Roman" w:cs="Times New Roman" w:hint="eastAsia"/>
        </w:rPr>
        <w:t>golden snub-nosed monkey</w:t>
      </w:r>
      <w:r>
        <w:rPr>
          <w:rFonts w:ascii="Times New Roman" w:hAnsi="Times New Roman" w:cs="Times New Roman"/>
        </w:rPr>
        <w:t xml:space="preserve"> gut microbial </w:t>
      </w:r>
      <w:r>
        <w:rPr>
          <w:rFonts w:ascii="Times New Roman" w:hAnsi="Times New Roman" w:cs="Times New Roman" w:hint="eastAsia"/>
        </w:rPr>
        <w:t xml:space="preserve">reference </w:t>
      </w:r>
      <w:r>
        <w:rPr>
          <w:rFonts w:ascii="Times New Roman" w:hAnsi="Times New Roman" w:cs="Times New Roman"/>
        </w:rPr>
        <w:t>gene catalog.</w:t>
      </w:r>
    </w:p>
    <w:p w14:paraId="1D11D736" w14:textId="77777777" w:rsidR="00783FCF" w:rsidRDefault="00783FCF">
      <w:pPr>
        <w:rPr>
          <w:rFonts w:ascii="Times New Roman" w:eastAsia="宋体" w:hAnsi="Times New Roman" w:cs="Times New Roman"/>
          <w:szCs w:val="21"/>
          <w:lang w:bidi="ar"/>
        </w:rPr>
      </w:pPr>
    </w:p>
    <w:p w14:paraId="1D11D737" w14:textId="77777777" w:rsidR="00783FCF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 wp14:anchorId="1D11D767" wp14:editId="1D11D768">
            <wp:extent cx="5271770" cy="3035300"/>
            <wp:effectExtent l="0" t="0" r="5080" b="1270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03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1D738" w14:textId="77777777" w:rsidR="00783FCF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Figure S</w:t>
      </w:r>
      <w:r>
        <w:rPr>
          <w:rFonts w:ascii="Times New Roman" w:hAnsi="Times New Roman" w:cs="Times New Roman" w:hint="eastAsia"/>
          <w:b/>
          <w:bCs/>
        </w:rPr>
        <w:t>5</w:t>
      </w:r>
      <w:r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</w:rPr>
        <w:t xml:space="preserve">COG function composition based on NR genes from the </w:t>
      </w:r>
      <w:r>
        <w:rPr>
          <w:rFonts w:ascii="Times New Roman" w:hAnsi="Times New Roman" w:cs="Times New Roman" w:hint="eastAsia"/>
        </w:rPr>
        <w:t>golden snub-nosed monkey</w:t>
      </w:r>
      <w:r>
        <w:rPr>
          <w:rFonts w:ascii="Times New Roman" w:hAnsi="Times New Roman" w:cs="Times New Roman"/>
        </w:rPr>
        <w:t xml:space="preserve"> gut microbial</w:t>
      </w:r>
      <w:r>
        <w:rPr>
          <w:rFonts w:ascii="Times New Roman" w:hAnsi="Times New Roman" w:cs="Times New Roman" w:hint="eastAsia"/>
        </w:rPr>
        <w:t xml:space="preserve"> reference </w:t>
      </w:r>
      <w:r>
        <w:rPr>
          <w:rFonts w:ascii="Times New Roman" w:hAnsi="Times New Roman" w:cs="Times New Roman"/>
        </w:rPr>
        <w:t xml:space="preserve"> gene catalog.</w:t>
      </w:r>
    </w:p>
    <w:p w14:paraId="1D11D739" w14:textId="77777777" w:rsidR="00783FCF" w:rsidRDefault="00783FCF">
      <w:pPr>
        <w:rPr>
          <w:rFonts w:ascii="Times New Roman" w:hAnsi="Times New Roman" w:cs="Times New Roman"/>
        </w:rPr>
      </w:pPr>
    </w:p>
    <w:p w14:paraId="1D11D73A" w14:textId="77777777" w:rsidR="00783FCF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 wp14:anchorId="1D11D769" wp14:editId="1D11D76A">
            <wp:extent cx="5273675" cy="3261360"/>
            <wp:effectExtent l="0" t="0" r="3175" b="1524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26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1D73B" w14:textId="77777777" w:rsidR="00783FCF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Figure S</w:t>
      </w:r>
      <w:r>
        <w:rPr>
          <w:rFonts w:ascii="Times New Roman" w:hAnsi="Times New Roman" w:cs="Times New Roman" w:hint="eastAsia"/>
          <w:b/>
          <w:bCs/>
        </w:rPr>
        <w:t>6</w:t>
      </w:r>
      <w:r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CAZy function composition based on NR genes from the </w:t>
      </w:r>
      <w:r>
        <w:rPr>
          <w:rFonts w:ascii="Times New Roman" w:hAnsi="Times New Roman" w:cs="Times New Roman" w:hint="eastAsia"/>
        </w:rPr>
        <w:t>golden snub-nosed monkey</w:t>
      </w:r>
      <w:r>
        <w:rPr>
          <w:rFonts w:ascii="Times New Roman" w:hAnsi="Times New Roman" w:cs="Times New Roman"/>
        </w:rPr>
        <w:t xml:space="preserve"> gut microbial </w:t>
      </w:r>
      <w:r>
        <w:rPr>
          <w:rFonts w:ascii="Times New Roman" w:hAnsi="Times New Roman" w:cs="Times New Roman" w:hint="eastAsia"/>
        </w:rPr>
        <w:t xml:space="preserve">reference </w:t>
      </w:r>
      <w:r>
        <w:rPr>
          <w:rFonts w:ascii="Times New Roman" w:hAnsi="Times New Roman" w:cs="Times New Roman"/>
        </w:rPr>
        <w:t>gene</w:t>
      </w:r>
      <w:r>
        <w:rPr>
          <w:rFonts w:ascii="Times New Roman" w:hAnsi="Times New Roman" w:cs="Times New Roman" w:hint="eastAsia"/>
        </w:rPr>
        <w:t xml:space="preserve"> catalog</w:t>
      </w:r>
      <w:r>
        <w:rPr>
          <w:rFonts w:ascii="Times New Roman" w:hAnsi="Times New Roman" w:cs="Times New Roman"/>
        </w:rPr>
        <w:t>.</w:t>
      </w:r>
    </w:p>
    <w:p w14:paraId="1D11D73C" w14:textId="77777777" w:rsidR="00783FCF" w:rsidRDefault="00000000">
      <w:pPr>
        <w:jc w:val="center"/>
      </w:pPr>
      <w:r>
        <w:rPr>
          <w:noProof/>
        </w:rPr>
        <w:lastRenderedPageBreak/>
        <w:drawing>
          <wp:inline distT="0" distB="0" distL="114300" distR="114300" wp14:anchorId="1D11D76B" wp14:editId="1D11D76C">
            <wp:extent cx="4730115" cy="2965450"/>
            <wp:effectExtent l="0" t="0" r="13335" b="635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30115" cy="296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1D73D" w14:textId="77777777" w:rsidR="00783FCF" w:rsidRDefault="00000000">
      <w:pPr>
        <w:rPr>
          <w:rFonts w:ascii="Times New Roman" w:eastAsia="宋体" w:hAnsi="Times New Roman" w:cs="Times New Roman"/>
          <w:szCs w:val="21"/>
          <w:lang w:bidi="ar"/>
        </w:rPr>
      </w:pPr>
      <w:r>
        <w:rPr>
          <w:rFonts w:ascii="Times New Roman" w:eastAsia="宋体" w:hAnsi="Times New Roman" w:cs="Times New Roman"/>
          <w:b/>
          <w:bCs/>
          <w:szCs w:val="21"/>
          <w:lang w:bidi="ar"/>
        </w:rPr>
        <w:t xml:space="preserve">Figure S7. </w:t>
      </w:r>
      <w:r>
        <w:rPr>
          <w:rFonts w:ascii="Times New Roman" w:eastAsia="宋体" w:hAnsi="Times New Roman" w:cs="Times New Roman"/>
          <w:szCs w:val="21"/>
          <w:lang w:bidi="ar"/>
        </w:rPr>
        <w:t>Rarefaction analysis of pan-genes and core-genes on the Captive, Provision and Wild golden snub-nosed monkey gut microbiome.</w:t>
      </w:r>
    </w:p>
    <w:p w14:paraId="1D11D73E" w14:textId="77777777" w:rsidR="00783FCF" w:rsidRDefault="00783FCF">
      <w:pPr>
        <w:rPr>
          <w:rFonts w:ascii="Times New Roman" w:eastAsia="宋体" w:hAnsi="Times New Roman" w:cs="Times New Roman"/>
          <w:szCs w:val="21"/>
          <w:lang w:bidi="ar"/>
        </w:rPr>
      </w:pPr>
    </w:p>
    <w:p w14:paraId="1D11D73F" w14:textId="77777777" w:rsidR="00783FCF" w:rsidRDefault="00783FCF">
      <w:pPr>
        <w:rPr>
          <w:rFonts w:ascii="Times New Roman" w:eastAsia="宋体" w:hAnsi="Times New Roman" w:cs="Times New Roman"/>
          <w:szCs w:val="21"/>
          <w:lang w:bidi="ar"/>
        </w:rPr>
      </w:pPr>
    </w:p>
    <w:p w14:paraId="1D11D740" w14:textId="77777777" w:rsidR="00783FCF" w:rsidRDefault="00000000">
      <w:pPr>
        <w:jc w:val="center"/>
      </w:pPr>
      <w:r>
        <w:rPr>
          <w:noProof/>
        </w:rPr>
        <w:drawing>
          <wp:inline distT="0" distB="0" distL="114300" distR="114300" wp14:anchorId="1D11D76D" wp14:editId="1D11D76E">
            <wp:extent cx="5269865" cy="2167255"/>
            <wp:effectExtent l="0" t="0" r="6985" b="4445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16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1D741" w14:textId="73D315E3" w:rsidR="00783FCF" w:rsidRDefault="00000000">
      <w:r>
        <w:rPr>
          <w:rFonts w:ascii="Times New Roman" w:eastAsia="宋体" w:hAnsi="Times New Roman" w:cs="Times New Roman"/>
          <w:b/>
          <w:bCs/>
          <w:szCs w:val="21"/>
          <w:lang w:bidi="ar"/>
        </w:rPr>
        <w:t>Figure S</w:t>
      </w:r>
      <w:r>
        <w:rPr>
          <w:rFonts w:ascii="Times New Roman" w:eastAsia="宋体" w:hAnsi="Times New Roman" w:cs="Times New Roman" w:hint="eastAsia"/>
          <w:b/>
          <w:bCs/>
          <w:szCs w:val="21"/>
          <w:lang w:bidi="ar"/>
        </w:rPr>
        <w:t>8</w:t>
      </w:r>
      <w:r>
        <w:rPr>
          <w:rFonts w:ascii="Times New Roman" w:eastAsia="宋体" w:hAnsi="Times New Roman" w:cs="Times New Roman"/>
          <w:b/>
          <w:bCs/>
          <w:szCs w:val="21"/>
          <w:lang w:bidi="ar"/>
        </w:rPr>
        <w:t xml:space="preserve">. </w:t>
      </w:r>
      <w:r>
        <w:rPr>
          <w:rFonts w:ascii="Times New Roman" w:eastAsia="宋体" w:hAnsi="Times New Roman" w:cs="Times New Roman"/>
          <w:szCs w:val="21"/>
          <w:lang w:bidi="ar"/>
        </w:rPr>
        <w:t xml:space="preserve">Gut microbial community diversity variation in </w:t>
      </w:r>
      <w:r w:rsidR="005E7EB7">
        <w:rPr>
          <w:rFonts w:ascii="Times New Roman" w:eastAsia="宋体" w:hAnsi="Times New Roman" w:cs="Times New Roman"/>
          <w:szCs w:val="21"/>
          <w:lang w:bidi="ar"/>
        </w:rPr>
        <w:t xml:space="preserve">the </w:t>
      </w:r>
      <w:r>
        <w:rPr>
          <w:rFonts w:ascii="Times New Roman" w:eastAsia="宋体" w:hAnsi="Times New Roman" w:cs="Times New Roman"/>
          <w:szCs w:val="21"/>
          <w:lang w:bidi="ar"/>
        </w:rPr>
        <w:t>Captive, Provision and Wild</w:t>
      </w:r>
      <w:r w:rsidR="005E7EB7">
        <w:rPr>
          <w:rFonts w:ascii="Times New Roman" w:eastAsia="宋体" w:hAnsi="Times New Roman" w:cs="Times New Roman"/>
          <w:szCs w:val="21"/>
          <w:lang w:bidi="ar"/>
        </w:rPr>
        <w:t xml:space="preserve"> group</w:t>
      </w:r>
      <w:r>
        <w:rPr>
          <w:rFonts w:ascii="Times New Roman" w:eastAsia="宋体" w:hAnsi="Times New Roman" w:cs="Times New Roman"/>
          <w:szCs w:val="21"/>
          <w:lang w:bidi="ar"/>
        </w:rPr>
        <w:t>. (</w:t>
      </w:r>
      <w:r>
        <w:rPr>
          <w:rFonts w:ascii="Times New Roman" w:eastAsia="宋体" w:hAnsi="Times New Roman" w:cs="Times New Roman" w:hint="eastAsia"/>
          <w:szCs w:val="21"/>
          <w:lang w:bidi="ar"/>
        </w:rPr>
        <w:t>A</w:t>
      </w:r>
      <w:r>
        <w:rPr>
          <w:rFonts w:ascii="Times New Roman" w:eastAsia="宋体" w:hAnsi="Times New Roman" w:cs="Times New Roman"/>
          <w:szCs w:val="21"/>
          <w:lang w:bidi="ar"/>
        </w:rPr>
        <w:t xml:space="preserve">) Alpha-diversity indices (Simpson) in </w:t>
      </w:r>
      <w:r w:rsidR="005E7EB7">
        <w:rPr>
          <w:rFonts w:ascii="Times New Roman" w:eastAsia="宋体" w:hAnsi="Times New Roman" w:cs="Times New Roman"/>
          <w:szCs w:val="21"/>
          <w:lang w:bidi="ar"/>
        </w:rPr>
        <w:t xml:space="preserve">the </w:t>
      </w:r>
      <w:r>
        <w:rPr>
          <w:rFonts w:ascii="Times New Roman" w:eastAsia="宋体" w:hAnsi="Times New Roman" w:cs="Times New Roman"/>
          <w:szCs w:val="21"/>
          <w:lang w:bidi="ar"/>
        </w:rPr>
        <w:t>Captive, Provision and Wild</w:t>
      </w:r>
      <w:r w:rsidR="005E7EB7">
        <w:rPr>
          <w:rFonts w:ascii="Times New Roman" w:eastAsia="宋体" w:hAnsi="Times New Roman" w:cs="Times New Roman"/>
          <w:szCs w:val="21"/>
          <w:lang w:bidi="ar"/>
        </w:rPr>
        <w:t xml:space="preserve"> group</w:t>
      </w:r>
      <w:r>
        <w:rPr>
          <w:rFonts w:ascii="Times New Roman" w:eastAsia="宋体" w:hAnsi="Times New Roman" w:cs="Times New Roman"/>
          <w:szCs w:val="21"/>
          <w:lang w:bidi="ar"/>
        </w:rPr>
        <w:t>. (</w:t>
      </w:r>
      <w:r>
        <w:rPr>
          <w:rFonts w:ascii="Times New Roman" w:eastAsia="宋体" w:hAnsi="Times New Roman" w:cs="Times New Roman" w:hint="eastAsia"/>
          <w:szCs w:val="21"/>
          <w:lang w:bidi="ar"/>
        </w:rPr>
        <w:t>B</w:t>
      </w:r>
      <w:r>
        <w:rPr>
          <w:rFonts w:ascii="Times New Roman" w:eastAsia="宋体" w:hAnsi="Times New Roman" w:cs="Times New Roman"/>
          <w:szCs w:val="21"/>
          <w:lang w:bidi="ar"/>
        </w:rPr>
        <w:t>) Differences in golden snub-nosed monkey gut microbiome beta-diversity associated with the Captive, Provision and Wild. PCoA based on Jaccard distance. The statistical significance between groups was assessed by Mann Whitney U test. PCoA, principal coordinates analysis; PERMANOVA, permutational multivariate analysis of variance.</w:t>
      </w:r>
    </w:p>
    <w:p w14:paraId="1D11D742" w14:textId="77777777" w:rsidR="00783FCF" w:rsidRDefault="00783FCF">
      <w:pPr>
        <w:jc w:val="center"/>
      </w:pPr>
    </w:p>
    <w:p w14:paraId="1D11D743" w14:textId="77777777" w:rsidR="00783FCF" w:rsidRDefault="00783FCF">
      <w:pPr>
        <w:jc w:val="center"/>
      </w:pPr>
    </w:p>
    <w:p w14:paraId="1D11D744" w14:textId="77777777" w:rsidR="00783FCF" w:rsidRDefault="00000000">
      <w:pPr>
        <w:jc w:val="center"/>
      </w:pPr>
      <w:r>
        <w:rPr>
          <w:noProof/>
        </w:rPr>
        <w:lastRenderedPageBreak/>
        <w:drawing>
          <wp:inline distT="0" distB="0" distL="114300" distR="114300" wp14:anchorId="1D11D76F" wp14:editId="1D11D770">
            <wp:extent cx="2849245" cy="1570990"/>
            <wp:effectExtent l="0" t="0" r="0" b="0"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5287" b="50121"/>
                    <a:stretch>
                      <a:fillRect/>
                    </a:stretch>
                  </pic:blipFill>
                  <pic:spPr>
                    <a:xfrm>
                      <a:off x="0" y="0"/>
                      <a:ext cx="2849245" cy="157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1D745" w14:textId="27274D90" w:rsidR="00783FCF" w:rsidRDefault="00000000">
      <w:pPr>
        <w:pStyle w:val="2"/>
        <w:jc w:val="both"/>
      </w:pPr>
      <w:r>
        <w:rPr>
          <w:b/>
          <w:bCs/>
        </w:rPr>
        <w:t xml:space="preserve">Figure </w:t>
      </w:r>
      <w:r>
        <w:rPr>
          <w:rFonts w:hint="eastAsia"/>
          <w:b/>
          <w:bCs/>
        </w:rPr>
        <w:t>S9.</w:t>
      </w:r>
      <w:r>
        <w:rPr>
          <w:b/>
          <w:bCs/>
        </w:rPr>
        <w:t xml:space="preserve"> </w:t>
      </w:r>
      <w:r>
        <w:t xml:space="preserve">Beta-diversity between </w:t>
      </w:r>
      <w:r w:rsidR="005E7EB7">
        <w:t xml:space="preserve">the </w:t>
      </w:r>
      <w:r>
        <w:t>Wild and Captive</w:t>
      </w:r>
      <w:r w:rsidR="005E7EB7">
        <w:t xml:space="preserve"> group</w:t>
      </w:r>
      <w:r>
        <w:t xml:space="preserve"> and beta-diversity between </w:t>
      </w:r>
      <w:r w:rsidR="005E7EB7">
        <w:t xml:space="preserve">the </w:t>
      </w:r>
      <w:r>
        <w:t>Wild and Provision</w:t>
      </w:r>
      <w:r w:rsidR="005E7EB7">
        <w:t xml:space="preserve"> group </w:t>
      </w:r>
      <w:r>
        <w:t xml:space="preserve">.  </w:t>
      </w:r>
      <w:r>
        <w:rPr>
          <w:rFonts w:hint="eastAsia"/>
        </w:rPr>
        <w:t>The statistical significance between groups was assessed by Mann Whitney U test</w:t>
      </w:r>
      <w:r>
        <w:t>.</w:t>
      </w:r>
    </w:p>
    <w:p w14:paraId="1D11D746" w14:textId="77777777" w:rsidR="00783FCF" w:rsidRDefault="00783FCF">
      <w:pPr>
        <w:pStyle w:val="2"/>
        <w:spacing w:afterLines="0" w:after="0"/>
        <w:jc w:val="both"/>
      </w:pPr>
    </w:p>
    <w:p w14:paraId="1D11D747" w14:textId="77777777" w:rsidR="00783FCF" w:rsidRDefault="00000000">
      <w:pPr>
        <w:pStyle w:val="2"/>
        <w:spacing w:afterLines="0" w:after="0"/>
      </w:pPr>
      <w:r>
        <w:rPr>
          <w:noProof/>
        </w:rPr>
        <w:drawing>
          <wp:inline distT="0" distB="0" distL="114300" distR="114300" wp14:anchorId="1D11D771" wp14:editId="1D11D772">
            <wp:extent cx="4362450" cy="2856865"/>
            <wp:effectExtent l="0" t="0" r="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285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1D748" w14:textId="70DCB275" w:rsidR="00783FCF" w:rsidRDefault="00000000">
      <w:pPr>
        <w:pStyle w:val="2"/>
        <w:spacing w:afterLines="0" w:after="0"/>
        <w:jc w:val="both"/>
      </w:pPr>
      <w:r>
        <w:rPr>
          <w:b/>
          <w:bCs/>
        </w:rPr>
        <w:t xml:space="preserve">Figure </w:t>
      </w:r>
      <w:r>
        <w:rPr>
          <w:rFonts w:hint="eastAsia"/>
          <w:b/>
          <w:bCs/>
        </w:rPr>
        <w:t>S10.</w:t>
      </w:r>
      <w:r>
        <w:rPr>
          <w:b/>
          <w:bCs/>
        </w:rPr>
        <w:t xml:space="preserve"> </w:t>
      </w:r>
      <w:r>
        <w:rPr>
          <w:rFonts w:hint="eastAsia"/>
        </w:rPr>
        <w:t xml:space="preserve">Gut microbial community niche overlap analysis among </w:t>
      </w:r>
      <w:r w:rsidR="005E7EB7">
        <w:t xml:space="preserve">the </w:t>
      </w:r>
      <w:r>
        <w:rPr>
          <w:rFonts w:hint="eastAsia"/>
        </w:rPr>
        <w:t>Captive, Provision and Wild golden snub-nosed monkey</w:t>
      </w:r>
      <w:r>
        <w:t xml:space="preserve">. </w:t>
      </w:r>
      <w:r>
        <w:rPr>
          <w:rFonts w:eastAsia="宋体"/>
          <w:bCs/>
          <w:szCs w:val="21"/>
          <w:lang w:bidi="ar"/>
        </w:rPr>
        <w:t xml:space="preserve">The statistical significance among groups was assessed by </w:t>
      </w:r>
      <w:r>
        <w:rPr>
          <w:rFonts w:eastAsia="宋体" w:hint="eastAsia"/>
          <w:szCs w:val="21"/>
          <w:lang w:bidi="ar"/>
        </w:rPr>
        <w:t>Kolmogorov-Smirnov test</w:t>
      </w:r>
      <w:r>
        <w:t>.</w:t>
      </w:r>
    </w:p>
    <w:p w14:paraId="1D11D749" w14:textId="77777777" w:rsidR="00783FCF" w:rsidRDefault="00783FCF">
      <w:pPr>
        <w:pStyle w:val="2"/>
        <w:spacing w:afterLines="0" w:after="0"/>
      </w:pPr>
    </w:p>
    <w:p w14:paraId="1D11D74A" w14:textId="77777777" w:rsidR="00783FCF" w:rsidRDefault="00000000">
      <w:pPr>
        <w:pStyle w:val="2"/>
        <w:spacing w:afterLines="0" w:after="0"/>
        <w:jc w:val="both"/>
      </w:pPr>
      <w:r>
        <w:rPr>
          <w:noProof/>
        </w:rPr>
        <w:drawing>
          <wp:inline distT="0" distB="0" distL="114300" distR="114300" wp14:anchorId="1D11D773" wp14:editId="1D11D774">
            <wp:extent cx="5267960" cy="1810385"/>
            <wp:effectExtent l="0" t="0" r="8890" b="18415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81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Figure </w:t>
      </w:r>
      <w:r>
        <w:rPr>
          <w:rFonts w:hint="eastAsia"/>
          <w:b/>
          <w:bCs/>
        </w:rPr>
        <w:t>S11.</w:t>
      </w:r>
      <w:r>
        <w:rPr>
          <w:b/>
          <w:bCs/>
        </w:rPr>
        <w:t xml:space="preserve"> </w:t>
      </w:r>
      <w:r>
        <w:rPr>
          <w:rFonts w:hint="eastAsia"/>
        </w:rPr>
        <w:t xml:space="preserve">Fit of the neutral community model (NCM) of community assembly. The predicted occurrence frequencies for Captive, Provision and Wild representing microbial communities from </w:t>
      </w:r>
      <w:r>
        <w:rPr>
          <w:rFonts w:hint="eastAsia"/>
        </w:rPr>
        <w:lastRenderedPageBreak/>
        <w:t>Captive, Provision and Wild golden snub-nosed monkey, respectively. The solid blue lines indicate the best fit to the NCM as in Sloan et al., and the dashed blue lines represent 95% confidence intervals around the model prediction. Species that occur more or less frequently than predicted by the NCM are shown in different colors. Nm indicates the metacommunity size times immigration, R</w:t>
      </w:r>
      <w:r>
        <w:rPr>
          <w:rFonts w:hint="eastAsia"/>
          <w:vertAlign w:val="superscript"/>
        </w:rPr>
        <w:t>2</w:t>
      </w:r>
      <w:r>
        <w:rPr>
          <w:rFonts w:hint="eastAsia"/>
        </w:rPr>
        <w:t xml:space="preserve"> indicates the fit to this model.</w:t>
      </w:r>
    </w:p>
    <w:p w14:paraId="1D11D74B" w14:textId="77777777" w:rsidR="00783FCF" w:rsidRDefault="00783FCF">
      <w:pPr>
        <w:pStyle w:val="2"/>
        <w:spacing w:afterLines="0" w:after="0"/>
        <w:jc w:val="both"/>
      </w:pPr>
    </w:p>
    <w:p w14:paraId="1D11D74C" w14:textId="77777777" w:rsidR="00783FCF" w:rsidRDefault="00000000">
      <w:pPr>
        <w:pStyle w:val="2"/>
        <w:spacing w:afterLines="0" w:after="0"/>
      </w:pPr>
      <w:r>
        <w:rPr>
          <w:noProof/>
        </w:rPr>
        <w:drawing>
          <wp:inline distT="0" distB="0" distL="114300" distR="114300" wp14:anchorId="1D11D775" wp14:editId="1D11D776">
            <wp:extent cx="4505325" cy="4852035"/>
            <wp:effectExtent l="0" t="0" r="9525" b="5715"/>
            <wp:docPr id="1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485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1D74D" w14:textId="77777777" w:rsidR="00783FCF" w:rsidRDefault="00000000">
      <w:pPr>
        <w:pStyle w:val="2"/>
        <w:spacing w:afterLines="0" w:after="0"/>
        <w:jc w:val="both"/>
      </w:pPr>
      <w:r>
        <w:rPr>
          <w:b/>
          <w:bCs/>
        </w:rPr>
        <w:t xml:space="preserve">Figure </w:t>
      </w:r>
      <w:r>
        <w:rPr>
          <w:rFonts w:hint="eastAsia"/>
          <w:b/>
          <w:bCs/>
        </w:rPr>
        <w:t>S12.</w:t>
      </w:r>
      <w:r>
        <w:rPr>
          <w:b/>
          <w:bCs/>
        </w:rPr>
        <w:t xml:space="preserve"> </w:t>
      </w:r>
      <w:r>
        <w:rPr>
          <w:rFonts w:hint="eastAsia"/>
        </w:rPr>
        <w:t xml:space="preserve">Metabolic pathways analysis based on the KEGG functional differences among the wild (W), provision (P), and captive (C) golden snub-nosed monkey. </w:t>
      </w:r>
      <w:r>
        <w:t>A pairwise</w:t>
      </w:r>
      <w:r>
        <w:rPr>
          <w:rFonts w:hint="eastAsia"/>
        </w:rPr>
        <w:t xml:space="preserve"> comparison of pathway networks was conducted to screen the significantly regulated metabolic pathways, and IPATH3 was used for visualization. The red lines </w:t>
      </w:r>
      <w:r>
        <w:t>represent</w:t>
      </w:r>
      <w:r>
        <w:rPr>
          <w:rFonts w:hint="eastAsia"/>
        </w:rPr>
        <w:t xml:space="preserve"> the up-regulated pathways, and the green lines </w:t>
      </w:r>
      <w:r>
        <w:t>represent</w:t>
      </w:r>
      <w:r>
        <w:rPr>
          <w:rFonts w:hint="eastAsia"/>
        </w:rPr>
        <w:t xml:space="preserve"> the down-regulated pathways, while the gray lines </w:t>
      </w:r>
      <w:r>
        <w:t>represent</w:t>
      </w:r>
      <w:r>
        <w:rPr>
          <w:rFonts w:hint="eastAsia"/>
        </w:rPr>
        <w:t xml:space="preserve"> the pathways with no difference between groups.</w:t>
      </w:r>
    </w:p>
    <w:p w14:paraId="1D11D74E" w14:textId="77777777" w:rsidR="00783FCF" w:rsidRDefault="00000000">
      <w:pPr>
        <w:pStyle w:val="2"/>
        <w:spacing w:afterLines="0" w:after="0"/>
        <w:jc w:val="both"/>
      </w:pPr>
      <w:r>
        <w:rPr>
          <w:noProof/>
        </w:rPr>
        <w:lastRenderedPageBreak/>
        <w:drawing>
          <wp:inline distT="0" distB="0" distL="114300" distR="114300" wp14:anchorId="1D11D777" wp14:editId="1D11D778">
            <wp:extent cx="5269230" cy="1628140"/>
            <wp:effectExtent l="0" t="0" r="7620" b="10160"/>
            <wp:docPr id="1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62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1D74F" w14:textId="0D85EEA2" w:rsidR="00783FCF" w:rsidRDefault="00000000">
      <w:pPr>
        <w:pStyle w:val="2"/>
        <w:jc w:val="both"/>
      </w:pPr>
      <w:r>
        <w:rPr>
          <w:b/>
          <w:bCs/>
        </w:rPr>
        <w:t xml:space="preserve">Figure </w:t>
      </w:r>
      <w:r>
        <w:rPr>
          <w:rFonts w:hint="eastAsia"/>
          <w:b/>
          <w:bCs/>
        </w:rPr>
        <w:t>S13.</w:t>
      </w:r>
      <w:r>
        <w:rPr>
          <w:b/>
          <w:bCs/>
        </w:rPr>
        <w:t xml:space="preserve"> </w:t>
      </w:r>
      <w:r>
        <w:rPr>
          <w:rFonts w:hint="eastAsia"/>
        </w:rPr>
        <w:t>Box</w:t>
      </w:r>
      <w:r>
        <w:t xml:space="preserve"> plots of beta-diversity between </w:t>
      </w:r>
      <w:bookmarkStart w:id="0" w:name="_Hlk136606196"/>
      <w:r w:rsidR="005E7EB7">
        <w:t xml:space="preserve">the </w:t>
      </w:r>
      <w:r>
        <w:t xml:space="preserve">Wild and Captive </w:t>
      </w:r>
      <w:r w:rsidR="005E7EB7">
        <w:t>groups</w:t>
      </w:r>
      <w:bookmarkEnd w:id="0"/>
      <w:r w:rsidR="005E7EB7">
        <w:t xml:space="preserve"> </w:t>
      </w:r>
      <w:r>
        <w:t xml:space="preserve">and beta-diversity between Wild and Provision. </w:t>
      </w:r>
      <w:r>
        <w:rPr>
          <w:rFonts w:hint="eastAsia"/>
        </w:rPr>
        <w:t>The statistical significance between groups was assessed by Mann Whitney U test</w:t>
      </w:r>
      <w:r>
        <w:t>.</w:t>
      </w:r>
    </w:p>
    <w:p w14:paraId="1D11D750" w14:textId="77777777" w:rsidR="00783FCF" w:rsidRDefault="00783FCF">
      <w:pPr>
        <w:pStyle w:val="2"/>
        <w:spacing w:afterLines="0" w:after="0"/>
        <w:jc w:val="both"/>
      </w:pPr>
    </w:p>
    <w:p w14:paraId="1D11D751" w14:textId="77777777" w:rsidR="00783FCF" w:rsidRDefault="00000000">
      <w:pPr>
        <w:pStyle w:val="2"/>
        <w:spacing w:afterLines="0" w:after="0"/>
      </w:pPr>
      <w:r>
        <w:rPr>
          <w:noProof/>
        </w:rPr>
        <w:drawing>
          <wp:inline distT="0" distB="0" distL="114300" distR="114300" wp14:anchorId="1D11D779" wp14:editId="1D11D77A">
            <wp:extent cx="3904615" cy="3733165"/>
            <wp:effectExtent l="0" t="0" r="635" b="635"/>
            <wp:docPr id="1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904615" cy="373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1D752" w14:textId="4AA1CEE0" w:rsidR="00783FCF" w:rsidRDefault="00000000">
      <w:pPr>
        <w:pStyle w:val="2"/>
        <w:spacing w:afterLines="0" w:after="0"/>
        <w:jc w:val="both"/>
      </w:pPr>
      <w:r>
        <w:rPr>
          <w:b/>
          <w:bCs/>
        </w:rPr>
        <w:t xml:space="preserve">Figure </w:t>
      </w:r>
      <w:r>
        <w:rPr>
          <w:rFonts w:hint="eastAsia"/>
          <w:b/>
          <w:bCs/>
        </w:rPr>
        <w:t>S14.</w:t>
      </w:r>
      <w:r>
        <w:rPr>
          <w:b/>
          <w:bCs/>
        </w:rPr>
        <w:t xml:space="preserve"> </w:t>
      </w:r>
      <w:r>
        <w:rPr>
          <w:rFonts w:hint="eastAsia"/>
        </w:rPr>
        <w:t xml:space="preserve">Antibiotic resistance gene analysis of the gut microbiota in </w:t>
      </w:r>
      <w:r w:rsidR="005E7EB7" w:rsidRPr="005E7EB7">
        <w:t>the Wild</w:t>
      </w:r>
      <w:r w:rsidR="00FD7131">
        <w:t xml:space="preserve">, Provision </w:t>
      </w:r>
      <w:r w:rsidR="005E7EB7" w:rsidRPr="005E7EB7">
        <w:t xml:space="preserve">and Captive </w:t>
      </w:r>
      <w:r>
        <w:rPr>
          <w:rFonts w:hint="eastAsia"/>
        </w:rPr>
        <w:t>golden snub-nosed monkey. The abscissa of the heat map represents the sample, and the ordinate represents the type of ARGs.</w:t>
      </w:r>
    </w:p>
    <w:p w14:paraId="1D11D753" w14:textId="77777777" w:rsidR="00783FCF" w:rsidRDefault="00000000">
      <w:pPr>
        <w:pStyle w:val="2"/>
        <w:spacing w:afterLines="0" w:after="0"/>
      </w:pPr>
      <w:r>
        <w:rPr>
          <w:noProof/>
        </w:rPr>
        <w:lastRenderedPageBreak/>
        <w:drawing>
          <wp:inline distT="0" distB="0" distL="114300" distR="114300" wp14:anchorId="1D11D77B" wp14:editId="1D11D77C">
            <wp:extent cx="5146675" cy="3606165"/>
            <wp:effectExtent l="0" t="0" r="15875" b="13335"/>
            <wp:docPr id="1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146675" cy="360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1D754" w14:textId="5E345A0F" w:rsidR="00783FCF" w:rsidRDefault="00000000">
      <w:pPr>
        <w:pStyle w:val="2"/>
        <w:spacing w:afterLines="0" w:after="0"/>
        <w:jc w:val="both"/>
      </w:pPr>
      <w:r>
        <w:rPr>
          <w:rFonts w:hint="eastAsia"/>
          <w:b/>
          <w:bCs/>
        </w:rPr>
        <w:t xml:space="preserve">Figure S15. </w:t>
      </w:r>
      <w:r>
        <w:rPr>
          <w:rFonts w:hint="eastAsia"/>
        </w:rPr>
        <w:t>V</w:t>
      </w:r>
      <w:r>
        <w:rPr>
          <w:rFonts w:eastAsia="宋体"/>
          <w:sz w:val="24"/>
          <w:lang w:bidi="ar"/>
        </w:rPr>
        <w:t>irulence factor</w:t>
      </w:r>
      <w:r>
        <w:rPr>
          <w:rFonts w:hint="eastAsia"/>
        </w:rPr>
        <w:t xml:space="preserve"> analysis of the gut microbiota in </w:t>
      </w:r>
      <w:r w:rsidR="00FD7131" w:rsidRPr="005E7EB7">
        <w:t>the Wild</w:t>
      </w:r>
      <w:r w:rsidR="00FD7131">
        <w:t xml:space="preserve">, Provision </w:t>
      </w:r>
      <w:r w:rsidR="00FD7131" w:rsidRPr="005E7EB7">
        <w:t xml:space="preserve">and Captive </w:t>
      </w:r>
      <w:r>
        <w:rPr>
          <w:rFonts w:hint="eastAsia"/>
        </w:rPr>
        <w:t>golden snub-nosed monkey. The abscissa of the heat map represents the sample, and the ordinate represents the class of VFs.</w:t>
      </w:r>
    </w:p>
    <w:p w14:paraId="1D11D755" w14:textId="77777777" w:rsidR="00783FCF" w:rsidRDefault="00000000">
      <w:pPr>
        <w:pStyle w:val="2"/>
        <w:spacing w:afterLines="0" w:after="0"/>
        <w:jc w:val="both"/>
      </w:pPr>
      <w:r>
        <w:rPr>
          <w:noProof/>
        </w:rPr>
        <w:lastRenderedPageBreak/>
        <w:drawing>
          <wp:inline distT="0" distB="0" distL="114300" distR="114300" wp14:anchorId="1D11D77D" wp14:editId="1D11D77E">
            <wp:extent cx="5269865" cy="4497705"/>
            <wp:effectExtent l="0" t="0" r="6985" b="17145"/>
            <wp:docPr id="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49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1D756" w14:textId="77777777" w:rsidR="00783FCF" w:rsidRDefault="00000000">
      <w:pPr>
        <w:rPr>
          <w:rFonts w:ascii="Times New Roman" w:eastAsia="宋体" w:hAnsi="Times New Roman" w:cs="Times New Roman"/>
          <w:szCs w:val="21"/>
          <w:lang w:bidi="ar"/>
        </w:rPr>
      </w:pPr>
      <w:r>
        <w:rPr>
          <w:rFonts w:ascii="Times New Roman" w:eastAsia="宋体" w:hAnsi="Times New Roman" w:cs="Times New Roman" w:hint="eastAsia"/>
          <w:b/>
          <w:bCs/>
          <w:szCs w:val="21"/>
          <w:lang w:bidi="ar"/>
        </w:rPr>
        <w:t xml:space="preserve">Figure S16. </w:t>
      </w:r>
      <w:r>
        <w:rPr>
          <w:rFonts w:ascii="Times New Roman" w:eastAsia="宋体" w:hAnsi="Times New Roman" w:cs="Times New Roman" w:hint="eastAsia"/>
          <w:szCs w:val="21"/>
          <w:lang w:bidi="ar"/>
        </w:rPr>
        <w:t>O</w:t>
      </w:r>
      <w:r>
        <w:rPr>
          <w:rFonts w:ascii="Times New Roman" w:eastAsia="宋体" w:hAnsi="Times New Roman" w:cs="Times New Roman"/>
          <w:szCs w:val="21"/>
          <w:lang w:bidi="ar"/>
        </w:rPr>
        <w:t xml:space="preserve">rigin-based </w:t>
      </w:r>
      <w:r>
        <w:rPr>
          <w:rFonts w:ascii="Times New Roman" w:eastAsia="宋体" w:hAnsi="Times New Roman" w:cs="Times New Roman" w:hint="eastAsia"/>
          <w:szCs w:val="21"/>
          <w:lang w:bidi="ar"/>
        </w:rPr>
        <w:t>differential m</w:t>
      </w:r>
      <w:r>
        <w:rPr>
          <w:rFonts w:ascii="Times New Roman" w:eastAsia="宋体" w:hAnsi="Times New Roman" w:cs="Times New Roman"/>
          <w:szCs w:val="21"/>
          <w:lang w:bidi="ar"/>
        </w:rPr>
        <w:t>etaboli</w:t>
      </w:r>
      <w:r>
        <w:rPr>
          <w:rFonts w:ascii="Times New Roman" w:eastAsia="宋体" w:hAnsi="Times New Roman" w:cs="Times New Roman" w:hint="eastAsia"/>
          <w:szCs w:val="21"/>
          <w:lang w:bidi="ar"/>
        </w:rPr>
        <w:t>tes</w:t>
      </w:r>
      <w:r>
        <w:rPr>
          <w:rFonts w:ascii="Times New Roman" w:eastAsia="宋体" w:hAnsi="Times New Roman" w:cs="Times New Roman"/>
          <w:szCs w:val="21"/>
          <w:lang w:bidi="ar"/>
        </w:rPr>
        <w:t xml:space="preserve"> analys</w:t>
      </w:r>
      <w:r>
        <w:rPr>
          <w:rFonts w:ascii="Times New Roman" w:eastAsia="宋体" w:hAnsi="Times New Roman" w:cs="Times New Roman" w:hint="eastAsia"/>
          <w:szCs w:val="21"/>
          <w:lang w:bidi="ar"/>
        </w:rPr>
        <w:t>es</w:t>
      </w:r>
      <w:r>
        <w:rPr>
          <w:rFonts w:ascii="Times New Roman" w:eastAsia="宋体" w:hAnsi="Times New Roman" w:cs="Times New Roman"/>
          <w:szCs w:val="21"/>
          <w:lang w:bidi="ar"/>
        </w:rPr>
        <w:t xml:space="preserve">. </w:t>
      </w:r>
      <w:r>
        <w:rPr>
          <w:rFonts w:ascii="Times New Roman" w:eastAsia="宋体" w:hAnsi="Times New Roman" w:cs="Times New Roman" w:hint="eastAsia"/>
          <w:szCs w:val="21"/>
          <w:lang w:bidi="ar"/>
        </w:rPr>
        <w:t>(A) Orgin statistic of differential metabolites</w:t>
      </w:r>
      <w:r>
        <w:rPr>
          <w:rFonts w:ascii="Times New Roman" w:eastAsia="宋体" w:hAnsi="Times New Roman" w:cs="Times New Roman"/>
          <w:szCs w:val="21"/>
          <w:lang w:bidi="ar"/>
        </w:rPr>
        <w:t>. (</w:t>
      </w:r>
      <w:r>
        <w:rPr>
          <w:rFonts w:ascii="Times New Roman" w:eastAsia="宋体" w:hAnsi="Times New Roman" w:cs="Times New Roman" w:hint="eastAsia"/>
          <w:szCs w:val="21"/>
          <w:lang w:bidi="ar"/>
        </w:rPr>
        <w:t>B-C</w:t>
      </w:r>
      <w:r>
        <w:rPr>
          <w:rFonts w:ascii="Times New Roman" w:eastAsia="宋体" w:hAnsi="Times New Roman" w:cs="Times New Roman"/>
          <w:szCs w:val="21"/>
          <w:lang w:bidi="ar"/>
        </w:rPr>
        <w:t xml:space="preserve">) Origin-based MPEA based on </w:t>
      </w:r>
      <w:r>
        <w:rPr>
          <w:rFonts w:ascii="Times New Roman" w:eastAsia="宋体" w:hAnsi="Times New Roman" w:cs="Times New Roman" w:hint="eastAsia"/>
          <w:szCs w:val="21"/>
          <w:lang w:bidi="ar"/>
        </w:rPr>
        <w:t xml:space="preserve">differential </w:t>
      </w:r>
      <w:r>
        <w:rPr>
          <w:rFonts w:ascii="Times New Roman" w:eastAsia="宋体" w:hAnsi="Times New Roman" w:cs="Times New Roman"/>
          <w:szCs w:val="21"/>
          <w:lang w:bidi="ar"/>
        </w:rPr>
        <w:t xml:space="preserve">metabolites from </w:t>
      </w:r>
      <w:r>
        <w:rPr>
          <w:rFonts w:ascii="Times New Roman" w:eastAsia="宋体" w:hAnsi="Times New Roman" w:cs="Times New Roman" w:hint="eastAsia"/>
          <w:szCs w:val="21"/>
          <w:lang w:bidi="ar"/>
        </w:rPr>
        <w:t>Captive vs. Wild and Provision vs. Wild.</w:t>
      </w:r>
      <w:r>
        <w:rPr>
          <w:rFonts w:ascii="Times New Roman" w:eastAsia="宋体" w:hAnsi="Times New Roman" w:cs="Times New Roman"/>
          <w:szCs w:val="21"/>
          <w:lang w:bidi="ar"/>
        </w:rPr>
        <w:t xml:space="preserve"> MPEA, metabolic pathway enrichment analysis. The enrichment significance was assessed by Hypergeometric test.</w:t>
      </w:r>
      <w:r>
        <w:rPr>
          <w:rFonts w:ascii="Times New Roman" w:eastAsia="宋体" w:hAnsi="Times New Roman" w:cs="Times New Roman" w:hint="eastAsia"/>
          <w:szCs w:val="21"/>
          <w:lang w:bidi="ar"/>
        </w:rPr>
        <w:t xml:space="preserve"> </w:t>
      </w:r>
      <w:bookmarkStart w:id="1" w:name="OLE_LINK1"/>
      <w:r>
        <w:rPr>
          <w:rFonts w:ascii="Times New Roman" w:eastAsia="宋体" w:hAnsi="Times New Roman" w:cs="Times New Roman" w:hint="eastAsia"/>
          <w:szCs w:val="21"/>
          <w:lang w:bidi="ar"/>
        </w:rPr>
        <w:t>Pathways colored purple represents the shared pathways in (B) and (C).</w:t>
      </w:r>
    </w:p>
    <w:bookmarkEnd w:id="1"/>
    <w:p w14:paraId="1D11D757" w14:textId="77777777" w:rsidR="00783FCF" w:rsidRDefault="00000000">
      <w:pPr>
        <w:jc w:val="center"/>
        <w:rPr>
          <w:rFonts w:ascii="Times New Roman" w:eastAsia="宋体" w:hAnsi="Times New Roman" w:cs="Times New Roman"/>
          <w:szCs w:val="21"/>
          <w:lang w:bidi="ar"/>
        </w:rPr>
      </w:pPr>
      <w:r>
        <w:rPr>
          <w:noProof/>
        </w:rPr>
        <w:lastRenderedPageBreak/>
        <w:drawing>
          <wp:inline distT="0" distB="0" distL="114300" distR="114300" wp14:anchorId="1D11D77F" wp14:editId="1D11D780">
            <wp:extent cx="3348355" cy="3340100"/>
            <wp:effectExtent l="0" t="0" r="4445" b="12700"/>
            <wp:docPr id="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348355" cy="334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1D758" w14:textId="77777777" w:rsidR="00783FCF" w:rsidRDefault="00000000">
      <w:pPr>
        <w:rPr>
          <w:rFonts w:ascii="Times New Roman" w:eastAsia="宋体" w:hAnsi="Times New Roman" w:cs="Times New Roman"/>
          <w:szCs w:val="21"/>
          <w:lang w:bidi="ar"/>
        </w:rPr>
      </w:pPr>
      <w:r>
        <w:rPr>
          <w:rFonts w:ascii="Times New Roman" w:eastAsia="宋体" w:hAnsi="Times New Roman" w:cs="Times New Roman" w:hint="eastAsia"/>
          <w:b/>
          <w:bCs/>
          <w:szCs w:val="21"/>
          <w:lang w:bidi="ar"/>
        </w:rPr>
        <w:t xml:space="preserve">Figure S17. </w:t>
      </w:r>
      <w:r>
        <w:rPr>
          <w:rFonts w:ascii="Times New Roman" w:eastAsia="宋体" w:hAnsi="Times New Roman" w:cs="Times New Roman"/>
          <w:szCs w:val="21"/>
          <w:lang w:bidi="ar"/>
        </w:rPr>
        <w:t xml:space="preserve">Co-inertia analysis illustrating the correlation between </w:t>
      </w:r>
      <w:r>
        <w:rPr>
          <w:rFonts w:ascii="Times New Roman" w:eastAsia="宋体" w:hAnsi="Times New Roman" w:cs="Times New Roman" w:hint="eastAsia"/>
          <w:szCs w:val="21"/>
          <w:lang w:bidi="ar"/>
        </w:rPr>
        <w:t>fecal metabolites</w:t>
      </w:r>
      <w:r>
        <w:rPr>
          <w:rFonts w:ascii="Times New Roman" w:eastAsia="宋体" w:hAnsi="Times New Roman" w:cs="Times New Roman"/>
          <w:szCs w:val="21"/>
          <w:lang w:bidi="ar"/>
        </w:rPr>
        <w:t xml:space="preserve"> and </w:t>
      </w:r>
      <w:r>
        <w:rPr>
          <w:rFonts w:ascii="Times New Roman" w:eastAsia="宋体" w:hAnsi="Times New Roman" w:cs="Times New Roman" w:hint="eastAsia"/>
          <w:szCs w:val="21"/>
          <w:lang w:bidi="ar"/>
        </w:rPr>
        <w:t>microbial species</w:t>
      </w:r>
      <w:r>
        <w:rPr>
          <w:rFonts w:ascii="Times New Roman" w:eastAsia="宋体" w:hAnsi="Times New Roman" w:cs="Times New Roman"/>
          <w:szCs w:val="21"/>
          <w:lang w:bidi="ar"/>
        </w:rPr>
        <w:t xml:space="preserve"> based on NMDS (Bray-Curtis) results of </w:t>
      </w:r>
      <w:r>
        <w:rPr>
          <w:rFonts w:ascii="Times New Roman" w:eastAsia="宋体" w:hAnsi="Times New Roman" w:cs="Times New Roman" w:hint="eastAsia"/>
          <w:szCs w:val="21"/>
          <w:lang w:bidi="ar"/>
        </w:rPr>
        <w:t>metabolites</w:t>
      </w:r>
      <w:r>
        <w:rPr>
          <w:rFonts w:ascii="Times New Roman" w:eastAsia="宋体" w:hAnsi="Times New Roman" w:cs="Times New Roman"/>
          <w:szCs w:val="21"/>
          <w:lang w:bidi="ar"/>
        </w:rPr>
        <w:t xml:space="preserve"> abundances and </w:t>
      </w:r>
      <w:r>
        <w:rPr>
          <w:rFonts w:ascii="Times New Roman" w:eastAsia="宋体" w:hAnsi="Times New Roman" w:cs="Times New Roman" w:hint="eastAsia"/>
          <w:szCs w:val="21"/>
          <w:lang w:bidi="ar"/>
        </w:rPr>
        <w:t xml:space="preserve">species </w:t>
      </w:r>
      <w:r>
        <w:rPr>
          <w:rFonts w:ascii="Times New Roman" w:eastAsia="宋体" w:hAnsi="Times New Roman" w:cs="Times New Roman"/>
          <w:szCs w:val="21"/>
          <w:lang w:bidi="ar"/>
        </w:rPr>
        <w:t>abundances.</w:t>
      </w:r>
    </w:p>
    <w:p w14:paraId="1D11D759" w14:textId="77777777" w:rsidR="00783FCF" w:rsidRDefault="00783FCF"/>
    <w:p w14:paraId="1D11D75A" w14:textId="77777777" w:rsidR="00783FCF" w:rsidRDefault="00000000">
      <w:pPr>
        <w:jc w:val="center"/>
      </w:pPr>
      <w:r>
        <w:rPr>
          <w:noProof/>
        </w:rPr>
        <w:drawing>
          <wp:inline distT="0" distB="0" distL="114300" distR="114300" wp14:anchorId="1D11D781" wp14:editId="1D11D782">
            <wp:extent cx="2471420" cy="2087880"/>
            <wp:effectExtent l="0" t="0" r="5080" b="7620"/>
            <wp:docPr id="1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3"/>
                    <pic:cNvPicPr>
                      <a:picLocks noChangeAspect="1"/>
                    </pic:cNvPicPr>
                  </pic:nvPicPr>
                  <pic:blipFill>
                    <a:blip r:embed="rId23"/>
                    <a:srcRect t="9431"/>
                    <a:stretch>
                      <a:fillRect/>
                    </a:stretch>
                  </pic:blipFill>
                  <pic:spPr>
                    <a:xfrm>
                      <a:off x="0" y="0"/>
                      <a:ext cx="2471420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1D75B" w14:textId="77777777" w:rsidR="00783FCF" w:rsidRDefault="00000000">
      <w:pPr>
        <w:rPr>
          <w:rFonts w:ascii="Times New Roman" w:eastAsia="宋体" w:hAnsi="Times New Roman" w:cs="Times New Roman"/>
          <w:szCs w:val="21"/>
          <w:lang w:bidi="ar"/>
        </w:rPr>
      </w:pPr>
      <w:r>
        <w:rPr>
          <w:rFonts w:ascii="Times New Roman" w:eastAsia="宋体" w:hAnsi="Times New Roman" w:cs="Times New Roman" w:hint="eastAsia"/>
          <w:b/>
          <w:bCs/>
          <w:szCs w:val="21"/>
          <w:lang w:bidi="ar"/>
        </w:rPr>
        <w:t xml:space="preserve">Figure S18. </w:t>
      </w:r>
      <w:r>
        <w:rPr>
          <w:rFonts w:ascii="Times New Roman" w:eastAsia="宋体" w:hAnsi="Times New Roman" w:cs="Times New Roman" w:hint="eastAsia"/>
          <w:szCs w:val="21"/>
          <w:lang w:bidi="ar"/>
        </w:rPr>
        <w:t>Eigengene value distribution of the correlated microbiota and metabolite module.</w:t>
      </w:r>
    </w:p>
    <w:p w14:paraId="1D11D75C" w14:textId="77777777" w:rsidR="00783FCF" w:rsidRDefault="00783FCF">
      <w:pPr>
        <w:rPr>
          <w:rFonts w:ascii="Times New Roman" w:eastAsia="宋体" w:hAnsi="Times New Roman" w:cs="Times New Roman"/>
          <w:szCs w:val="21"/>
          <w:lang w:bidi="ar"/>
        </w:rPr>
      </w:pPr>
    </w:p>
    <w:p w14:paraId="1D11D75D" w14:textId="77777777" w:rsidR="00783FCF" w:rsidRDefault="00000000">
      <w:pPr>
        <w:rPr>
          <w:rFonts w:ascii="Times New Roman" w:eastAsia="宋体" w:hAnsi="Times New Roman" w:cs="Times New Roman"/>
          <w:szCs w:val="21"/>
          <w:lang w:bidi="ar"/>
        </w:rPr>
      </w:pPr>
      <w:r>
        <w:rPr>
          <w:rFonts w:ascii="Times New Roman" w:eastAsia="宋体" w:hAnsi="Times New Roman" w:cs="Times New Roman" w:hint="eastAsia"/>
          <w:szCs w:val="21"/>
          <w:lang w:bidi="ar"/>
        </w:rPr>
        <w:t xml:space="preserve">  </w:t>
      </w:r>
    </w:p>
    <w:p w14:paraId="1D11D75E" w14:textId="77777777" w:rsidR="00783FCF" w:rsidRDefault="00783FCF"/>
    <w:sectPr w:rsidR="00783F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8CA89" w14:textId="77777777" w:rsidR="00260163" w:rsidRDefault="00260163" w:rsidP="005E7EB7">
      <w:r>
        <w:separator/>
      </w:r>
    </w:p>
  </w:endnote>
  <w:endnote w:type="continuationSeparator" w:id="0">
    <w:p w14:paraId="3E349F97" w14:textId="77777777" w:rsidR="00260163" w:rsidRDefault="00260163" w:rsidP="005E7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200B2" w14:textId="77777777" w:rsidR="00260163" w:rsidRDefault="00260163" w:rsidP="005E7EB7">
      <w:r>
        <w:separator/>
      </w:r>
    </w:p>
  </w:footnote>
  <w:footnote w:type="continuationSeparator" w:id="0">
    <w:p w14:paraId="4F868C07" w14:textId="77777777" w:rsidR="00260163" w:rsidRDefault="00260163" w:rsidP="005E7E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Q3NzEys7AwNjYxMDdV0lEKTi0uzszPAykwrAUANSqPHCwAAAA="/>
    <w:docVar w:name="commondata" w:val="eyJoZGlkIjoiN2VhNzAwMWUyYjAzNzVlMTBmZTI0YzcxYjY3YzA1MDcifQ=="/>
    <w:docVar w:name="KSO_WPS_MARK_KEY" w:val="6e0d28fa-2c3c-4196-acaf-7d82a18dbe2d"/>
  </w:docVars>
  <w:rsids>
    <w:rsidRoot w:val="001A7AEE"/>
    <w:rsid w:val="001A7AEE"/>
    <w:rsid w:val="00260163"/>
    <w:rsid w:val="00585B08"/>
    <w:rsid w:val="005E7EB7"/>
    <w:rsid w:val="00712430"/>
    <w:rsid w:val="0076299D"/>
    <w:rsid w:val="00783FCF"/>
    <w:rsid w:val="00C2086C"/>
    <w:rsid w:val="00F11B39"/>
    <w:rsid w:val="00FD7131"/>
    <w:rsid w:val="186547A9"/>
    <w:rsid w:val="1A1D181B"/>
    <w:rsid w:val="21812FD6"/>
    <w:rsid w:val="26085E0E"/>
    <w:rsid w:val="28A41250"/>
    <w:rsid w:val="2B2240E7"/>
    <w:rsid w:val="2CC134F0"/>
    <w:rsid w:val="313C4D44"/>
    <w:rsid w:val="314015C8"/>
    <w:rsid w:val="31922D97"/>
    <w:rsid w:val="41C024AE"/>
    <w:rsid w:val="4A7B378D"/>
    <w:rsid w:val="53A00E08"/>
    <w:rsid w:val="558156DA"/>
    <w:rsid w:val="58D14865"/>
    <w:rsid w:val="63E72D11"/>
    <w:rsid w:val="6AA4677A"/>
    <w:rsid w:val="6FB0597D"/>
    <w:rsid w:val="701D6156"/>
    <w:rsid w:val="77E4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11D72D"/>
  <w15:docId w15:val="{16BF94A0-6A0C-4741-B80C-CC46A74A4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2">
    <w:name w:val="样式2"/>
    <w:basedOn w:val="tu5"/>
    <w:qFormat/>
    <w:pPr>
      <w:spacing w:afterLines="100" w:after="312"/>
    </w:pPr>
    <w:rPr>
      <w:rFonts w:eastAsia="楷体"/>
    </w:rPr>
  </w:style>
  <w:style w:type="paragraph" w:customStyle="1" w:styleId="tu5">
    <w:name w:val="tu5"/>
    <w:basedOn w:val="a7"/>
    <w:qFormat/>
    <w:pPr>
      <w:jc w:val="center"/>
    </w:pPr>
    <w:rPr>
      <w:rFonts w:ascii="Times New Roman" w:eastAsia="楷体_GB2312" w:hAnsi="Times New Roman" w:cs="Times New Roman"/>
    </w:rPr>
  </w:style>
  <w:style w:type="paragraph" w:styleId="a7">
    <w:name w:val="No Spacing"/>
    <w:uiPriority w:val="99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6">
    <w:name w:val="页眉 字符"/>
    <w:basedOn w:val="a0"/>
    <w:link w:val="a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10</Pages>
  <Words>644</Words>
  <Characters>3674</Characters>
  <Application>Microsoft Office Word</Application>
  <DocSecurity>0</DocSecurity>
  <Lines>30</Lines>
  <Paragraphs>8</Paragraphs>
  <ScaleCrop>false</ScaleCrop>
  <Company/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</dc:creator>
  <cp:lastModifiedBy>Zhang Du</cp:lastModifiedBy>
  <cp:revision>6</cp:revision>
  <dcterms:created xsi:type="dcterms:W3CDTF">2022-06-08T03:36:00Z</dcterms:created>
  <dcterms:modified xsi:type="dcterms:W3CDTF">2023-06-02T05:50:00Z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B671A27305DD4696824C525BAB32FA61</vt:lpwstr>
  </property>
  <property fmtid="{D5CDD505-2E9C-101B-9397-08002B2CF9AE}" pid="4" name="GrammarlyDocumentId">
    <vt:lpwstr>e5c051735c7bfff1e255e7f991a108f75dc11105f24d8ecd7cbdf24f3bcb79d6</vt:lpwstr>
  </property>
</Properties>
</file>