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79F1" w:rsidRPr="00D542D9" w:rsidRDefault="00D542D9" w:rsidP="00755372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bookmarkStart w:id="0" w:name="_GoBack"/>
      <w:bookmarkEnd w:id="0"/>
      <w:r w:rsidRPr="00D542D9">
        <w:rPr>
          <w:rFonts w:ascii="Times New Roman" w:hAnsi="Times New Roman" w:cs="Times New Roman"/>
          <w:b/>
          <w:bCs/>
          <w:sz w:val="24"/>
          <w:szCs w:val="24"/>
          <w:u w:val="single"/>
        </w:rPr>
        <w:t>Supplementary Material</w:t>
      </w:r>
    </w:p>
    <w:p w:rsidR="0054662C" w:rsidRPr="007D2760" w:rsidRDefault="0054662C" w:rsidP="0054662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D2760">
        <w:rPr>
          <w:rFonts w:ascii="Times New Roman" w:hAnsi="Times New Roman" w:cs="Times New Roman"/>
          <w:b/>
          <w:bCs/>
          <w:sz w:val="24"/>
          <w:szCs w:val="24"/>
        </w:rPr>
        <w:t>Emission factor, relative ozone formation potential and relative carcinogenic risk assessment of VOCs emitted from manufacturing industries</w:t>
      </w:r>
    </w:p>
    <w:p w:rsidR="00EB79F1" w:rsidRPr="007D2760" w:rsidRDefault="00EB79F1" w:rsidP="00FF125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711C9" w:rsidRPr="007D2760" w:rsidRDefault="00F711C9" w:rsidP="00FF1259">
      <w:pPr>
        <w:pStyle w:val="NormalWeb"/>
        <w:spacing w:before="0" w:beforeAutospacing="0" w:after="0" w:afterAutospacing="0" w:line="360" w:lineRule="auto"/>
        <w:jc w:val="center"/>
        <w:rPr>
          <w:vertAlign w:val="superscript"/>
        </w:rPr>
      </w:pPr>
      <w:proofErr w:type="spellStart"/>
      <w:r w:rsidRPr="007D2760">
        <w:t>Hsi</w:t>
      </w:r>
      <w:proofErr w:type="spellEnd"/>
      <w:r w:rsidRPr="007D2760">
        <w:t>-Hsien Yang</w:t>
      </w:r>
      <w:r w:rsidRPr="007D2760">
        <w:rPr>
          <w:vertAlign w:val="superscript"/>
        </w:rPr>
        <w:t>1</w:t>
      </w:r>
      <w:r w:rsidRPr="007D2760">
        <w:t>, Sunil Kumar Gupta</w:t>
      </w:r>
      <w:r w:rsidRPr="007D2760">
        <w:rPr>
          <w:vertAlign w:val="superscript"/>
        </w:rPr>
        <w:t>1</w:t>
      </w:r>
      <w:r w:rsidRPr="007D2760">
        <w:t xml:space="preserve">*, Narayan </w:t>
      </w:r>
      <w:proofErr w:type="spellStart"/>
      <w:r w:rsidRPr="007D2760">
        <w:t>Babu</w:t>
      </w:r>
      <w:proofErr w:type="spellEnd"/>
      <w:r w:rsidRPr="007D2760">
        <w:t xml:space="preserve"> Dhital</w:t>
      </w:r>
      <w:r w:rsidRPr="007D2760">
        <w:rPr>
          <w:vertAlign w:val="superscript"/>
        </w:rPr>
        <w:t>1, 2, 3</w:t>
      </w:r>
    </w:p>
    <w:p w:rsidR="00F711C9" w:rsidRDefault="00F711C9" w:rsidP="00FF1259">
      <w:pPr>
        <w:pStyle w:val="NormalWeb"/>
        <w:spacing w:before="0" w:beforeAutospacing="0" w:after="0" w:afterAutospacing="0" w:line="360" w:lineRule="auto"/>
        <w:jc w:val="center"/>
      </w:pPr>
      <w:r>
        <w:t>*</w:t>
      </w:r>
      <w:r w:rsidRPr="003A49C4">
        <w:t>E</w:t>
      </w:r>
      <w:r>
        <w:t xml:space="preserve">mail: </w:t>
      </w:r>
      <w:hyperlink r:id="rId5" w:history="1">
        <w:r w:rsidRPr="009962EE">
          <w:rPr>
            <w:rStyle w:val="Hyperlink"/>
          </w:rPr>
          <w:t>snelnv@gmail.com</w:t>
        </w:r>
      </w:hyperlink>
      <w:r>
        <w:t xml:space="preserve"> </w:t>
      </w:r>
    </w:p>
    <w:p w:rsidR="00F711C9" w:rsidRPr="007425B0" w:rsidRDefault="00F711C9" w:rsidP="00FF1259">
      <w:pPr>
        <w:pStyle w:val="NormalWeb"/>
        <w:spacing w:before="0" w:beforeAutospacing="0" w:after="0" w:afterAutospacing="0" w:line="360" w:lineRule="auto"/>
        <w:jc w:val="center"/>
      </w:pPr>
      <w:r w:rsidRPr="007425B0">
        <w:t xml:space="preserve">ORCID: 0000-0002-9549-0481 </w:t>
      </w:r>
    </w:p>
    <w:p w:rsidR="00421EFB" w:rsidRPr="004F7A10" w:rsidRDefault="00421EFB" w:rsidP="00421EFB">
      <w:pPr>
        <w:pStyle w:val="NormalWeb"/>
        <w:spacing w:before="0" w:beforeAutospacing="0" w:after="0" w:afterAutospacing="0" w:line="360" w:lineRule="auto"/>
        <w:jc w:val="center"/>
      </w:pPr>
    </w:p>
    <w:p w:rsidR="00421EFB" w:rsidRDefault="00421EFB" w:rsidP="00421EFB">
      <w:pPr>
        <w:pStyle w:val="NormalWeb"/>
        <w:spacing w:before="0" w:beforeAutospacing="0" w:after="0" w:afterAutospacing="0" w:line="360" w:lineRule="auto"/>
        <w:jc w:val="both"/>
      </w:pPr>
      <w:r w:rsidRPr="004F7A10">
        <w:rPr>
          <w:vertAlign w:val="superscript"/>
        </w:rPr>
        <w:t>1</w:t>
      </w:r>
      <w:r w:rsidRPr="004F7A10">
        <w:t xml:space="preserve">Department of Environmental Engineering and Management and </w:t>
      </w:r>
      <w:r w:rsidRPr="004F7A10">
        <w:rPr>
          <w:vertAlign w:val="superscript"/>
        </w:rPr>
        <w:t>2</w:t>
      </w:r>
      <w:r w:rsidRPr="004F7A10">
        <w:t>Department of Applied Chemistry, Chaoyang University of Technology, Taichung, Taiwan, ROC</w:t>
      </w:r>
    </w:p>
    <w:p w:rsidR="00421EFB" w:rsidRDefault="00421EFB" w:rsidP="00421EFB">
      <w:pPr>
        <w:pStyle w:val="NormalWeb"/>
        <w:spacing w:before="0" w:beforeAutospacing="0" w:after="0" w:afterAutospacing="0" w:line="360" w:lineRule="auto"/>
        <w:jc w:val="both"/>
      </w:pPr>
      <w:r w:rsidRPr="004F7A10">
        <w:t xml:space="preserve"> </w:t>
      </w:r>
      <w:r w:rsidRPr="004F7A10">
        <w:rPr>
          <w:vertAlign w:val="superscript"/>
        </w:rPr>
        <w:t>3</w:t>
      </w:r>
      <w:r w:rsidRPr="004F7A10">
        <w:t xml:space="preserve">Department of Environmental Science, </w:t>
      </w:r>
      <w:proofErr w:type="spellStart"/>
      <w:r w:rsidRPr="004F7A10">
        <w:t>Patan</w:t>
      </w:r>
      <w:proofErr w:type="spellEnd"/>
      <w:r w:rsidRPr="004F7A10">
        <w:t xml:space="preserve"> Multiple Campus, Tribhuvan University, Lalitpur, Nepal</w:t>
      </w:r>
    </w:p>
    <w:p w:rsidR="00E962EA" w:rsidRPr="004F7A10" w:rsidRDefault="00E962EA" w:rsidP="00421EFB">
      <w:pPr>
        <w:pStyle w:val="NormalWeb"/>
        <w:spacing w:before="0" w:beforeAutospacing="0" w:after="0" w:afterAutospacing="0" w:line="360" w:lineRule="auto"/>
        <w:jc w:val="both"/>
      </w:pPr>
    </w:p>
    <w:p w:rsidR="000B288D" w:rsidRPr="00014C7E" w:rsidRDefault="000B288D">
      <w:pPr>
        <w:rPr>
          <w:rFonts w:ascii="Times New Roman" w:hAnsi="Times New Roman" w:cs="Times New Roman"/>
          <w:b/>
          <w:color w:val="00B050"/>
        </w:rPr>
        <w:sectPr w:rsidR="000B288D" w:rsidRPr="00014C7E" w:rsidSect="00F711C9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:rsidR="009D4E24" w:rsidRPr="005931F5" w:rsidRDefault="00146B5A">
      <w:pPr>
        <w:rPr>
          <w:rFonts w:ascii="Times New Roman" w:hAnsi="Times New Roman" w:cs="Times New Roman"/>
        </w:rPr>
      </w:pPr>
      <w:r w:rsidRPr="00146B5A">
        <w:rPr>
          <w:rFonts w:ascii="Times New Roman" w:hAnsi="Times New Roman" w:cs="Times New Roman"/>
          <w:b/>
        </w:rPr>
        <w:lastRenderedPageBreak/>
        <w:t xml:space="preserve">Table </w:t>
      </w:r>
      <w:r w:rsidR="00615B0B">
        <w:rPr>
          <w:rFonts w:ascii="Times New Roman" w:hAnsi="Times New Roman" w:cs="Times New Roman"/>
          <w:b/>
        </w:rPr>
        <w:t>S</w:t>
      </w:r>
      <w:r w:rsidR="00C06569">
        <w:rPr>
          <w:rFonts w:ascii="Times New Roman" w:hAnsi="Times New Roman" w:cs="Times New Roman"/>
          <w:b/>
        </w:rPr>
        <w:t>1</w:t>
      </w:r>
      <w:r w:rsidR="005931F5">
        <w:rPr>
          <w:rFonts w:ascii="Times New Roman" w:hAnsi="Times New Roman" w:cs="Times New Roman"/>
          <w:b/>
        </w:rPr>
        <w:t xml:space="preserve">. </w:t>
      </w:r>
      <w:r w:rsidR="005931F5" w:rsidRPr="005931F5">
        <w:rPr>
          <w:rFonts w:ascii="Times New Roman" w:hAnsi="Times New Roman" w:cs="Times New Roman"/>
        </w:rPr>
        <w:t xml:space="preserve">Average concentrations of </w:t>
      </w:r>
      <w:r w:rsidR="005931F5">
        <w:rPr>
          <w:rFonts w:ascii="Times New Roman" w:hAnsi="Times New Roman" w:cs="Times New Roman"/>
        </w:rPr>
        <w:t>the</w:t>
      </w:r>
      <w:r w:rsidR="005931F5" w:rsidRPr="005931F5">
        <w:rPr>
          <w:rFonts w:ascii="Times New Roman" w:hAnsi="Times New Roman" w:cs="Times New Roman"/>
        </w:rPr>
        <w:t xml:space="preserve"> VOC species </w:t>
      </w:r>
      <w:r w:rsidR="005931F5">
        <w:rPr>
          <w:rFonts w:ascii="Times New Roman" w:hAnsi="Times New Roman" w:cs="Times New Roman"/>
        </w:rPr>
        <w:t xml:space="preserve">identified in different </w:t>
      </w:r>
      <w:r w:rsidR="005931F5" w:rsidRPr="005931F5">
        <w:rPr>
          <w:rFonts w:ascii="Times New Roman" w:hAnsi="Times New Roman" w:cs="Times New Roman"/>
        </w:rPr>
        <w:t xml:space="preserve">manufacturing sectors </w:t>
      </w:r>
    </w:p>
    <w:tbl>
      <w:tblPr>
        <w:tblW w:w="13239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304"/>
        <w:gridCol w:w="906"/>
        <w:gridCol w:w="896"/>
        <w:gridCol w:w="756"/>
        <w:gridCol w:w="886"/>
        <w:gridCol w:w="711"/>
        <w:gridCol w:w="997"/>
        <w:gridCol w:w="786"/>
        <w:gridCol w:w="976"/>
        <w:gridCol w:w="946"/>
        <w:gridCol w:w="726"/>
        <w:gridCol w:w="766"/>
        <w:gridCol w:w="797"/>
        <w:gridCol w:w="786"/>
      </w:tblGrid>
      <w:tr w:rsidR="00605193" w:rsidRPr="0080177B" w:rsidTr="00605193">
        <w:trPr>
          <w:trHeight w:val="144"/>
          <w:jc w:val="center"/>
        </w:trPr>
        <w:tc>
          <w:tcPr>
            <w:tcW w:w="2304" w:type="dxa"/>
            <w:vMerge w:val="restart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VOC species</w:t>
            </w:r>
          </w:p>
        </w:tc>
        <w:tc>
          <w:tcPr>
            <w:tcW w:w="3444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146B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Chemical sectors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Plastic sector</w:t>
            </w:r>
          </w:p>
        </w:tc>
        <w:tc>
          <w:tcPr>
            <w:tcW w:w="4431" w:type="dxa"/>
            <w:gridSpan w:val="5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146B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Metal sectors</w:t>
            </w:r>
          </w:p>
        </w:tc>
        <w:tc>
          <w:tcPr>
            <w:tcW w:w="76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Leather sector </w:t>
            </w:r>
          </w:p>
        </w:tc>
        <w:tc>
          <w:tcPr>
            <w:tcW w:w="1583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3C05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Printing sectors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Organic solvent</w:t>
            </w:r>
          </w:p>
        </w:tc>
        <w:tc>
          <w:tcPr>
            <w:tcW w:w="8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Synthetic resin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Acrylic resin</w:t>
            </w:r>
          </w:p>
        </w:tc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Polyester resin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Plastic tape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Aluminum foundry</w:t>
            </w:r>
          </w:p>
        </w:tc>
        <w:tc>
          <w:tcPr>
            <w:tcW w:w="7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Steel foundry</w:t>
            </w: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Metal product </w:t>
            </w:r>
            <w:r w:rsidR="00C7104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and</w:t>
            </w: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machinery</w:t>
            </w:r>
          </w:p>
        </w:tc>
        <w:tc>
          <w:tcPr>
            <w:tcW w:w="9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Integrated iron </w:t>
            </w:r>
            <w:r w:rsidR="00C7104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and</w:t>
            </w: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steel</w:t>
            </w:r>
          </w:p>
        </w:tc>
        <w:tc>
          <w:tcPr>
            <w:tcW w:w="7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Non-ferrous metal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 leather</w:t>
            </w:r>
          </w:p>
        </w:tc>
        <w:tc>
          <w:tcPr>
            <w:tcW w:w="7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Plastic coating</w:t>
            </w:r>
          </w:p>
        </w:tc>
        <w:tc>
          <w:tcPr>
            <w:tcW w:w="7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Stencil printing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Propene</w:t>
            </w:r>
          </w:p>
        </w:tc>
        <w:tc>
          <w:tcPr>
            <w:tcW w:w="90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997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94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72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76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Isobutane</w:t>
            </w:r>
          </w:p>
        </w:tc>
        <w:tc>
          <w:tcPr>
            <w:tcW w:w="90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8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97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1-Butene</w:t>
            </w:r>
          </w:p>
        </w:tc>
        <w:tc>
          <w:tcPr>
            <w:tcW w:w="90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2.207</w:t>
            </w:r>
          </w:p>
        </w:tc>
        <w:tc>
          <w:tcPr>
            <w:tcW w:w="94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000000" w:fill="FFFFFF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n-Butane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0.023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0.344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Cis-2-Butene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1.000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Isopentane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1-Pentene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Trans-2-Pentene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Isoprene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2,2-Dimethylbutane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2,3-Dimethylbutane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0.091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0.133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2-Methylpentane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3-Methylpentane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0.465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0.043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0.774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1-Hexene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0.996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26" w:type="dxa"/>
            <w:shd w:val="clear" w:color="auto" w:fill="auto"/>
            <w:noWrap/>
            <w:vAlign w:val="center"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n-Hexane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0.197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0.030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0.025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2,4-Dimethylpentane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Methylcyclopentane</w:t>
            </w:r>
            <w:proofErr w:type="spellEnd"/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0.028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0.021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0.504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Benzene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0.173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1.506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0.037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2-Methylhexane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Cyclohexane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2,3-Dimethylpentane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3-Methylhexane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n-Heptane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Methylcyclohexane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0.317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0.032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0.030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2,3,4-Trimethylpentane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0.044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2-Methylheptane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3-Methylheptane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Toluene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2.111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0.157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0.363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0.190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14.07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0.398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0.032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1.417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0.083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4.725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3.597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33.103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n-Octane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0.045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Ethylbenzene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0.127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2.880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1.659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0.091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m-Xylene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0.427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12.261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3.204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0.104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p-Xylene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0.361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8.216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3.187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0.103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n-Nonane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0.032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0.073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Stryene</w:t>
            </w:r>
            <w:proofErr w:type="spellEnd"/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0.070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o-Xylene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0.301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4.583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1.487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0.275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Isopropylbenzene</w:t>
            </w:r>
            <w:proofErr w:type="spellEnd"/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0.147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0.099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0.713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n-</w:t>
            </w:r>
            <w:proofErr w:type="spellStart"/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Propylbenzene</w:t>
            </w:r>
            <w:proofErr w:type="spellEnd"/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0.096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0.020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2.418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m-</w:t>
            </w:r>
            <w:proofErr w:type="spellStart"/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Ethyltoluene</w:t>
            </w:r>
            <w:proofErr w:type="spellEnd"/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0.453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0.026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9.393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p-</w:t>
            </w:r>
            <w:proofErr w:type="spellStart"/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Ethyltoluene</w:t>
            </w:r>
            <w:proofErr w:type="spellEnd"/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0.517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0.028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4.875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1,3,5-Trimethylbenzene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0.279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6.898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o-</w:t>
            </w:r>
            <w:proofErr w:type="spellStart"/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Ethyltoluene</w:t>
            </w:r>
            <w:proofErr w:type="spellEnd"/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0.193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0.028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4.236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n-</w:t>
            </w:r>
            <w:proofErr w:type="spellStart"/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Decane</w:t>
            </w:r>
            <w:proofErr w:type="spellEnd"/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0.035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0.073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1,2,4-Trimethylbenzene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0.497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0.035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18.836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1,2,3-Trimethylbenzene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0.229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5.844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m-</w:t>
            </w:r>
            <w:proofErr w:type="spellStart"/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Diethylbenzene</w:t>
            </w:r>
            <w:proofErr w:type="spellEnd"/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0.071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2.264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p-</w:t>
            </w:r>
            <w:proofErr w:type="spellStart"/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Diethylbenzene</w:t>
            </w:r>
            <w:proofErr w:type="spellEnd"/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3.133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n-Undecane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0.088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0.028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0.139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n-Dodecane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1,3-Butadiene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0.071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Ethanol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1.226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0.039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1.568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0.029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0.029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Acrolein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0.021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0.300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Acetone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5.423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1.077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0.026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0.036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0.028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0.029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0.023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0.083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0.053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1.412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0.227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Isopropyl Alcohol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1.365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0.040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Methylene Chloride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Carbon Disulfide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0.040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Methyl Ethyl Ketone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0.766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0.053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0.079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0.048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0.023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0.263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0.043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11.810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0.447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0.180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Ethyl Acetate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19.188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0.032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0.935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5.144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0.098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0.071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0.227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0.314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0.047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0.289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Chloroform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Tetrahydrofuran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0.036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1,2-Dichloroethane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Trichloroethylene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1,2-Dichloropropane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Methyl Methacrylate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2.490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Methyl Isobutyl Ketone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2.946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213C67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213C67">
              <w:rPr>
                <w:rFonts w:ascii="Times New Roman" w:eastAsia="Times New Roman" w:hAnsi="Times New Roman" w:cs="Times New Roman"/>
                <w:sz w:val="16"/>
                <w:szCs w:val="16"/>
              </w:rPr>
              <w:t>Tetrachloroethylene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Chlorobenzene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Bromoform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1,1,2,2-Tetrachloroethane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1,3-Dichlorobenzene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0.067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1,4-Dichlorobenzene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471BB6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71BB6">
              <w:rPr>
                <w:rFonts w:ascii="Times New Roman" w:eastAsia="Times New Roman" w:hAnsi="Times New Roman" w:cs="Times New Roman"/>
                <w:sz w:val="16"/>
                <w:szCs w:val="16"/>
              </w:rPr>
              <w:t>1,2-Dichlorobenzene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0.082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471BB6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71BB6">
              <w:rPr>
                <w:rFonts w:ascii="Times New Roman" w:eastAsia="Times New Roman" w:hAnsi="Times New Roman" w:cs="Times New Roman"/>
                <w:sz w:val="16"/>
                <w:szCs w:val="16"/>
              </w:rPr>
              <w:t>Naphthalene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0.028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0.107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0.065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0.023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0.382</w:t>
            </w:r>
          </w:p>
        </w:tc>
      </w:tr>
      <w:tr w:rsidR="00605193" w:rsidRPr="0080177B" w:rsidTr="00605193">
        <w:trPr>
          <w:trHeight w:val="144"/>
          <w:jc w:val="center"/>
        </w:trPr>
        <w:tc>
          <w:tcPr>
            <w:tcW w:w="2304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Total</w:t>
            </w:r>
          </w:p>
        </w:tc>
        <w:tc>
          <w:tcPr>
            <w:tcW w:w="90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37.7</w:t>
            </w:r>
          </w:p>
        </w:tc>
        <w:tc>
          <w:tcPr>
            <w:tcW w:w="89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1.9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28.9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1.2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31.7</w:t>
            </w:r>
          </w:p>
        </w:tc>
        <w:tc>
          <w:tcPr>
            <w:tcW w:w="9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1.0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0.3</w:t>
            </w:r>
          </w:p>
        </w:tc>
        <w:tc>
          <w:tcPr>
            <w:tcW w:w="97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5.5</w:t>
            </w:r>
          </w:p>
        </w:tc>
        <w:tc>
          <w:tcPr>
            <w:tcW w:w="94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3.7</w:t>
            </w:r>
          </w:p>
        </w:tc>
        <w:tc>
          <w:tcPr>
            <w:tcW w:w="72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0.6</w:t>
            </w:r>
          </w:p>
        </w:tc>
        <w:tc>
          <w:tcPr>
            <w:tcW w:w="76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19.7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5.6</w:t>
            </w:r>
          </w:p>
        </w:tc>
        <w:tc>
          <w:tcPr>
            <w:tcW w:w="786" w:type="dxa"/>
            <w:shd w:val="clear" w:color="auto" w:fill="auto"/>
            <w:noWrap/>
            <w:vAlign w:val="center"/>
            <w:hideMark/>
          </w:tcPr>
          <w:p w:rsidR="00605193" w:rsidRPr="0080177B" w:rsidRDefault="00605193" w:rsidP="000B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80177B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93.7</w:t>
            </w:r>
          </w:p>
        </w:tc>
      </w:tr>
    </w:tbl>
    <w:p w:rsidR="0068150C" w:rsidRPr="004966E7" w:rsidRDefault="00615B0B">
      <w:pPr>
        <w:rPr>
          <w:rFonts w:ascii="Times New Roman" w:hAnsi="Times New Roman" w:cs="Times New Roman"/>
          <w:sz w:val="20"/>
          <w:szCs w:val="20"/>
          <w:vertAlign w:val="superscript"/>
        </w:rPr>
      </w:pPr>
      <w:r w:rsidRPr="004966E7">
        <w:rPr>
          <w:rFonts w:ascii="Times New Roman" w:hAnsi="Times New Roman" w:cs="Times New Roman"/>
          <w:sz w:val="20"/>
          <w:szCs w:val="20"/>
        </w:rPr>
        <w:t>All data shows in mg</w:t>
      </w:r>
      <w:r w:rsidR="00755372">
        <w:rPr>
          <w:rFonts w:ascii="Times New Roman" w:hAnsi="Times New Roman" w:cs="Times New Roman"/>
          <w:sz w:val="20"/>
          <w:szCs w:val="20"/>
        </w:rPr>
        <w:t xml:space="preserve"> </w:t>
      </w:r>
      <w:r w:rsidRPr="004966E7">
        <w:rPr>
          <w:rFonts w:ascii="Times New Roman" w:hAnsi="Times New Roman" w:cs="Times New Roman"/>
          <w:sz w:val="20"/>
          <w:szCs w:val="20"/>
        </w:rPr>
        <w:t>m</w:t>
      </w:r>
      <w:r w:rsidR="00755372" w:rsidRPr="00755372">
        <w:rPr>
          <w:rFonts w:ascii="Times New Roman" w:hAnsi="Times New Roman" w:cs="Times New Roman"/>
          <w:sz w:val="20"/>
          <w:szCs w:val="20"/>
          <w:vertAlign w:val="superscript"/>
        </w:rPr>
        <w:t>-</w:t>
      </w:r>
      <w:r w:rsidRPr="004966E7">
        <w:rPr>
          <w:rFonts w:ascii="Times New Roman" w:hAnsi="Times New Roman" w:cs="Times New Roman"/>
          <w:sz w:val="20"/>
          <w:szCs w:val="20"/>
          <w:vertAlign w:val="superscript"/>
        </w:rPr>
        <w:t>3</w:t>
      </w:r>
    </w:p>
    <w:p w:rsidR="0080177B" w:rsidRDefault="0080177B">
      <w:pPr>
        <w:rPr>
          <w:rFonts w:ascii="Times New Roman" w:hAnsi="Times New Roman" w:cs="Times New Roman"/>
          <w:b/>
        </w:rPr>
      </w:pPr>
    </w:p>
    <w:p w:rsidR="0080177B" w:rsidRDefault="0080177B">
      <w:pPr>
        <w:rPr>
          <w:rFonts w:ascii="Times New Roman" w:hAnsi="Times New Roman" w:cs="Times New Roman"/>
          <w:b/>
        </w:rPr>
      </w:pPr>
    </w:p>
    <w:p w:rsidR="0080177B" w:rsidRDefault="0080177B">
      <w:pPr>
        <w:rPr>
          <w:rFonts w:ascii="Times New Roman" w:hAnsi="Times New Roman" w:cs="Times New Roman"/>
          <w:b/>
        </w:rPr>
      </w:pPr>
    </w:p>
    <w:p w:rsidR="0080177B" w:rsidRDefault="0080177B">
      <w:pPr>
        <w:rPr>
          <w:rFonts w:ascii="Times New Roman" w:hAnsi="Times New Roman" w:cs="Times New Roman"/>
          <w:b/>
        </w:rPr>
      </w:pPr>
    </w:p>
    <w:p w:rsidR="001D687F" w:rsidRPr="005A4AA6" w:rsidRDefault="005A4AA6">
      <w:pPr>
        <w:rPr>
          <w:rFonts w:ascii="Times New Roman" w:hAnsi="Times New Roman" w:cs="Times New Roman"/>
        </w:rPr>
      </w:pPr>
      <w:r w:rsidRPr="0031795E">
        <w:rPr>
          <w:rFonts w:ascii="Times New Roman" w:hAnsi="Times New Roman" w:cs="Times New Roman"/>
          <w:b/>
        </w:rPr>
        <w:lastRenderedPageBreak/>
        <w:t>Table S</w:t>
      </w:r>
      <w:r w:rsidR="00C06569">
        <w:rPr>
          <w:rFonts w:ascii="Times New Roman" w:hAnsi="Times New Roman" w:cs="Times New Roman"/>
          <w:b/>
        </w:rPr>
        <w:t>2</w:t>
      </w:r>
      <w:r w:rsidRPr="0031795E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</w:rPr>
        <w:t xml:space="preserve"> </w:t>
      </w:r>
      <w:r w:rsidR="0031795E">
        <w:rPr>
          <w:rFonts w:ascii="Times New Roman" w:hAnsi="Times New Roman" w:cs="Times New Roman"/>
        </w:rPr>
        <w:t xml:space="preserve">Emission factors </w:t>
      </w:r>
      <w:r w:rsidR="00734168">
        <w:rPr>
          <w:rFonts w:ascii="Times New Roman" w:hAnsi="Times New Roman" w:cs="Times New Roman"/>
        </w:rPr>
        <w:t xml:space="preserve">of the VOC species identified in different </w:t>
      </w:r>
      <w:r w:rsidR="00734168" w:rsidRPr="005931F5">
        <w:rPr>
          <w:rFonts w:ascii="Times New Roman" w:hAnsi="Times New Roman" w:cs="Times New Roman"/>
        </w:rPr>
        <w:t>manufacturing sectors</w:t>
      </w:r>
    </w:p>
    <w:tbl>
      <w:tblPr>
        <w:tblW w:w="12480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578"/>
        <w:gridCol w:w="860"/>
        <w:gridCol w:w="850"/>
        <w:gridCol w:w="762"/>
        <w:gridCol w:w="843"/>
        <w:gridCol w:w="845"/>
        <w:gridCol w:w="943"/>
        <w:gridCol w:w="762"/>
        <w:gridCol w:w="924"/>
        <w:gridCol w:w="896"/>
        <w:gridCol w:w="764"/>
        <w:gridCol w:w="762"/>
        <w:gridCol w:w="762"/>
        <w:gridCol w:w="929"/>
      </w:tblGrid>
      <w:tr w:rsidR="005B7431" w:rsidRPr="001D687F" w:rsidTr="005B7431">
        <w:trPr>
          <w:trHeight w:val="19"/>
        </w:trPr>
        <w:tc>
          <w:tcPr>
            <w:tcW w:w="1578" w:type="dxa"/>
            <w:vMerge w:val="restart"/>
            <w:shd w:val="clear" w:color="000000" w:fill="FFFFFF"/>
            <w:noWrap/>
            <w:vAlign w:val="center"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VOC species</w:t>
            </w:r>
          </w:p>
        </w:tc>
        <w:tc>
          <w:tcPr>
            <w:tcW w:w="3315" w:type="dxa"/>
            <w:gridSpan w:val="4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5A4A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Chemical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sectors</w:t>
            </w:r>
          </w:p>
        </w:tc>
        <w:tc>
          <w:tcPr>
            <w:tcW w:w="845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5A4A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Plastic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sector</w:t>
            </w:r>
          </w:p>
        </w:tc>
        <w:tc>
          <w:tcPr>
            <w:tcW w:w="4289" w:type="dxa"/>
            <w:gridSpan w:val="5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5A4A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Metal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sectors 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5A4A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Leather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sector</w:t>
            </w:r>
          </w:p>
        </w:tc>
        <w:tc>
          <w:tcPr>
            <w:tcW w:w="1691" w:type="dxa"/>
            <w:gridSpan w:val="2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5A4AA6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Printing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sectors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vMerge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Organic solvent 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Synthetic resin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Acrylic resin</w:t>
            </w:r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Polyester resin</w:t>
            </w:r>
          </w:p>
        </w:tc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Plastic tape</w:t>
            </w:r>
          </w:p>
        </w:tc>
        <w:tc>
          <w:tcPr>
            <w:tcW w:w="943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Aluminum foundry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Steel foundry</w:t>
            </w:r>
          </w:p>
        </w:tc>
        <w:tc>
          <w:tcPr>
            <w:tcW w:w="924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Metal product </w:t>
            </w:r>
            <w:r w:rsidR="00C7694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and</w:t>
            </w: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machinery</w:t>
            </w:r>
          </w:p>
        </w:tc>
        <w:tc>
          <w:tcPr>
            <w:tcW w:w="896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Integrated iron </w:t>
            </w:r>
            <w:r w:rsidR="00C7694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and</w:t>
            </w: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 steel</w:t>
            </w:r>
          </w:p>
        </w:tc>
        <w:tc>
          <w:tcPr>
            <w:tcW w:w="764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Non-ferrous metal </w:t>
            </w:r>
          </w:p>
        </w:tc>
        <w:tc>
          <w:tcPr>
            <w:tcW w:w="762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PU leather 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Plastic coating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Stencil printing 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Propene</w:t>
            </w:r>
          </w:p>
        </w:tc>
        <w:tc>
          <w:tcPr>
            <w:tcW w:w="860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2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43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45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0.00013</w:t>
            </w:r>
          </w:p>
        </w:tc>
        <w:tc>
          <w:tcPr>
            <w:tcW w:w="943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2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0.0024</w:t>
            </w:r>
          </w:p>
        </w:tc>
        <w:tc>
          <w:tcPr>
            <w:tcW w:w="89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0.00013</w:t>
            </w:r>
          </w:p>
        </w:tc>
        <w:tc>
          <w:tcPr>
            <w:tcW w:w="764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2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2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29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Isobutane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0.00047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0.00013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0.00012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1-Butene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4.14484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n-Butane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0.00006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0.00023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0.64512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Cis-2-Butene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1.87788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Isopentane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0.00143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0.00017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0.00007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0.00019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0.00007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0.00010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0.00033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1-Pentene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0.00009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Trans-2-Pentene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0.14577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0.00000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0.00005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Isoprene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0.00005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0.00011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0.00027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2,2-Dimethylbutane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0.00067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0.00909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2,3-Dimethylbutane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0.01067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0.00020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0.10433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2-Methylpentane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0.00137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0.00007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0.00004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0.00009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0.00007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0.00005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0.00007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3-Methylpentane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0.05459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0.00091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0.60783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0.00010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1-Hexene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0.78224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0.00010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n-Hexane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0.02312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0.00064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0.00005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0.00011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0.00010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0.00008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0.11319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2,4-Dimethylpentane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0.00006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0.00003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0.00004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0.00005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Methylcyclopentane</w:t>
            </w:r>
            <w:proofErr w:type="spellEnd"/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0.00333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0.00045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0.00003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0.39585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0.00006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0.00002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0.00020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Benzene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0.00066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0.00010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0.00011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0.13595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0.00016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0.00013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0.02430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0.00012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0.00026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0.00030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0.16746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2-Methylhexane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0.00020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0.00008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0.00038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0.00038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Cyclohexane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0.00043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0.01423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0.00004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0.00016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2,3-Dimethylpentane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0.00004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0.00014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3-Methylhexane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0.00030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0.00008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0.00004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0.00003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0.00005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0.00031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n-Heptane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0.00034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0.00012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0.00004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0.00347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0.00014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0.00003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0.00003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0.00009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0.00037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Methylcyclohexane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0.00673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0.02512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0.00005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0.00016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0.13547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2,3,4-Trimethylpentane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0.00128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2-Methylheptane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0.00026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3-Methylheptane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0.00509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Toluene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0.24763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0.00334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0.00258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0.00135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11.05032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0.01162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0.00031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0.02287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0.00149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0.16075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0.09994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149.38815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n-Octane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0.00004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0.00131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0.00003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0.00004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0.00019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Ethylbenzene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0.01494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0.00012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0.02043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0.00003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1.30316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0.00031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0.00004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0.00011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0.00008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0.00054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0.40875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m-Xylene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0.05007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0.00019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0.08698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0.00003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2.51605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0.00052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0.00003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0.00007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0.00009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0.00093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0.00032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0.46865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p-Xylene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0.04239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0.00019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0.05829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0.00003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2.50317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0.00043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0.00003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0.00007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0.00009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0.00092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0.00031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0.46336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n-Nonane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0.00007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0.00023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0.00214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0.00005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0.00012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0.00009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Styrene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0.00007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0.00032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0.00006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0.00112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0.00011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0.00020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o-Xylene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0.03533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0.00015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0.03251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0.00005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1.16798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0.00047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0.00004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0.00010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0.00011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0.00060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0.00037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1.24210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Isopropylbenzene</w:t>
            </w:r>
            <w:proofErr w:type="spellEnd"/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0.01728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0.00005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0.00070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0.01936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0.00027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3.21918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n-</w:t>
            </w:r>
            <w:proofErr w:type="spellStart"/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Propylbenzene</w:t>
            </w:r>
            <w:proofErr w:type="spellEnd"/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0.01126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0.00008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0.01597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0.00024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0.00011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10.91209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m-</w:t>
            </w:r>
            <w:proofErr w:type="spellStart"/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Ethyltoluene</w:t>
            </w:r>
            <w:proofErr w:type="spellEnd"/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0.05317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0.00012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0.00002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0.00006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0.02013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0.00031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0.00012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0.00015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0.00027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42.38982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p-</w:t>
            </w:r>
            <w:proofErr w:type="spellStart"/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Ethyltoluene</w:t>
            </w:r>
            <w:proofErr w:type="spellEnd"/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0.06061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0.00013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0.00002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0.00007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0.02167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0.00029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0.00008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0.00016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0.00029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22.00170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1,3,5-Trimethylbenzene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0.03275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0.00011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0.00003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0.00023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31.13068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o-</w:t>
            </w:r>
            <w:proofErr w:type="spellStart"/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Ethyltoluene</w:t>
            </w:r>
            <w:proofErr w:type="spellEnd"/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0.02267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0.00014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0.00001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0.00007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0.02175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0.00027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0.00008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0.00016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0.00043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19.11561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n-</w:t>
            </w:r>
            <w:proofErr w:type="spellStart"/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Decane</w:t>
            </w:r>
            <w:proofErr w:type="spellEnd"/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0.00010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0.00101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0.00030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0.00023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0.00030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0.32807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1,2,4-Trimethylbenzene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0.05827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0.00016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0.00025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0.00054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0.00010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0.00020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0.00050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85.00303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1,2,3-Trimethylbenzene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0.02684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0.00011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0.00039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0.00010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0.00018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0.00050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26.37172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m-</w:t>
            </w:r>
            <w:proofErr w:type="spellStart"/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Diethylbenzene</w:t>
            </w:r>
            <w:proofErr w:type="spellEnd"/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0.00835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10.21630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p-</w:t>
            </w:r>
            <w:proofErr w:type="spellStart"/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Diethylbenzene</w:t>
            </w:r>
            <w:proofErr w:type="spellEnd"/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14.14068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n-Undecane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0.01038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0.00017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0.00038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0.00045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0.00027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0.00050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0.62748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n-Dodecane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0.00044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0.00012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0.00005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0.00002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1,3-Butadiene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0.00115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Ethanol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0.14387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0.00016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0.00113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0.00014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2.94426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0.00046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0.00099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Acrolein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0.01622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0.56280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0.00008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Acetone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0.63609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0.02287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0.00019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0.02815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0.00082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0.00029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0.00038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0.00150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0.00180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0.03924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1.02617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Isopropyl Alcohol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0.16009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0.00753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0.00065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Methylene Chloride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0.00065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0.00009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0.00001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0.00064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0.00002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0.00001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0.00002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0.00019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0.01330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Carbon Disulfide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0.00086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0.00013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Methyl Ethyl Ketone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0.08985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0.00113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0.00056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0.03782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0.00067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0.00015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0.00425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0.00078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0.40181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0.01243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0.81381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Ethyl Acetate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2.25086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0.00056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0.00022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0.00664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4.04014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0.00285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0.00009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0.00114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0.00408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0.01070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0.00131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1.30332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Chloroform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0.00012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Tetrahydrofuran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0.00422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1,2-Dichloroethane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0.00005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Trichloroethylene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1,2-Dichloropropane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0.00002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0.00153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0.00002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0.00005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Methyl Methacrylate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0.00792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0.08472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Methyl Isobutyl Ketone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0.34560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0.00676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0.00013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Tetrachloroethylene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Chlorobenzene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Bromoform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1,1,2,2-Tetrachloroethane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0.00001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1,3-Dichlorobenzene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0.00047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1,4-Dichlorobenzene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0.00005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1,2-Dichlorobenzene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0.00058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5B7431" w:rsidRPr="001D687F" w:rsidTr="005B7431">
        <w:trPr>
          <w:trHeight w:val="19"/>
        </w:trPr>
        <w:tc>
          <w:tcPr>
            <w:tcW w:w="1578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sz w:val="16"/>
                <w:szCs w:val="16"/>
              </w:rPr>
              <w:t>Naphthalene</w:t>
            </w:r>
          </w:p>
        </w:tc>
        <w:tc>
          <w:tcPr>
            <w:tcW w:w="86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0.00332</w:t>
            </w:r>
          </w:p>
        </w:tc>
        <w:tc>
          <w:tcPr>
            <w:tcW w:w="850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0.00030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0.00076</w:t>
            </w:r>
          </w:p>
        </w:tc>
        <w:tc>
          <w:tcPr>
            <w:tcW w:w="8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45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43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96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0.00105</w:t>
            </w:r>
          </w:p>
        </w:tc>
        <w:tc>
          <w:tcPr>
            <w:tcW w:w="764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0.00078</w:t>
            </w:r>
          </w:p>
        </w:tc>
        <w:tc>
          <w:tcPr>
            <w:tcW w:w="762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29" w:type="dxa"/>
            <w:shd w:val="clear" w:color="000000" w:fill="FFFFFF"/>
            <w:noWrap/>
            <w:vAlign w:val="center"/>
            <w:hideMark/>
          </w:tcPr>
          <w:p w:rsidR="005B7431" w:rsidRPr="001D687F" w:rsidRDefault="005B7431" w:rsidP="001D68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1D687F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1.72344</w:t>
            </w:r>
          </w:p>
        </w:tc>
      </w:tr>
    </w:tbl>
    <w:p w:rsidR="004966E7" w:rsidRPr="008214B1" w:rsidRDefault="004966E7" w:rsidP="004966E7">
      <w:pPr>
        <w:rPr>
          <w:rFonts w:ascii="Times New Roman" w:hAnsi="Times New Roman" w:cs="Times New Roman"/>
          <w:sz w:val="20"/>
          <w:szCs w:val="20"/>
          <w:vertAlign w:val="superscript"/>
        </w:rPr>
      </w:pPr>
      <w:r w:rsidRPr="004966E7">
        <w:rPr>
          <w:rFonts w:ascii="Times New Roman" w:hAnsi="Times New Roman" w:cs="Times New Roman"/>
          <w:sz w:val="20"/>
          <w:szCs w:val="20"/>
        </w:rPr>
        <w:t>All data shows in mg</w:t>
      </w:r>
      <w:r>
        <w:rPr>
          <w:rFonts w:ascii="Times New Roman" w:hAnsi="Times New Roman" w:cs="Times New Roman"/>
          <w:sz w:val="20"/>
          <w:szCs w:val="20"/>
        </w:rPr>
        <w:t>-VOC</w:t>
      </w:r>
      <w:r w:rsidR="008214B1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kg</w:t>
      </w:r>
      <w:r w:rsidR="008214B1" w:rsidRPr="008214B1">
        <w:rPr>
          <w:rFonts w:ascii="Times New Roman" w:hAnsi="Times New Roman" w:cs="Times New Roman"/>
          <w:sz w:val="20"/>
          <w:szCs w:val="20"/>
          <w:vertAlign w:val="superscript"/>
        </w:rPr>
        <w:t>-1</w:t>
      </w:r>
    </w:p>
    <w:p w:rsidR="00E00665" w:rsidRDefault="00E00665">
      <w:pPr>
        <w:sectPr w:rsidR="00E00665" w:rsidSect="00F711C9">
          <w:pgSz w:w="15840" w:h="12240" w:orient="landscape"/>
          <w:pgMar w:top="1800" w:right="1440" w:bottom="1800" w:left="1440" w:header="720" w:footer="720" w:gutter="0"/>
          <w:cols w:space="720"/>
          <w:docGrid w:linePitch="360"/>
        </w:sectPr>
      </w:pPr>
    </w:p>
    <w:p w:rsidR="001E431B" w:rsidRPr="004C2C18" w:rsidRDefault="001E431B" w:rsidP="001E431B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C2C18">
        <w:rPr>
          <w:rFonts w:ascii="Times New Roman" w:hAnsi="Times New Roman" w:cs="Times New Roman"/>
          <w:bCs/>
          <w:sz w:val="20"/>
          <w:szCs w:val="20"/>
        </w:rPr>
        <w:lastRenderedPageBreak/>
        <w:t>Table S</w:t>
      </w:r>
      <w:r w:rsidR="00DF307B" w:rsidRPr="004C2C18">
        <w:rPr>
          <w:rFonts w:ascii="Times New Roman" w:hAnsi="Times New Roman" w:cs="Times New Roman"/>
          <w:bCs/>
          <w:sz w:val="20"/>
          <w:szCs w:val="20"/>
        </w:rPr>
        <w:t>3</w:t>
      </w:r>
      <w:r w:rsidRPr="004C2C18">
        <w:rPr>
          <w:rFonts w:ascii="Times New Roman" w:hAnsi="Times New Roman" w:cs="Times New Roman"/>
          <w:bCs/>
          <w:sz w:val="20"/>
          <w:szCs w:val="20"/>
        </w:rPr>
        <w:t xml:space="preserve">. </w:t>
      </w:r>
      <w:r w:rsidR="009C1577" w:rsidRPr="004C2C18">
        <w:rPr>
          <w:rFonts w:ascii="Times New Roman" w:hAnsi="Times New Roman" w:cs="Times New Roman"/>
          <w:bCs/>
          <w:sz w:val="20"/>
          <w:szCs w:val="20"/>
        </w:rPr>
        <w:t>Carcinogenic</w:t>
      </w:r>
      <w:r w:rsidR="009C1577" w:rsidRPr="004C2C18">
        <w:rPr>
          <w:rFonts w:ascii="Times New Roman" w:hAnsi="Times New Roman" w:cs="Times New Roman"/>
          <w:sz w:val="20"/>
          <w:szCs w:val="20"/>
        </w:rPr>
        <w:t xml:space="preserve"> </w:t>
      </w:r>
      <w:r w:rsidR="007877A9" w:rsidRPr="004C2C18">
        <w:rPr>
          <w:rFonts w:ascii="Times New Roman" w:hAnsi="Times New Roman" w:cs="Times New Roman"/>
          <w:sz w:val="20"/>
          <w:szCs w:val="20"/>
        </w:rPr>
        <w:t xml:space="preserve">inhalation </w:t>
      </w:r>
      <w:r w:rsidR="009C1577" w:rsidRPr="004C2C18">
        <w:rPr>
          <w:rFonts w:ascii="Times New Roman" w:hAnsi="Times New Roman" w:cs="Times New Roman"/>
          <w:sz w:val="20"/>
          <w:szCs w:val="20"/>
        </w:rPr>
        <w:t>risk factor</w:t>
      </w:r>
      <w:r w:rsidR="007877A9" w:rsidRPr="004C2C18">
        <w:rPr>
          <w:rFonts w:ascii="Times New Roman" w:hAnsi="Times New Roman" w:cs="Times New Roman"/>
          <w:sz w:val="20"/>
          <w:szCs w:val="20"/>
        </w:rPr>
        <w:t xml:space="preserve"> of VOC species</w:t>
      </w:r>
      <w:r w:rsidRPr="004C2C18"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TableGrid"/>
        <w:tblW w:w="8612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12"/>
        <w:gridCol w:w="1753"/>
        <w:gridCol w:w="1947"/>
      </w:tblGrid>
      <w:tr w:rsidR="006C3985" w:rsidRPr="004C2C18" w:rsidTr="006E299A">
        <w:trPr>
          <w:trHeight w:val="441"/>
          <w:jc w:val="center"/>
        </w:trPr>
        <w:tc>
          <w:tcPr>
            <w:tcW w:w="4912" w:type="dxa"/>
            <w:tcBorders>
              <w:bottom w:val="single" w:sz="4" w:space="0" w:color="auto"/>
            </w:tcBorders>
            <w:vAlign w:val="center"/>
          </w:tcPr>
          <w:p w:rsidR="006C3985" w:rsidRPr="004C2C18" w:rsidRDefault="006C3985" w:rsidP="00280262">
            <w:pPr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4C2C18">
              <w:rPr>
                <w:rFonts w:ascii="Times New Roman" w:eastAsia="DFKai-SB" w:hAnsi="Times New Roman" w:cs="Times New Roman"/>
                <w:sz w:val="20"/>
                <w:szCs w:val="20"/>
              </w:rPr>
              <w:t>VOCs</w:t>
            </w:r>
          </w:p>
        </w:tc>
        <w:tc>
          <w:tcPr>
            <w:tcW w:w="1753" w:type="dxa"/>
            <w:tcBorders>
              <w:bottom w:val="single" w:sz="4" w:space="0" w:color="auto"/>
            </w:tcBorders>
          </w:tcPr>
          <w:p w:rsidR="006C3985" w:rsidRPr="004C2C18" w:rsidRDefault="006C3985" w:rsidP="00280262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4C2C18">
              <w:rPr>
                <w:rFonts w:ascii="Times New Roman" w:eastAsia="SimSun" w:hAnsi="Times New Roman" w:cs="Times New Roman"/>
                <w:sz w:val="20"/>
                <w:szCs w:val="20"/>
              </w:rPr>
              <w:t>Risk factor</w:t>
            </w:r>
          </w:p>
          <w:p w:rsidR="006C3985" w:rsidRPr="004C2C18" w:rsidRDefault="006C3985" w:rsidP="00280262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4C2C18">
              <w:rPr>
                <w:rFonts w:ascii="Times New Roman" w:eastAsia="SimSun" w:hAnsi="Times New Roman" w:cs="Times New Roman"/>
                <w:sz w:val="20"/>
                <w:szCs w:val="20"/>
              </w:rPr>
              <w:t>(µg m</w:t>
            </w:r>
            <w:r w:rsidRPr="004C2C18"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</w:rPr>
              <w:t>-3</w:t>
            </w:r>
            <w:r w:rsidRPr="004C2C18">
              <w:rPr>
                <w:rFonts w:ascii="Times New Roman" w:eastAsia="SimSun" w:hAnsi="Times New Roman" w:cs="Times New Roman"/>
                <w:sz w:val="20"/>
                <w:szCs w:val="20"/>
              </w:rPr>
              <w:t>)</w:t>
            </w:r>
            <w:r w:rsidRPr="004C2C18">
              <w:rPr>
                <w:rFonts w:ascii="Times New Roman" w:eastAsia="SimSun" w:hAnsi="Times New Roman" w:cs="Times New Roman"/>
                <w:sz w:val="20"/>
                <w:szCs w:val="20"/>
                <w:vertAlign w:val="superscript"/>
              </w:rPr>
              <w:t>-1</w:t>
            </w:r>
          </w:p>
        </w:tc>
        <w:tc>
          <w:tcPr>
            <w:tcW w:w="1947" w:type="dxa"/>
            <w:tcBorders>
              <w:bottom w:val="single" w:sz="4" w:space="0" w:color="auto"/>
            </w:tcBorders>
            <w:vAlign w:val="center"/>
          </w:tcPr>
          <w:p w:rsidR="006C3985" w:rsidRPr="004C2C18" w:rsidRDefault="006C3985" w:rsidP="00280262">
            <w:pPr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4C2C18">
              <w:rPr>
                <w:rFonts w:ascii="Times New Roman" w:eastAsia="SimSun" w:hAnsi="Times New Roman" w:cs="Times New Roman" w:hint="eastAsia"/>
                <w:sz w:val="20"/>
                <w:szCs w:val="20"/>
              </w:rPr>
              <w:t>S</w:t>
            </w:r>
            <w:r w:rsidRPr="004C2C18">
              <w:rPr>
                <w:rFonts w:ascii="Times New Roman" w:eastAsia="SimSun" w:hAnsi="Times New Roman" w:cs="Times New Roman"/>
                <w:sz w:val="20"/>
                <w:szCs w:val="20"/>
              </w:rPr>
              <w:t>ource</w:t>
            </w:r>
          </w:p>
        </w:tc>
      </w:tr>
      <w:tr w:rsidR="006C3985" w:rsidRPr="004C2C18" w:rsidTr="006E299A">
        <w:trPr>
          <w:trHeight w:val="245"/>
          <w:jc w:val="center"/>
        </w:trPr>
        <w:tc>
          <w:tcPr>
            <w:tcW w:w="4912" w:type="dxa"/>
            <w:tcBorders>
              <w:top w:val="single" w:sz="4" w:space="0" w:color="auto"/>
            </w:tcBorders>
            <w:vAlign w:val="center"/>
          </w:tcPr>
          <w:p w:rsidR="006C3985" w:rsidRPr="004C2C18" w:rsidRDefault="006C3985" w:rsidP="00280262">
            <w:pPr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4C2C18">
              <w:rPr>
                <w:rFonts w:ascii="Times New Roman" w:eastAsia="DFKai-SB" w:hAnsi="Times New Roman" w:cs="Times New Roman"/>
                <w:sz w:val="20"/>
                <w:szCs w:val="20"/>
              </w:rPr>
              <w:t>Benzene</w:t>
            </w:r>
          </w:p>
        </w:tc>
        <w:tc>
          <w:tcPr>
            <w:tcW w:w="1753" w:type="dxa"/>
            <w:tcBorders>
              <w:top w:val="single" w:sz="4" w:space="0" w:color="auto"/>
            </w:tcBorders>
          </w:tcPr>
          <w:p w:rsidR="006C3985" w:rsidRPr="004C2C18" w:rsidRDefault="006C3985" w:rsidP="00280262">
            <w:pPr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4C2C18">
              <w:rPr>
                <w:rFonts w:ascii="Times New Roman" w:eastAsia="DFKai-SB" w:hAnsi="Times New Roman" w:cs="Times New Roman"/>
                <w:sz w:val="20"/>
                <w:szCs w:val="20"/>
              </w:rPr>
              <w:t>7.8 × 10</w:t>
            </w:r>
            <w:r w:rsidRPr="004C2C18">
              <w:rPr>
                <w:rFonts w:ascii="Times New Roman" w:eastAsia="DFKai-SB" w:hAnsi="Times New Roman" w:cs="Times New Roman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1947" w:type="dxa"/>
            <w:tcBorders>
              <w:top w:val="single" w:sz="4" w:space="0" w:color="auto"/>
            </w:tcBorders>
            <w:vAlign w:val="center"/>
          </w:tcPr>
          <w:p w:rsidR="006C3985" w:rsidRPr="004C2C18" w:rsidRDefault="006C3985" w:rsidP="00280262">
            <w:pPr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4C2C18">
              <w:rPr>
                <w:rFonts w:ascii="Times New Roman" w:eastAsia="DFKai-SB" w:hAnsi="Times New Roman" w:cs="Times New Roman"/>
                <w:sz w:val="20"/>
                <w:szCs w:val="20"/>
              </w:rPr>
              <w:t>IRIS</w:t>
            </w:r>
          </w:p>
        </w:tc>
      </w:tr>
      <w:tr w:rsidR="006C3985" w:rsidRPr="004C2C18" w:rsidTr="006E299A">
        <w:trPr>
          <w:trHeight w:val="245"/>
          <w:jc w:val="center"/>
        </w:trPr>
        <w:tc>
          <w:tcPr>
            <w:tcW w:w="4912" w:type="dxa"/>
            <w:vAlign w:val="center"/>
          </w:tcPr>
          <w:p w:rsidR="006C3985" w:rsidRPr="004C2C18" w:rsidRDefault="006C3985" w:rsidP="00280262">
            <w:pPr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4C2C18">
              <w:rPr>
                <w:rFonts w:ascii="Times New Roman" w:eastAsia="DFKai-SB" w:hAnsi="Times New Roman" w:cs="Times New Roman"/>
                <w:sz w:val="20"/>
                <w:szCs w:val="20"/>
              </w:rPr>
              <w:t>Chloroform</w:t>
            </w:r>
          </w:p>
        </w:tc>
        <w:tc>
          <w:tcPr>
            <w:tcW w:w="1753" w:type="dxa"/>
          </w:tcPr>
          <w:p w:rsidR="006C3985" w:rsidRPr="004C2C18" w:rsidRDefault="006C3985" w:rsidP="00394A32">
            <w:pPr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4C2C18">
              <w:rPr>
                <w:rFonts w:ascii="Times New Roman" w:eastAsia="DFKai-SB" w:hAnsi="Times New Roman" w:cs="Times New Roman"/>
                <w:sz w:val="20"/>
                <w:szCs w:val="20"/>
              </w:rPr>
              <w:t>2.3 × 10</w:t>
            </w:r>
            <w:r w:rsidRPr="004C2C18">
              <w:rPr>
                <w:rFonts w:ascii="Times New Roman" w:eastAsia="DFKai-SB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947" w:type="dxa"/>
            <w:vAlign w:val="center"/>
          </w:tcPr>
          <w:p w:rsidR="006C3985" w:rsidRPr="004C2C18" w:rsidRDefault="006C3985" w:rsidP="00280262">
            <w:pPr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4C2C18">
              <w:rPr>
                <w:rFonts w:ascii="Times New Roman" w:eastAsia="DFKai-SB" w:hAnsi="Times New Roman" w:cs="Times New Roman"/>
                <w:sz w:val="20"/>
                <w:szCs w:val="20"/>
              </w:rPr>
              <w:t>IRIS</w:t>
            </w:r>
          </w:p>
        </w:tc>
      </w:tr>
      <w:tr w:rsidR="006C3985" w:rsidRPr="004C2C18" w:rsidTr="006E299A">
        <w:trPr>
          <w:trHeight w:val="245"/>
          <w:jc w:val="center"/>
        </w:trPr>
        <w:tc>
          <w:tcPr>
            <w:tcW w:w="4912" w:type="dxa"/>
            <w:vAlign w:val="center"/>
          </w:tcPr>
          <w:p w:rsidR="006C3985" w:rsidRPr="004C2C18" w:rsidRDefault="006C3985" w:rsidP="00280262">
            <w:pPr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4C2C18">
              <w:rPr>
                <w:rFonts w:ascii="Times New Roman" w:eastAsia="DFKai-SB" w:hAnsi="Times New Roman" w:cs="Times New Roman"/>
                <w:sz w:val="20"/>
                <w:szCs w:val="20"/>
              </w:rPr>
              <w:t>Trichloroethylene</w:t>
            </w:r>
          </w:p>
        </w:tc>
        <w:tc>
          <w:tcPr>
            <w:tcW w:w="1753" w:type="dxa"/>
          </w:tcPr>
          <w:p w:rsidR="006C3985" w:rsidRPr="004C2C18" w:rsidRDefault="00A227EC" w:rsidP="00280262">
            <w:pPr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4C2C18">
              <w:rPr>
                <w:rFonts w:ascii="Times New Roman" w:eastAsia="DFKai-SB" w:hAnsi="Times New Roman" w:cs="Times New Roman"/>
                <w:sz w:val="20"/>
                <w:szCs w:val="20"/>
              </w:rPr>
              <w:t>2.6</w:t>
            </w:r>
            <w:r w:rsidR="006C3985" w:rsidRPr="004C2C18">
              <w:rPr>
                <w:rFonts w:ascii="Times New Roman" w:eastAsia="DFKai-SB" w:hAnsi="Times New Roman" w:cs="Times New Roman"/>
                <w:sz w:val="20"/>
                <w:szCs w:val="20"/>
              </w:rPr>
              <w:t xml:space="preserve"> × 10</w:t>
            </w:r>
            <w:r w:rsidR="006C3985" w:rsidRPr="004C2C18">
              <w:rPr>
                <w:rFonts w:ascii="Times New Roman" w:eastAsia="DFKai-SB" w:hAnsi="Times New Roman" w:cs="Times New Roman"/>
                <w:sz w:val="20"/>
                <w:szCs w:val="20"/>
                <w:vertAlign w:val="superscript"/>
              </w:rPr>
              <w:t>-</w:t>
            </w:r>
            <w:r w:rsidRPr="004C2C18">
              <w:rPr>
                <w:rFonts w:ascii="Times New Roman" w:eastAsia="DFKai-SB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947" w:type="dxa"/>
            <w:vAlign w:val="center"/>
          </w:tcPr>
          <w:p w:rsidR="006C3985" w:rsidRPr="004C2C18" w:rsidRDefault="006C3985" w:rsidP="00280262">
            <w:pPr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4C2C18">
              <w:rPr>
                <w:rFonts w:ascii="Times New Roman" w:eastAsia="DFKai-SB" w:hAnsi="Times New Roman" w:cs="Times New Roman"/>
                <w:sz w:val="20"/>
                <w:szCs w:val="20"/>
              </w:rPr>
              <w:t>IRIS</w:t>
            </w:r>
          </w:p>
        </w:tc>
      </w:tr>
      <w:tr w:rsidR="006C3985" w:rsidRPr="004C2C18" w:rsidTr="006E299A">
        <w:trPr>
          <w:trHeight w:val="245"/>
          <w:jc w:val="center"/>
        </w:trPr>
        <w:tc>
          <w:tcPr>
            <w:tcW w:w="4912" w:type="dxa"/>
            <w:vAlign w:val="center"/>
          </w:tcPr>
          <w:p w:rsidR="006C3985" w:rsidRPr="004C2C18" w:rsidRDefault="006C3985" w:rsidP="00280262">
            <w:pPr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4C2C18">
              <w:rPr>
                <w:rFonts w:ascii="Times New Roman" w:eastAsia="DFKai-SB" w:hAnsi="Times New Roman" w:cs="Times New Roman"/>
                <w:sz w:val="20"/>
                <w:szCs w:val="20"/>
              </w:rPr>
              <w:t>Bromoform</w:t>
            </w:r>
          </w:p>
        </w:tc>
        <w:tc>
          <w:tcPr>
            <w:tcW w:w="1753" w:type="dxa"/>
          </w:tcPr>
          <w:p w:rsidR="006C3985" w:rsidRPr="004C2C18" w:rsidRDefault="006C3985" w:rsidP="00280262">
            <w:pPr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4C2C18">
              <w:rPr>
                <w:rFonts w:ascii="Times New Roman" w:eastAsia="DFKai-SB" w:hAnsi="Times New Roman" w:cs="Times New Roman"/>
                <w:sz w:val="20"/>
                <w:szCs w:val="20"/>
              </w:rPr>
              <w:t>1.1 × 10</w:t>
            </w:r>
            <w:r w:rsidRPr="004C2C18">
              <w:rPr>
                <w:rFonts w:ascii="Times New Roman" w:eastAsia="DFKai-SB" w:hAnsi="Times New Roman" w:cs="Times New Roman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1947" w:type="dxa"/>
            <w:vAlign w:val="center"/>
          </w:tcPr>
          <w:p w:rsidR="006C3985" w:rsidRPr="004C2C18" w:rsidRDefault="006C3985" w:rsidP="00280262">
            <w:pPr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4C2C18">
              <w:rPr>
                <w:rFonts w:ascii="Times New Roman" w:eastAsia="DFKai-SB" w:hAnsi="Times New Roman" w:cs="Times New Roman"/>
                <w:sz w:val="20"/>
                <w:szCs w:val="20"/>
              </w:rPr>
              <w:t>IRIS</w:t>
            </w:r>
          </w:p>
        </w:tc>
      </w:tr>
      <w:tr w:rsidR="00280262" w:rsidRPr="004C2C18" w:rsidTr="006E299A">
        <w:trPr>
          <w:trHeight w:val="245"/>
          <w:jc w:val="center"/>
        </w:trPr>
        <w:tc>
          <w:tcPr>
            <w:tcW w:w="4912" w:type="dxa"/>
            <w:vAlign w:val="center"/>
          </w:tcPr>
          <w:p w:rsidR="00280262" w:rsidRPr="004C2C18" w:rsidRDefault="00280262" w:rsidP="00280262">
            <w:pPr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4C2C18">
              <w:rPr>
                <w:rFonts w:ascii="Times New Roman" w:eastAsia="DFKai-SB" w:hAnsi="Times New Roman" w:cs="Times New Roman"/>
                <w:sz w:val="20"/>
                <w:szCs w:val="20"/>
              </w:rPr>
              <w:t xml:space="preserve">1,3-Butadiene </w:t>
            </w:r>
          </w:p>
        </w:tc>
        <w:tc>
          <w:tcPr>
            <w:tcW w:w="1753" w:type="dxa"/>
          </w:tcPr>
          <w:p w:rsidR="00280262" w:rsidRPr="004C2C18" w:rsidRDefault="00E24818" w:rsidP="00280262">
            <w:pPr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4C2C18">
              <w:rPr>
                <w:rFonts w:ascii="Times New Roman" w:eastAsia="DFKai-SB" w:hAnsi="Times New Roman" w:cs="Times New Roman"/>
                <w:sz w:val="20"/>
                <w:szCs w:val="20"/>
              </w:rPr>
              <w:t>3</w:t>
            </w:r>
            <w:r w:rsidR="00DB6994" w:rsidRPr="004C2C18">
              <w:rPr>
                <w:rFonts w:ascii="Times New Roman" w:eastAsia="DFKai-SB" w:hAnsi="Times New Roman" w:cs="Times New Roman"/>
                <w:sz w:val="20"/>
                <w:szCs w:val="20"/>
              </w:rPr>
              <w:t>.0</w:t>
            </w:r>
            <w:r w:rsidR="00280262" w:rsidRPr="004C2C18">
              <w:rPr>
                <w:rFonts w:ascii="Times New Roman" w:eastAsia="DFKai-SB" w:hAnsi="Times New Roman" w:cs="Times New Roman"/>
                <w:sz w:val="20"/>
                <w:szCs w:val="20"/>
              </w:rPr>
              <w:t xml:space="preserve"> × 10</w:t>
            </w:r>
            <w:r w:rsidRPr="004C2C18">
              <w:rPr>
                <w:rFonts w:ascii="Times New Roman" w:eastAsia="DFKai-SB" w:hAnsi="Times New Roman"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947" w:type="dxa"/>
            <w:vAlign w:val="center"/>
          </w:tcPr>
          <w:p w:rsidR="00280262" w:rsidRPr="004C2C18" w:rsidRDefault="006C2511" w:rsidP="00280262">
            <w:pPr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4C2C18">
              <w:rPr>
                <w:rFonts w:ascii="Times New Roman" w:eastAsia="DFKai-SB" w:hAnsi="Times New Roman" w:cs="Times New Roman"/>
                <w:sz w:val="20"/>
                <w:szCs w:val="20"/>
              </w:rPr>
              <w:t>IRIS</w:t>
            </w:r>
          </w:p>
        </w:tc>
      </w:tr>
    </w:tbl>
    <w:p w:rsidR="001E431B" w:rsidRPr="004C2C18" w:rsidRDefault="00376691" w:rsidP="001E431B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C2C18">
        <w:rPr>
          <w:rFonts w:ascii="Times New Roman" w:hAnsi="Times New Roman" w:cs="Times New Roman"/>
          <w:sz w:val="20"/>
          <w:szCs w:val="20"/>
        </w:rPr>
        <w:t xml:space="preserve">IRIS; </w:t>
      </w:r>
      <w:r w:rsidRPr="004C2C18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Integrated Risk Information System </w:t>
      </w:r>
    </w:p>
    <w:p w:rsidR="00C9613C" w:rsidRDefault="00C9613C" w:rsidP="007658CE">
      <w:pPr>
        <w:spacing w:after="0" w:line="48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7658CE" w:rsidRPr="008875C3" w:rsidRDefault="007658CE" w:rsidP="00C9613C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875C3">
        <w:rPr>
          <w:rFonts w:ascii="Times New Roman" w:hAnsi="Times New Roman" w:cs="Times New Roman"/>
          <w:sz w:val="20"/>
          <w:szCs w:val="20"/>
        </w:rPr>
        <w:t xml:space="preserve">Table </w:t>
      </w:r>
      <w:r w:rsidR="008875C3" w:rsidRPr="008875C3">
        <w:rPr>
          <w:rFonts w:ascii="Times New Roman" w:hAnsi="Times New Roman" w:cs="Times New Roman"/>
          <w:sz w:val="20"/>
          <w:szCs w:val="20"/>
        </w:rPr>
        <w:t xml:space="preserve">S4. </w:t>
      </w:r>
      <w:r w:rsidR="00C9613C">
        <w:rPr>
          <w:rFonts w:ascii="Times New Roman" w:hAnsi="Times New Roman" w:cs="Times New Roman"/>
          <w:sz w:val="20"/>
          <w:szCs w:val="20"/>
        </w:rPr>
        <w:t xml:space="preserve">Comparison of ozone formation potential of VOC obtained in this study and with previous studies  </w:t>
      </w:r>
    </w:p>
    <w:tbl>
      <w:tblPr>
        <w:tblStyle w:val="TableGrid"/>
        <w:tblW w:w="9907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1559"/>
        <w:gridCol w:w="3200"/>
        <w:gridCol w:w="461"/>
        <w:gridCol w:w="2628"/>
        <w:gridCol w:w="799"/>
      </w:tblGrid>
      <w:tr w:rsidR="00C76948" w:rsidRPr="00C76948" w:rsidTr="00C9613C">
        <w:trPr>
          <w:trHeight w:val="316"/>
          <w:jc w:val="center"/>
        </w:trPr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7658CE" w:rsidRPr="00C76948" w:rsidRDefault="007658CE" w:rsidP="007658CE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Country/city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7658CE" w:rsidRPr="00C76948" w:rsidRDefault="005431E6" w:rsidP="007658CE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Industries </w:t>
            </w:r>
          </w:p>
        </w:tc>
        <w:tc>
          <w:tcPr>
            <w:tcW w:w="3200" w:type="dxa"/>
            <w:tcBorders>
              <w:bottom w:val="single" w:sz="4" w:space="0" w:color="auto"/>
            </w:tcBorders>
            <w:vAlign w:val="center"/>
          </w:tcPr>
          <w:p w:rsidR="007658CE" w:rsidRPr="00C76948" w:rsidRDefault="007658CE" w:rsidP="007658CE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Emission sources</w:t>
            </w:r>
          </w:p>
        </w:tc>
        <w:tc>
          <w:tcPr>
            <w:tcW w:w="461" w:type="dxa"/>
            <w:tcBorders>
              <w:bottom w:val="single" w:sz="4" w:space="0" w:color="auto"/>
            </w:tcBorders>
            <w:vAlign w:val="center"/>
          </w:tcPr>
          <w:p w:rsidR="007658CE" w:rsidRPr="00C76948" w:rsidRDefault="007658CE" w:rsidP="007658CE">
            <w:pPr>
              <w:spacing w:line="276" w:lineRule="auto"/>
              <w:rPr>
                <w:rFonts w:ascii="Times New Roman" w:hAnsi="Times New Roman" w:cs="Times New Roman"/>
                <w:i/>
                <w:iCs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i/>
                <w:iCs/>
                <w:color w:val="00B050"/>
                <w:sz w:val="20"/>
                <w:szCs w:val="20"/>
              </w:rPr>
              <w:t>n</w:t>
            </w:r>
          </w:p>
        </w:tc>
        <w:tc>
          <w:tcPr>
            <w:tcW w:w="2628" w:type="dxa"/>
            <w:tcBorders>
              <w:bottom w:val="single" w:sz="4" w:space="0" w:color="auto"/>
            </w:tcBorders>
            <w:vAlign w:val="center"/>
          </w:tcPr>
          <w:p w:rsidR="007658CE" w:rsidRPr="00C76948" w:rsidRDefault="007658CE" w:rsidP="007658CE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Top OFP VOC species for each source</w:t>
            </w:r>
          </w:p>
        </w:tc>
        <w:tc>
          <w:tcPr>
            <w:tcW w:w="799" w:type="dxa"/>
            <w:tcBorders>
              <w:bottom w:val="single" w:sz="4" w:space="0" w:color="auto"/>
            </w:tcBorders>
            <w:vAlign w:val="center"/>
          </w:tcPr>
          <w:p w:rsidR="007658CE" w:rsidRPr="00C76948" w:rsidRDefault="007658CE" w:rsidP="007658CE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References</w:t>
            </w:r>
          </w:p>
        </w:tc>
      </w:tr>
      <w:tr w:rsidR="00C76948" w:rsidRPr="00C76948" w:rsidTr="00C9613C">
        <w:trPr>
          <w:trHeight w:val="1259"/>
          <w:jc w:val="center"/>
        </w:trPr>
        <w:tc>
          <w:tcPr>
            <w:tcW w:w="1260" w:type="dxa"/>
            <w:tcBorders>
              <w:top w:val="single" w:sz="4" w:space="0" w:color="auto"/>
            </w:tcBorders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Taichung city, Taiwan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Manufacturing industries </w:t>
            </w:r>
          </w:p>
        </w:tc>
        <w:tc>
          <w:tcPr>
            <w:tcW w:w="3200" w:type="dxa"/>
            <w:tcBorders>
              <w:top w:val="single" w:sz="4" w:space="0" w:color="auto"/>
            </w:tcBorders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Metal product and machinery </w:t>
            </w:r>
            <w:r w:rsidRPr="00C76948">
              <w:rPr>
                <w:rFonts w:asciiTheme="minorEastAsia" w:hAnsiTheme="minorEastAsia" w:cstheme="minorEastAsia" w:hint="eastAsia"/>
                <w:color w:val="00B050"/>
                <w:sz w:val="20"/>
                <w:szCs w:val="20"/>
              </w:rPr>
              <w:t>&gt;</w:t>
            </w: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Acrylic resin &gt; Stencil printing &gt; Plastic tape &gt; Aluminum foundry &gt; Plastic coating &gt; Polyester resin &gt; Non-ferrous metal &gt; Steel foundry &gt; Integrated iron and steel &gt; Organic solvent &gt; PU leather &gt; Synthetic resin</w:t>
            </w:r>
          </w:p>
        </w:tc>
        <w:tc>
          <w:tcPr>
            <w:tcW w:w="461" w:type="dxa"/>
            <w:tcBorders>
              <w:top w:val="single" w:sz="4" w:space="0" w:color="auto"/>
            </w:tcBorders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13</w:t>
            </w:r>
          </w:p>
        </w:tc>
        <w:tc>
          <w:tcPr>
            <w:tcW w:w="2628" w:type="dxa"/>
            <w:tcBorders>
              <w:top w:val="single" w:sz="4" w:space="0" w:color="auto"/>
            </w:tcBorders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1-Butene &gt; m-Xylene &gt; 1,2,4-Trimethylbenzene &gt; Toluene &gt; Toluene &gt; Toluene &gt; Ethyl acetate &gt; Ethyl acetate &gt; Toluene &gt; Toluene &gt; Ethyl acetate &gt; Toluene &gt; Toluene </w:t>
            </w:r>
          </w:p>
        </w:tc>
        <w:tc>
          <w:tcPr>
            <w:tcW w:w="799" w:type="dxa"/>
            <w:tcBorders>
              <w:top w:val="single" w:sz="4" w:space="0" w:color="auto"/>
            </w:tcBorders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This study</w:t>
            </w:r>
          </w:p>
        </w:tc>
      </w:tr>
      <w:tr w:rsidR="00C76948" w:rsidRPr="00C76948" w:rsidTr="00C9613C">
        <w:trPr>
          <w:trHeight w:val="316"/>
          <w:jc w:val="center"/>
        </w:trPr>
        <w:tc>
          <w:tcPr>
            <w:tcW w:w="1260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Shanghai and Beijing, China</w:t>
            </w:r>
          </w:p>
        </w:tc>
        <w:tc>
          <w:tcPr>
            <w:tcW w:w="1559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Typical industries</w:t>
            </w:r>
          </w:p>
        </w:tc>
        <w:tc>
          <w:tcPr>
            <w:tcW w:w="3200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Vehicle &gt; equipment &gt; furniture &gt; printing &gt; electronics &gt; bio-pharming</w:t>
            </w:r>
          </w:p>
        </w:tc>
        <w:tc>
          <w:tcPr>
            <w:tcW w:w="461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6</w:t>
            </w:r>
          </w:p>
        </w:tc>
        <w:tc>
          <w:tcPr>
            <w:tcW w:w="2628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Benzenes &gt;</w:t>
            </w:r>
          </w:p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Esters &gt; Alcohols &gt; Ketones &gt; Alkenes &gt; Chloroalkanes.</w:t>
            </w:r>
          </w:p>
        </w:tc>
        <w:tc>
          <w:tcPr>
            <w:tcW w:w="799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fldChar w:fldCharType="begin"/>
            </w: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instrText xml:space="preserve"> ADDIN ZOTERO_ITEM CSL_CITATION {"citationID":"1hcSPTtz","properties":{"formattedCitation":"[55]","plainCitation":"[55]","noteIndex":0},"citationItems":[{"id":1521,"uris":["http://zotero.org/users/local/az0qrgTQ/items/V6T68Q5D"],"uri":["http://zotero.org/users/local/az0qrgTQ/items/V6T68Q5D"],"itemData":{"id":1521,"type":"article-journal","container-title":"Chinese Science Bulletin","issue":"7","note":"publisher: Springer","page":"724–730","source":"Google Scholar","title":"Characterization and assessment of volatile organic compounds (VOCs) emissions from typical industries","volume":"58","author":[{"family":"Wang","given":"HaiLin"},{"family":"Nie","given":"Lie"},{"family":"Li","given":"Jing"},{"family":"Wang","given":"YuFei"},{"family":"Wang","given":"Gang"},{"family":"Wang","given":"JunHui"},{"family":"Hao","given":"ZhengPing"}],"issued":{"date-parts":[["2013"]]}}}],"schema":"https://github.com/citation-style-language/schema/raw/master/csl-citation.json"} </w:instrText>
            </w: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fldChar w:fldCharType="separate"/>
            </w:r>
            <w:r w:rsidRPr="00C76948">
              <w:rPr>
                <w:rFonts w:ascii="Times New Roman" w:hAnsi="Times New Roman" w:cs="Times New Roman"/>
                <w:color w:val="00B050"/>
                <w:sz w:val="20"/>
              </w:rPr>
              <w:t>[5</w:t>
            </w:r>
            <w:r w:rsidR="00A53075" w:rsidRPr="00C76948">
              <w:rPr>
                <w:rFonts w:ascii="Times New Roman" w:hAnsi="Times New Roman" w:cs="Times New Roman"/>
                <w:color w:val="00B050"/>
                <w:sz w:val="20"/>
              </w:rPr>
              <w:t>6</w:t>
            </w:r>
            <w:r w:rsidRPr="00C76948">
              <w:rPr>
                <w:rFonts w:ascii="Times New Roman" w:hAnsi="Times New Roman" w:cs="Times New Roman"/>
                <w:color w:val="00B050"/>
                <w:sz w:val="20"/>
              </w:rPr>
              <w:t>]</w:t>
            </w: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fldChar w:fldCharType="end"/>
            </w:r>
          </w:p>
        </w:tc>
      </w:tr>
      <w:tr w:rsidR="00C76948" w:rsidRPr="00C76948" w:rsidTr="00C9613C">
        <w:trPr>
          <w:trHeight w:val="296"/>
          <w:jc w:val="center"/>
        </w:trPr>
        <w:tc>
          <w:tcPr>
            <w:tcW w:w="1260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Northern China </w:t>
            </w:r>
          </w:p>
        </w:tc>
        <w:tc>
          <w:tcPr>
            <w:tcW w:w="1559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Rubber footwear industry </w:t>
            </w:r>
          </w:p>
        </w:tc>
        <w:tc>
          <w:tcPr>
            <w:tcW w:w="3200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Outlet of painting &gt; outlet of vulcanizing &gt; </w:t>
            </w:r>
            <w:bookmarkStart w:id="1" w:name="_Hlk47462527"/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shaping workshop</w:t>
            </w:r>
            <w:bookmarkEnd w:id="1"/>
          </w:p>
        </w:tc>
        <w:tc>
          <w:tcPr>
            <w:tcW w:w="461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3</w:t>
            </w:r>
          </w:p>
        </w:tc>
        <w:tc>
          <w:tcPr>
            <w:tcW w:w="2628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Alkenes &gt; Alkenes &gt; Alkenes </w:t>
            </w:r>
          </w:p>
        </w:tc>
        <w:tc>
          <w:tcPr>
            <w:tcW w:w="799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fldChar w:fldCharType="begin"/>
            </w: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instrText xml:space="preserve"> ADDIN ZOTERO_ITEM CSL_CITATION {"citationID":"L6LHKjsN","properties":{"formattedCitation":"[56]","plainCitation":"[56]","noteIndex":0},"citationItems":[{"id":1524,"uris":["http://zotero.org/users/local/az0qrgTQ/items/5G4XS5VA"],"uri":["http://zotero.org/users/local/az0qrgTQ/items/5G4XS5VA"],"itemData":{"id":1524,"type":"article-journal","container-title":"Journal of hazardous materials","note":"publisher: Elsevier","page":"52–60","source":"Google Scholar","title":"Emission profiles, ozone formation potential and health-risk assessment of volatile organic compounds in rubber footwear industries in China","volume":"375","author":[{"family":"Li","given":"Qianqian"},{"family":"Su","given":"Guijin"},{"family":"Li","given":"Chuanqi"},{"family":"Wang","given":"Mengjing"},{"family":"Tan","given":"Li"},{"family":"Gao","given":"Lirong"},{"family":"Mingge","given":"Wu"},{"family":"Wang","given":"Qingliang"}],"issued":{"date-parts":[["2019"]]}}}],"schema":"https://github.com/citation-style-language/schema/raw/master/csl-citation.json"} </w:instrText>
            </w: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fldChar w:fldCharType="separate"/>
            </w:r>
            <w:r w:rsidRPr="00C76948">
              <w:rPr>
                <w:rFonts w:ascii="Times New Roman" w:hAnsi="Times New Roman" w:cs="Times New Roman"/>
                <w:color w:val="00B050"/>
                <w:sz w:val="20"/>
              </w:rPr>
              <w:t>[5</w:t>
            </w:r>
            <w:r w:rsidR="00A53075" w:rsidRPr="00C76948">
              <w:rPr>
                <w:rFonts w:ascii="Times New Roman" w:hAnsi="Times New Roman" w:cs="Times New Roman"/>
                <w:color w:val="00B050"/>
                <w:sz w:val="20"/>
              </w:rPr>
              <w:t>7</w:t>
            </w:r>
            <w:r w:rsidRPr="00C76948">
              <w:rPr>
                <w:rFonts w:ascii="Times New Roman" w:hAnsi="Times New Roman" w:cs="Times New Roman"/>
                <w:color w:val="00B050"/>
                <w:sz w:val="20"/>
              </w:rPr>
              <w:t>]</w:t>
            </w: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fldChar w:fldCharType="end"/>
            </w:r>
          </w:p>
        </w:tc>
      </w:tr>
      <w:tr w:rsidR="00C76948" w:rsidRPr="00C76948" w:rsidTr="00C9613C">
        <w:trPr>
          <w:trHeight w:val="296"/>
          <w:jc w:val="center"/>
        </w:trPr>
        <w:tc>
          <w:tcPr>
            <w:tcW w:w="1260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China </w:t>
            </w:r>
          </w:p>
        </w:tc>
        <w:tc>
          <w:tcPr>
            <w:tcW w:w="1559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Industries </w:t>
            </w:r>
          </w:p>
        </w:tc>
        <w:tc>
          <w:tcPr>
            <w:tcW w:w="3200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Processes using VOC-containing products &gt; Production of VOCs &gt; Storage and transport &gt; Industrial processes using VOCs as raw materials</w:t>
            </w:r>
          </w:p>
        </w:tc>
        <w:tc>
          <w:tcPr>
            <w:tcW w:w="461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4</w:t>
            </w:r>
          </w:p>
        </w:tc>
        <w:tc>
          <w:tcPr>
            <w:tcW w:w="2628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Alkenes/Alkynes &gt; Alkenes/ Alkynes &gt; Aromatic &gt; Aromatic </w:t>
            </w:r>
          </w:p>
        </w:tc>
        <w:tc>
          <w:tcPr>
            <w:tcW w:w="799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fldChar w:fldCharType="begin"/>
            </w: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instrText xml:space="preserve"> ADDIN ZOTERO_ITEM CSL_CITATION {"citationID":"waaelqJr","properties":{"formattedCitation":"[57]","plainCitation":"[57]","noteIndex":0},"citationItems":[{"id":1526,"uris":["http://zotero.org/users/local/az0qrgTQ/items/ILAYWM89"],"uri":["http://zotero.org/users/local/az0qrgTQ/items/ILAYWM89"],"itemData":{"id":1526,"type":"article-journal","container-title":"Atmospheric Environment","note":"publisher: Elsevier","page":"115–126","source":"Google Scholar","title":"Reactivity-based industrial volatile organic compounds emission inventory and its implications for ozone control strategies in China","volume":"162","author":[{"family":"Liang","given":"Xiaoming"},{"family":"Chen","given":"Xiaofang"},{"family":"Zhang","given":"Jiani"},{"family":"Shi","given":"Tianli"},{"family":"Sun","given":"Xibo"},{"family":"Fan","given":"Liya"},{"family":"Wang","given":"Liming"},{"family":"Ye","given":"Daiqi"}],"issued":{"date-parts":[["2017"]]}}}],"schema":"https://github.com/citation-style-language/schema/raw/master/csl-citation.json"} </w:instrText>
            </w: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fldChar w:fldCharType="separate"/>
            </w:r>
            <w:r w:rsidRPr="00C76948">
              <w:rPr>
                <w:rFonts w:ascii="Times New Roman" w:hAnsi="Times New Roman" w:cs="Times New Roman"/>
                <w:color w:val="00B050"/>
                <w:sz w:val="20"/>
              </w:rPr>
              <w:t>[5</w:t>
            </w:r>
            <w:r w:rsidR="00A53075" w:rsidRPr="00C76948">
              <w:rPr>
                <w:rFonts w:ascii="Times New Roman" w:hAnsi="Times New Roman" w:cs="Times New Roman"/>
                <w:color w:val="00B050"/>
                <w:sz w:val="20"/>
              </w:rPr>
              <w:t>8</w:t>
            </w:r>
            <w:r w:rsidRPr="00C76948">
              <w:rPr>
                <w:rFonts w:ascii="Times New Roman" w:hAnsi="Times New Roman" w:cs="Times New Roman"/>
                <w:color w:val="00B050"/>
                <w:sz w:val="20"/>
              </w:rPr>
              <w:t>]</w:t>
            </w: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fldChar w:fldCharType="end"/>
            </w:r>
          </w:p>
        </w:tc>
      </w:tr>
      <w:tr w:rsidR="00C76948" w:rsidRPr="00C76948" w:rsidTr="00C9613C">
        <w:trPr>
          <w:trHeight w:val="316"/>
          <w:jc w:val="center"/>
        </w:trPr>
        <w:tc>
          <w:tcPr>
            <w:tcW w:w="1260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China</w:t>
            </w:r>
          </w:p>
        </w:tc>
        <w:tc>
          <w:tcPr>
            <w:tcW w:w="1559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 Printing</w:t>
            </w:r>
          </w:p>
        </w:tc>
        <w:tc>
          <w:tcPr>
            <w:tcW w:w="3200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Other printing &gt; Flexible packaging bonding &gt; Offset printing &gt; Gravure printing </w:t>
            </w:r>
          </w:p>
        </w:tc>
        <w:tc>
          <w:tcPr>
            <w:tcW w:w="461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4</w:t>
            </w:r>
          </w:p>
        </w:tc>
        <w:tc>
          <w:tcPr>
            <w:tcW w:w="2628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-</w:t>
            </w:r>
          </w:p>
        </w:tc>
        <w:tc>
          <w:tcPr>
            <w:tcW w:w="799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fldChar w:fldCharType="begin"/>
            </w: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instrText xml:space="preserve"> ADDIN ZOTERO_ITEM CSL_CITATION {"citationID":"ktYfmoV6","properties":{"formattedCitation":"[58]","plainCitation":"[58]","noteIndex":0},"citationItems":[{"id":1528,"uris":["http://zotero.org/users/local/az0qrgTQ/items/IEVUXH6W"],"uri":["http://zotero.org/users/local/az0qrgTQ/items/IEVUXH6W"],"itemData":{"id":1528,"type":"article-journal","container-title":"Science of The Total Environment","note":"publisher: Elsevier","page":"140838","source":"Google Scholar","title":"Improved emissions inventory and VOCs speciation for industrial OFP estimation in China","author":[{"family":"Liang","given":"Xiaoming"},{"family":"Sun","given":"Xibo"},{"family":"Xu","given":"Jiantie"},{"family":"Ye","given":"Daiqi"}],"issued":{"date-parts":[["2020"]]}}}],"schema":"https://github.com/citation-style-language/schema/raw/master/csl-citation.json"} </w:instrText>
            </w: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fldChar w:fldCharType="separate"/>
            </w:r>
            <w:r w:rsidRPr="00C76948">
              <w:rPr>
                <w:rFonts w:ascii="Times New Roman" w:hAnsi="Times New Roman" w:cs="Times New Roman"/>
                <w:color w:val="00B050"/>
                <w:sz w:val="20"/>
              </w:rPr>
              <w:t>[5</w:t>
            </w:r>
            <w:r w:rsidR="00A53075" w:rsidRPr="00C76948">
              <w:rPr>
                <w:rFonts w:ascii="Times New Roman" w:hAnsi="Times New Roman" w:cs="Times New Roman"/>
                <w:color w:val="00B050"/>
                <w:sz w:val="20"/>
              </w:rPr>
              <w:t>9</w:t>
            </w:r>
            <w:r w:rsidRPr="00C76948">
              <w:rPr>
                <w:rFonts w:ascii="Times New Roman" w:hAnsi="Times New Roman" w:cs="Times New Roman"/>
                <w:color w:val="00B050"/>
                <w:sz w:val="20"/>
              </w:rPr>
              <w:t>]</w:t>
            </w: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fldChar w:fldCharType="end"/>
            </w:r>
          </w:p>
        </w:tc>
      </w:tr>
      <w:tr w:rsidR="00C76948" w:rsidRPr="00C76948" w:rsidTr="00C9613C">
        <w:trPr>
          <w:trHeight w:val="296"/>
          <w:jc w:val="center"/>
        </w:trPr>
        <w:tc>
          <w:tcPr>
            <w:tcW w:w="1260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China</w:t>
            </w:r>
          </w:p>
        </w:tc>
        <w:tc>
          <w:tcPr>
            <w:tcW w:w="1559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Industrial coating industry</w:t>
            </w:r>
          </w:p>
        </w:tc>
        <w:tc>
          <w:tcPr>
            <w:tcW w:w="3200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Automobile manufacturing &gt; Industrial protective coating &gt; Shipbuilding industry &gt; Wood products industry </w:t>
            </w:r>
          </w:p>
        </w:tc>
        <w:tc>
          <w:tcPr>
            <w:tcW w:w="461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4</w:t>
            </w:r>
          </w:p>
        </w:tc>
        <w:tc>
          <w:tcPr>
            <w:tcW w:w="2628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 -</w:t>
            </w:r>
          </w:p>
        </w:tc>
        <w:tc>
          <w:tcPr>
            <w:tcW w:w="799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fldChar w:fldCharType="begin"/>
            </w: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instrText xml:space="preserve"> ADDIN ZOTERO_ITEM CSL_CITATION {"citationID":"MXcqVhVW","properties":{"formattedCitation":"[58]","plainCitation":"[58]","noteIndex":0},"citationItems":[{"id":1528,"uris":["http://zotero.org/users/local/az0qrgTQ/items/IEVUXH6W"],"uri":["http://zotero.org/users/local/az0qrgTQ/items/IEVUXH6W"],"itemData":{"id":1528,"type":"article-journal","container-title":"Science of The Total Environment","note":"publisher: Elsevier","page":"140838","source":"Google Scholar","title":"Improved emissions inventory and VOCs speciation for industrial OFP estimation in China","author":[{"family":"Liang","given":"Xiaoming"},{"family":"Sun","given":"Xibo"},{"family":"Xu","given":"Jiantie"},{"family":"Ye","given":"Daiqi"}],"issued":{"date-parts":[["2020"]]}}}],"schema":"https://github.com/citation-style-language/schema/raw/master/csl-citation.json"} </w:instrText>
            </w: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fldChar w:fldCharType="separate"/>
            </w:r>
            <w:r w:rsidRPr="00C76948">
              <w:rPr>
                <w:rFonts w:ascii="Times New Roman" w:hAnsi="Times New Roman" w:cs="Times New Roman"/>
                <w:color w:val="00B050"/>
                <w:sz w:val="20"/>
              </w:rPr>
              <w:t>[5</w:t>
            </w:r>
            <w:r w:rsidR="00A53075" w:rsidRPr="00C76948">
              <w:rPr>
                <w:rFonts w:ascii="Times New Roman" w:hAnsi="Times New Roman" w:cs="Times New Roman"/>
                <w:color w:val="00B050"/>
                <w:sz w:val="20"/>
              </w:rPr>
              <w:t>9</w:t>
            </w:r>
            <w:r w:rsidRPr="00C76948">
              <w:rPr>
                <w:rFonts w:ascii="Times New Roman" w:hAnsi="Times New Roman" w:cs="Times New Roman"/>
                <w:color w:val="00B050"/>
                <w:sz w:val="20"/>
              </w:rPr>
              <w:t>]</w:t>
            </w: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fldChar w:fldCharType="end"/>
            </w:r>
          </w:p>
        </w:tc>
      </w:tr>
      <w:tr w:rsidR="00C76948" w:rsidRPr="00C76948" w:rsidTr="00C9613C">
        <w:trPr>
          <w:trHeight w:val="316"/>
          <w:jc w:val="center"/>
        </w:trPr>
        <w:tc>
          <w:tcPr>
            <w:tcW w:w="1260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China</w:t>
            </w:r>
          </w:p>
        </w:tc>
        <w:tc>
          <w:tcPr>
            <w:tcW w:w="1559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Paints and similar products industry</w:t>
            </w:r>
          </w:p>
        </w:tc>
        <w:tc>
          <w:tcPr>
            <w:tcW w:w="3200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Paints and pigments industry &gt; Ink industry</w:t>
            </w:r>
          </w:p>
        </w:tc>
        <w:tc>
          <w:tcPr>
            <w:tcW w:w="461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2</w:t>
            </w:r>
          </w:p>
        </w:tc>
        <w:tc>
          <w:tcPr>
            <w:tcW w:w="2628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-</w:t>
            </w:r>
          </w:p>
        </w:tc>
        <w:tc>
          <w:tcPr>
            <w:tcW w:w="799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fldChar w:fldCharType="begin"/>
            </w: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instrText xml:space="preserve"> ADDIN ZOTERO_ITEM CSL_CITATION {"citationID":"5rzqVW5K","properties":{"formattedCitation":"[58]","plainCitation":"[58]","noteIndex":0},"citationItems":[{"id":1528,"uris":["http://zotero.org/users/local/az0qrgTQ/items/IEVUXH6W"],"uri":["http://zotero.org/users/local/az0qrgTQ/items/IEVUXH6W"],"itemData":{"id":1528,"type":"article-journal","container-title":"Science of The Total Environment","note":"publisher: Elsevier","page":"140838","source":"Google Scholar","title":"Improved emissions inventory and VOCs speciation for industrial OFP estimation in China","author":[{"family":"Liang","given":"Xiaoming"},{"family":"Sun","given":"Xibo"},{"family":"Xu","given":"Jiantie"},{"family":"Ye","given":"Daiqi"}],"issued":{"date-parts":[["2020"]]}}}],"schema":"https://github.com/citation-style-language/schema/raw/master/csl-citation.json"} </w:instrText>
            </w: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fldChar w:fldCharType="separate"/>
            </w:r>
            <w:r w:rsidRPr="00C76948">
              <w:rPr>
                <w:rFonts w:ascii="Times New Roman" w:hAnsi="Times New Roman" w:cs="Times New Roman"/>
                <w:color w:val="00B050"/>
                <w:sz w:val="20"/>
              </w:rPr>
              <w:t>[5</w:t>
            </w:r>
            <w:r w:rsidR="00A53075" w:rsidRPr="00C76948">
              <w:rPr>
                <w:rFonts w:ascii="Times New Roman" w:hAnsi="Times New Roman" w:cs="Times New Roman"/>
                <w:color w:val="00B050"/>
                <w:sz w:val="20"/>
              </w:rPr>
              <w:t>9</w:t>
            </w:r>
            <w:r w:rsidRPr="00C76948">
              <w:rPr>
                <w:rFonts w:ascii="Times New Roman" w:hAnsi="Times New Roman" w:cs="Times New Roman"/>
                <w:color w:val="00B050"/>
                <w:sz w:val="20"/>
              </w:rPr>
              <w:t>]</w:t>
            </w: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fldChar w:fldCharType="end"/>
            </w:r>
          </w:p>
        </w:tc>
      </w:tr>
      <w:tr w:rsidR="00C76948" w:rsidRPr="00C76948" w:rsidTr="00C9613C">
        <w:trPr>
          <w:trHeight w:val="296"/>
          <w:jc w:val="center"/>
        </w:trPr>
        <w:tc>
          <w:tcPr>
            <w:tcW w:w="1260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China</w:t>
            </w:r>
          </w:p>
        </w:tc>
        <w:tc>
          <w:tcPr>
            <w:tcW w:w="1559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 xml:space="preserve">Pulp and paper industry </w:t>
            </w:r>
          </w:p>
        </w:tc>
        <w:tc>
          <w:tcPr>
            <w:tcW w:w="3200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Paper products industry &gt; Paper pulp industry</w:t>
            </w:r>
          </w:p>
        </w:tc>
        <w:tc>
          <w:tcPr>
            <w:tcW w:w="461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</w:p>
        </w:tc>
        <w:tc>
          <w:tcPr>
            <w:tcW w:w="2628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t>-</w:t>
            </w:r>
          </w:p>
        </w:tc>
        <w:tc>
          <w:tcPr>
            <w:tcW w:w="799" w:type="dxa"/>
          </w:tcPr>
          <w:p w:rsidR="007658CE" w:rsidRPr="00C76948" w:rsidRDefault="007658CE" w:rsidP="00FA1BA9">
            <w:pPr>
              <w:spacing w:line="276" w:lineRule="auto"/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fldChar w:fldCharType="begin"/>
            </w: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instrText xml:space="preserve"> ADDIN ZOTERO_ITEM CSL_CITATION {"citationID":"lE72LCvN","properties":{"formattedCitation":"[58]","plainCitation":"[58]","noteIndex":0},"citationItems":[{"id":1528,"uris":["http://zotero.org/users/local/az0qrgTQ/items/IEVUXH6W"],"uri":["http://zotero.org/users/local/az0qrgTQ/items/IEVUXH6W"],"itemData":{"id":1528,"type":"article-journal","container-title":"Science of The Total Environment","note":"publisher: Elsevier","page":"140838","source":"Google Scholar","title":"Improved emissions inventory and VOCs speciation for industrial OFP estimation in China","author":[{"family":"Liang","given":"Xiaoming"},{"family":"Sun","given":"Xibo"},{"family":"Xu","given":"Jiantie"},{"family":"Ye","given":"Daiqi"}],"issued":{"date-parts":[["2020"]]}}}],"schema":"https://github.com/citation-style-language/schema/raw/master/csl-citation.json"} </w:instrText>
            </w: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fldChar w:fldCharType="separate"/>
            </w:r>
            <w:r w:rsidRPr="00C76948">
              <w:rPr>
                <w:rFonts w:ascii="Times New Roman" w:hAnsi="Times New Roman" w:cs="Times New Roman"/>
                <w:color w:val="00B050"/>
                <w:sz w:val="20"/>
              </w:rPr>
              <w:t>[5</w:t>
            </w:r>
            <w:r w:rsidR="00A53075" w:rsidRPr="00C76948">
              <w:rPr>
                <w:rFonts w:ascii="Times New Roman" w:hAnsi="Times New Roman" w:cs="Times New Roman"/>
                <w:color w:val="00B050"/>
                <w:sz w:val="20"/>
              </w:rPr>
              <w:t>9</w:t>
            </w:r>
            <w:r w:rsidRPr="00C76948">
              <w:rPr>
                <w:rFonts w:ascii="Times New Roman" w:hAnsi="Times New Roman" w:cs="Times New Roman"/>
                <w:color w:val="00B050"/>
                <w:sz w:val="20"/>
              </w:rPr>
              <w:t>]</w:t>
            </w:r>
            <w:r w:rsidRPr="00C76948">
              <w:rPr>
                <w:rFonts w:ascii="Times New Roman" w:hAnsi="Times New Roman" w:cs="Times New Roman"/>
                <w:color w:val="00B050"/>
                <w:sz w:val="20"/>
                <w:szCs w:val="20"/>
              </w:rPr>
              <w:fldChar w:fldCharType="end"/>
            </w:r>
          </w:p>
        </w:tc>
      </w:tr>
    </w:tbl>
    <w:p w:rsidR="007658CE" w:rsidRDefault="007658CE" w:rsidP="007658CE">
      <w:pPr>
        <w:spacing w:after="0" w:line="48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7658CE" w:rsidRDefault="008B16ED" w:rsidP="001E431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zh-TW" w:bidi="ne-NP"/>
        </w:rPr>
        <w:lastRenderedPageBreak/>
        <w:drawing>
          <wp:inline distT="0" distB="0" distL="0" distR="0" wp14:anchorId="42D18A1A" wp14:editId="7BABE7E0">
            <wp:extent cx="5486400" cy="4180840"/>
            <wp:effectExtent l="0" t="0" r="0" b="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6DD0DB64-44CF-4098-BB45-04B350CC1B1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7B34BC" w:rsidRPr="00A52F5F" w:rsidRDefault="007B34BC" w:rsidP="007B34B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2F5F">
        <w:rPr>
          <w:rFonts w:ascii="Times New Roman" w:hAnsi="Times New Roman" w:cs="Times New Roman"/>
          <w:b/>
          <w:sz w:val="24"/>
          <w:szCs w:val="24"/>
        </w:rPr>
        <w:t xml:space="preserve">Fig. </w:t>
      </w:r>
      <w:r w:rsidR="00052043" w:rsidRPr="00A52F5F">
        <w:rPr>
          <w:rFonts w:ascii="Times New Roman" w:hAnsi="Times New Roman" w:cs="Times New Roman"/>
          <w:b/>
          <w:sz w:val="24"/>
          <w:szCs w:val="24"/>
        </w:rPr>
        <w:t>S1</w:t>
      </w:r>
      <w:r w:rsidRPr="00A52F5F">
        <w:rPr>
          <w:rFonts w:ascii="Times New Roman" w:hAnsi="Times New Roman" w:cs="Times New Roman"/>
          <w:b/>
          <w:sz w:val="24"/>
          <w:szCs w:val="24"/>
        </w:rPr>
        <w:t>.</w:t>
      </w:r>
      <w:r w:rsidRPr="00A52F5F">
        <w:rPr>
          <w:rFonts w:ascii="Times New Roman" w:hAnsi="Times New Roman" w:cs="Times New Roman"/>
          <w:sz w:val="24"/>
          <w:szCs w:val="24"/>
        </w:rPr>
        <w:t xml:space="preserve"> Relative ozone formation potential of VOCs for different emission </w:t>
      </w:r>
      <w:r w:rsidR="00052043" w:rsidRPr="00A52F5F">
        <w:rPr>
          <w:rFonts w:ascii="Times New Roman" w:hAnsi="Times New Roman" w:cs="Times New Roman"/>
          <w:sz w:val="24"/>
          <w:szCs w:val="24"/>
        </w:rPr>
        <w:t>sources</w:t>
      </w:r>
      <w:r w:rsidRPr="00A52F5F">
        <w:rPr>
          <w:rFonts w:ascii="Times New Roman" w:hAnsi="Times New Roman" w:cs="Times New Roman"/>
          <w:sz w:val="24"/>
          <w:szCs w:val="24"/>
        </w:rPr>
        <w:t>.</w:t>
      </w:r>
    </w:p>
    <w:p w:rsidR="007B34BC" w:rsidRDefault="007B34BC" w:rsidP="001E431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5DEC" w:rsidRDefault="004A79F7" w:rsidP="001E431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zh-TW" w:bidi="ne-NP"/>
        </w:rPr>
        <w:lastRenderedPageBreak/>
        <w:drawing>
          <wp:inline distT="0" distB="0" distL="0" distR="0" wp14:anchorId="02EBE780" wp14:editId="7D0D7A38">
            <wp:extent cx="5156835" cy="3887470"/>
            <wp:effectExtent l="0" t="0" r="5715" b="0"/>
            <wp:docPr id="3" name="Chart 3">
              <a:extLst xmlns:a="http://schemas.openxmlformats.org/drawingml/2006/main">
                <a:ext uri="{FF2B5EF4-FFF2-40B4-BE49-F238E27FC236}">
                  <a16:creationId xmlns:a16="http://schemas.microsoft.com/office/drawing/2014/main" id="{F6A73CB9-3D59-48FA-9745-929BBC98776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BC429B" w:rsidRDefault="002E3DCE" w:rsidP="001243FA">
      <w:pPr>
        <w:tabs>
          <w:tab w:val="left" w:pos="12273"/>
        </w:tabs>
        <w:spacing w:after="0"/>
        <w:jc w:val="both"/>
        <w:rPr>
          <w:rFonts w:ascii="Times New Roman" w:hAnsi="Times New Roman" w:cs="Times New Roman"/>
          <w:color w:val="00B0F0"/>
          <w:sz w:val="24"/>
          <w:szCs w:val="24"/>
        </w:rPr>
      </w:pPr>
      <w:r w:rsidRPr="004F7A10">
        <w:rPr>
          <w:rFonts w:ascii="Times New Roman" w:hAnsi="Times New Roman" w:cs="Times New Roman"/>
          <w:b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F32C16">
        <w:rPr>
          <w:rFonts w:ascii="Times New Roman" w:hAnsi="Times New Roman" w:cs="Times New Roman"/>
          <w:b/>
          <w:sz w:val="24"/>
          <w:szCs w:val="24"/>
        </w:rPr>
        <w:t>2</w:t>
      </w:r>
      <w:r w:rsidRPr="004F7A10">
        <w:rPr>
          <w:rFonts w:ascii="Times New Roman" w:hAnsi="Times New Roman" w:cs="Times New Roman"/>
          <w:b/>
          <w:sz w:val="24"/>
          <w:szCs w:val="24"/>
        </w:rPr>
        <w:t>.</w:t>
      </w:r>
      <w:r w:rsidRPr="004F7A10">
        <w:rPr>
          <w:rFonts w:ascii="Times New Roman" w:hAnsi="Times New Roman" w:cs="Times New Roman"/>
          <w:sz w:val="24"/>
          <w:szCs w:val="24"/>
        </w:rPr>
        <w:t xml:space="preserve"> Relative carcinogenic </w:t>
      </w:r>
      <w:r w:rsidRPr="00E8695B">
        <w:rPr>
          <w:rFonts w:ascii="Times New Roman" w:hAnsi="Times New Roman" w:cs="Times New Roman"/>
          <w:sz w:val="24"/>
          <w:szCs w:val="24"/>
        </w:rPr>
        <w:t xml:space="preserve">risk </w:t>
      </w:r>
      <w:r w:rsidR="001243FA" w:rsidRPr="00E8695B">
        <w:rPr>
          <w:rFonts w:ascii="Times New Roman" w:hAnsi="Times New Roman" w:cs="Times New Roman"/>
          <w:sz w:val="24"/>
          <w:szCs w:val="24"/>
        </w:rPr>
        <w:t xml:space="preserve">of VOCs for different emission sources. </w:t>
      </w:r>
    </w:p>
    <w:p w:rsidR="00BC429B" w:rsidRDefault="00BC429B" w:rsidP="00BC429B">
      <w:pPr>
        <w:spacing w:after="0" w:line="360" w:lineRule="auto"/>
        <w:jc w:val="both"/>
        <w:rPr>
          <w:rFonts w:ascii="Times New Roman" w:hAnsi="Times New Roman" w:cs="Times New Roman"/>
          <w:color w:val="00B0F0"/>
          <w:sz w:val="24"/>
          <w:szCs w:val="24"/>
        </w:rPr>
      </w:pPr>
    </w:p>
    <w:p w:rsidR="00BC429B" w:rsidRPr="00BC429B" w:rsidRDefault="00BC429B" w:rsidP="00BC429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3DCE" w:rsidRDefault="002E3DCE" w:rsidP="001E431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E3DCE" w:rsidSect="001E431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FKai-SB">
    <w:altName w:val="標楷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74FA"/>
    <w:rsid w:val="00004947"/>
    <w:rsid w:val="00005F80"/>
    <w:rsid w:val="00014C7E"/>
    <w:rsid w:val="00022EC9"/>
    <w:rsid w:val="00023987"/>
    <w:rsid w:val="00052043"/>
    <w:rsid w:val="00064F79"/>
    <w:rsid w:val="000A4625"/>
    <w:rsid w:val="000B0D0F"/>
    <w:rsid w:val="000B2069"/>
    <w:rsid w:val="000B288D"/>
    <w:rsid w:val="000B581F"/>
    <w:rsid w:val="000B6C54"/>
    <w:rsid w:val="000E77C4"/>
    <w:rsid w:val="00100525"/>
    <w:rsid w:val="00110CEE"/>
    <w:rsid w:val="001243FA"/>
    <w:rsid w:val="00146B5A"/>
    <w:rsid w:val="001D687F"/>
    <w:rsid w:val="001D787C"/>
    <w:rsid w:val="001E0061"/>
    <w:rsid w:val="001E431B"/>
    <w:rsid w:val="00202AE8"/>
    <w:rsid w:val="00210955"/>
    <w:rsid w:val="00213C67"/>
    <w:rsid w:val="00253031"/>
    <w:rsid w:val="00255FE9"/>
    <w:rsid w:val="00261D81"/>
    <w:rsid w:val="002709C5"/>
    <w:rsid w:val="00274B3F"/>
    <w:rsid w:val="00275372"/>
    <w:rsid w:val="00280262"/>
    <w:rsid w:val="002E3DCE"/>
    <w:rsid w:val="00302EDB"/>
    <w:rsid w:val="0031795E"/>
    <w:rsid w:val="00333C7D"/>
    <w:rsid w:val="00336822"/>
    <w:rsid w:val="00340B96"/>
    <w:rsid w:val="0034241B"/>
    <w:rsid w:val="003523AD"/>
    <w:rsid w:val="0036325B"/>
    <w:rsid w:val="00376691"/>
    <w:rsid w:val="00394A32"/>
    <w:rsid w:val="003C058D"/>
    <w:rsid w:val="003D106B"/>
    <w:rsid w:val="00416FF4"/>
    <w:rsid w:val="00421EFB"/>
    <w:rsid w:val="00433FD9"/>
    <w:rsid w:val="00471BB6"/>
    <w:rsid w:val="004966E7"/>
    <w:rsid w:val="004A79F7"/>
    <w:rsid w:val="004C2C18"/>
    <w:rsid w:val="004E4ED6"/>
    <w:rsid w:val="00503941"/>
    <w:rsid w:val="00533AEB"/>
    <w:rsid w:val="005362B4"/>
    <w:rsid w:val="005374FA"/>
    <w:rsid w:val="005431E6"/>
    <w:rsid w:val="0054662C"/>
    <w:rsid w:val="00577E5B"/>
    <w:rsid w:val="005931F5"/>
    <w:rsid w:val="005A4AA6"/>
    <w:rsid w:val="005B7431"/>
    <w:rsid w:val="005D077C"/>
    <w:rsid w:val="005D4860"/>
    <w:rsid w:val="005F25B4"/>
    <w:rsid w:val="00605193"/>
    <w:rsid w:val="00615B0B"/>
    <w:rsid w:val="00627561"/>
    <w:rsid w:val="006464F9"/>
    <w:rsid w:val="0068150C"/>
    <w:rsid w:val="00685273"/>
    <w:rsid w:val="006935BE"/>
    <w:rsid w:val="006B4655"/>
    <w:rsid w:val="006C2511"/>
    <w:rsid w:val="006C3985"/>
    <w:rsid w:val="006D7AA8"/>
    <w:rsid w:val="006E299A"/>
    <w:rsid w:val="006F59E1"/>
    <w:rsid w:val="0072007E"/>
    <w:rsid w:val="00734168"/>
    <w:rsid w:val="00735EE0"/>
    <w:rsid w:val="007441A7"/>
    <w:rsid w:val="00755372"/>
    <w:rsid w:val="007658CE"/>
    <w:rsid w:val="00765DEC"/>
    <w:rsid w:val="007824C8"/>
    <w:rsid w:val="007877A9"/>
    <w:rsid w:val="00796B5A"/>
    <w:rsid w:val="007A7CC3"/>
    <w:rsid w:val="007B094B"/>
    <w:rsid w:val="007B34BC"/>
    <w:rsid w:val="007D2760"/>
    <w:rsid w:val="007E653A"/>
    <w:rsid w:val="007F2D11"/>
    <w:rsid w:val="0080177B"/>
    <w:rsid w:val="008214B1"/>
    <w:rsid w:val="008875C3"/>
    <w:rsid w:val="008B16ED"/>
    <w:rsid w:val="008C01EF"/>
    <w:rsid w:val="008D67D8"/>
    <w:rsid w:val="008E4595"/>
    <w:rsid w:val="008F4154"/>
    <w:rsid w:val="00905302"/>
    <w:rsid w:val="009C1577"/>
    <w:rsid w:val="009D4E24"/>
    <w:rsid w:val="009E374A"/>
    <w:rsid w:val="00A227EC"/>
    <w:rsid w:val="00A35253"/>
    <w:rsid w:val="00A40D26"/>
    <w:rsid w:val="00A52F5F"/>
    <w:rsid w:val="00A53075"/>
    <w:rsid w:val="00A90E93"/>
    <w:rsid w:val="00A969BD"/>
    <w:rsid w:val="00AA4A8C"/>
    <w:rsid w:val="00AA7750"/>
    <w:rsid w:val="00AE02D0"/>
    <w:rsid w:val="00AF0167"/>
    <w:rsid w:val="00B0066B"/>
    <w:rsid w:val="00B862A0"/>
    <w:rsid w:val="00BA3A7D"/>
    <w:rsid w:val="00BC429B"/>
    <w:rsid w:val="00BD3D85"/>
    <w:rsid w:val="00C06569"/>
    <w:rsid w:val="00C2715D"/>
    <w:rsid w:val="00C311B0"/>
    <w:rsid w:val="00C71049"/>
    <w:rsid w:val="00C75798"/>
    <w:rsid w:val="00C76948"/>
    <w:rsid w:val="00C77F0E"/>
    <w:rsid w:val="00C9613C"/>
    <w:rsid w:val="00CA2812"/>
    <w:rsid w:val="00CC5B56"/>
    <w:rsid w:val="00CF2942"/>
    <w:rsid w:val="00D10FE0"/>
    <w:rsid w:val="00D45886"/>
    <w:rsid w:val="00D542D9"/>
    <w:rsid w:val="00D84984"/>
    <w:rsid w:val="00DA64DB"/>
    <w:rsid w:val="00DB6994"/>
    <w:rsid w:val="00DF1EE3"/>
    <w:rsid w:val="00DF307B"/>
    <w:rsid w:val="00E00665"/>
    <w:rsid w:val="00E115DF"/>
    <w:rsid w:val="00E24481"/>
    <w:rsid w:val="00E24818"/>
    <w:rsid w:val="00E30AFD"/>
    <w:rsid w:val="00E36AB6"/>
    <w:rsid w:val="00E40100"/>
    <w:rsid w:val="00E50EF2"/>
    <w:rsid w:val="00E8695B"/>
    <w:rsid w:val="00E90DA4"/>
    <w:rsid w:val="00E962EA"/>
    <w:rsid w:val="00EB79F1"/>
    <w:rsid w:val="00EF147E"/>
    <w:rsid w:val="00F10520"/>
    <w:rsid w:val="00F32C16"/>
    <w:rsid w:val="00F508C2"/>
    <w:rsid w:val="00F52191"/>
    <w:rsid w:val="00F711C9"/>
    <w:rsid w:val="00FD69E3"/>
    <w:rsid w:val="00FF1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5877B6-0506-4FE9-9A61-13CA96148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B46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D3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05F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5F8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0066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00665"/>
    <w:rPr>
      <w:color w:val="800080"/>
      <w:u w:val="single"/>
    </w:rPr>
  </w:style>
  <w:style w:type="paragraph" w:customStyle="1" w:styleId="font5">
    <w:name w:val="font5"/>
    <w:basedOn w:val="Normal"/>
    <w:rsid w:val="00E00665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6"/>
      <w:szCs w:val="16"/>
    </w:rPr>
  </w:style>
  <w:style w:type="paragraph" w:customStyle="1" w:styleId="font6">
    <w:name w:val="font6"/>
    <w:basedOn w:val="Normal"/>
    <w:rsid w:val="00E00665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6"/>
      <w:szCs w:val="16"/>
    </w:rPr>
  </w:style>
  <w:style w:type="paragraph" w:customStyle="1" w:styleId="xl712">
    <w:name w:val="xl712"/>
    <w:basedOn w:val="Normal"/>
    <w:rsid w:val="00E00665"/>
    <w:pP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paragraph" w:customStyle="1" w:styleId="xl713">
    <w:name w:val="xl713"/>
    <w:basedOn w:val="Normal"/>
    <w:rsid w:val="00E00665"/>
    <w:pP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4">
    <w:name w:val="xl714"/>
    <w:basedOn w:val="Normal"/>
    <w:rsid w:val="00E0066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5">
    <w:name w:val="xl715"/>
    <w:basedOn w:val="Normal"/>
    <w:rsid w:val="00E00665"/>
    <w:pPr>
      <w:shd w:val="clear" w:color="000000" w:fill="F2F2F2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6">
    <w:name w:val="xl716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</w:rPr>
  </w:style>
  <w:style w:type="paragraph" w:customStyle="1" w:styleId="xl717">
    <w:name w:val="xl717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18">
    <w:name w:val="xl718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9">
    <w:name w:val="xl719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0">
    <w:name w:val="xl720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1">
    <w:name w:val="xl721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2">
    <w:name w:val="xl722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66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3">
    <w:name w:val="xl723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4">
    <w:name w:val="xl724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725">
    <w:name w:val="xl725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</w:rPr>
  </w:style>
  <w:style w:type="paragraph" w:customStyle="1" w:styleId="xl726">
    <w:name w:val="xl726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8CCE4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7">
    <w:name w:val="xl727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8CCE4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728">
    <w:name w:val="xl728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8CCE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9">
    <w:name w:val="xl729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8CCE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30">
    <w:name w:val="xl730"/>
    <w:basedOn w:val="Normal"/>
    <w:rsid w:val="00E006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1">
    <w:name w:val="xl731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2">
    <w:name w:val="xl732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3">
    <w:name w:val="xl733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BF1DE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4">
    <w:name w:val="xl734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8CCE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35">
    <w:name w:val="xl735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8CCE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6">
    <w:name w:val="xl736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8CCE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37">
    <w:name w:val="xl737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B8CCE4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38">
    <w:name w:val="xl738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BF1DE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9">
    <w:name w:val="xl739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</w:rPr>
  </w:style>
  <w:style w:type="paragraph" w:customStyle="1" w:styleId="xl740">
    <w:name w:val="xl740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8CCE4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41">
    <w:name w:val="xl741"/>
    <w:basedOn w:val="Normal"/>
    <w:rsid w:val="00E0066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8CCE4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F711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280262"/>
    <w:rPr>
      <w:i/>
      <w:iCs/>
    </w:rPr>
  </w:style>
  <w:style w:type="paragraph" w:styleId="Bibliography">
    <w:name w:val="Bibliography"/>
    <w:basedOn w:val="Normal"/>
    <w:next w:val="Normal"/>
    <w:uiPriority w:val="37"/>
    <w:semiHidden/>
    <w:unhideWhenUsed/>
    <w:rsid w:val="00BA3A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234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8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0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1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5" Type="http://schemas.openxmlformats.org/officeDocument/2006/relationships/hyperlink" Target="mailto:snelnv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9.0956000578667817E-2"/>
          <c:y val="4.1450356462879208E-2"/>
          <c:w val="0.89875660817988301"/>
          <c:h val="0.55362631158519371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OFP!$DK$120</c:f>
              <c:strCache>
                <c:ptCount val="1"/>
                <c:pt idx="0">
                  <c:v>Alkanes</c:v>
                </c:pt>
              </c:strCache>
            </c:strRef>
          </c:tx>
          <c:spPr>
            <a:pattFill prst="lgCheck">
              <a:fgClr>
                <a:srgbClr val="7030A0"/>
              </a:fgClr>
              <a:bgClr>
                <a:schemeClr val="bg1"/>
              </a:bgClr>
            </a:pattFill>
            <a:ln w="3175">
              <a:solidFill>
                <a:srgbClr val="7030A0"/>
              </a:solidFill>
            </a:ln>
            <a:effectLst/>
          </c:spPr>
          <c:invertIfNegative val="0"/>
          <c:cat>
            <c:multiLvlStrRef>
              <c:f>OFP!$DM$118:$DY$119</c:f>
              <c:multiLvlStrCache>
                <c:ptCount val="13"/>
                <c:lvl>
                  <c:pt idx="0">
                    <c:v>Organic solvent</c:v>
                  </c:pt>
                  <c:pt idx="1">
                    <c:v>Synthetic resin</c:v>
                  </c:pt>
                  <c:pt idx="2">
                    <c:v>Acrylic resin</c:v>
                  </c:pt>
                  <c:pt idx="3">
                    <c:v>Polyester resin</c:v>
                  </c:pt>
                  <c:pt idx="4">
                    <c:v>Plastic tape</c:v>
                  </c:pt>
                  <c:pt idx="5">
                    <c:v>Integrated iron and steel</c:v>
                  </c:pt>
                  <c:pt idx="6">
                    <c:v>Aluminum foundry</c:v>
                  </c:pt>
                  <c:pt idx="7">
                    <c:v>Steel foundry</c:v>
                  </c:pt>
                  <c:pt idx="8">
                    <c:v>Metal product and machinery</c:v>
                  </c:pt>
                  <c:pt idx="9">
                    <c:v>Non-ferrous metal </c:v>
                  </c:pt>
                  <c:pt idx="10">
                    <c:v>PU leather </c:v>
                  </c:pt>
                  <c:pt idx="11">
                    <c:v>Plastic coating</c:v>
                  </c:pt>
                  <c:pt idx="12">
                    <c:v>Stencil printing </c:v>
                  </c:pt>
                </c:lvl>
                <c:lvl>
                  <c:pt idx="0">
                    <c:v>Chemical</c:v>
                  </c:pt>
                  <c:pt idx="4">
                    <c:v>Plastic</c:v>
                  </c:pt>
                  <c:pt idx="5">
                    <c:v>Metal</c:v>
                  </c:pt>
                  <c:pt idx="10">
                    <c:v>Leather</c:v>
                  </c:pt>
                  <c:pt idx="11">
                    <c:v>Printing</c:v>
                  </c:pt>
                </c:lvl>
              </c:multiLvlStrCache>
            </c:multiLvlStrRef>
          </c:cat>
          <c:val>
            <c:numRef>
              <c:f>OFP!$DM$120:$DY$120</c:f>
              <c:numCache>
                <c:formatCode>0.000</c:formatCode>
                <c:ptCount val="13"/>
                <c:pt idx="0">
                  <c:v>3.5686706253523257E-2</c:v>
                </c:pt>
                <c:pt idx="1">
                  <c:v>0.39091075036717204</c:v>
                </c:pt>
                <c:pt idx="2" formatCode="0.00_ ">
                  <c:v>2.9462849820284542E-3</c:v>
                </c:pt>
                <c:pt idx="3" formatCode="0.00_ ">
                  <c:v>0</c:v>
                </c:pt>
                <c:pt idx="4" formatCode="0.00_ ">
                  <c:v>8.5790414186977304E-2</c:v>
                </c:pt>
                <c:pt idx="5" formatCode="General">
                  <c:v>1.5854211462364699E-2</c:v>
                </c:pt>
                <c:pt idx="6" formatCode="General">
                  <c:v>0.23065496174989886</c:v>
                </c:pt>
                <c:pt idx="7" formatCode="General">
                  <c:v>0.50811118618617812</c:v>
                </c:pt>
                <c:pt idx="8" formatCode="General">
                  <c:v>7.2443652598745384E-2</c:v>
                </c:pt>
                <c:pt idx="9" formatCode="General">
                  <c:v>8.4674521567180847E-2</c:v>
                </c:pt>
                <c:pt idx="10" formatCode="General">
                  <c:v>4.101544153757678E-3</c:v>
                </c:pt>
                <c:pt idx="11" formatCode="General">
                  <c:v>8.658706814713469E-3</c:v>
                </c:pt>
                <c:pt idx="12" formatCode="General">
                  <c:v>2.3100265314185712E-3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D57-40F5-90B7-3B6EC8F94151}"/>
            </c:ext>
          </c:extLst>
        </c:ser>
        <c:ser>
          <c:idx val="1"/>
          <c:order val="1"/>
          <c:tx>
            <c:strRef>
              <c:f>OFP!$DK$121</c:f>
              <c:strCache>
                <c:ptCount val="1"/>
                <c:pt idx="0">
                  <c:v>Alkenes </c:v>
                </c:pt>
              </c:strCache>
            </c:strRef>
          </c:tx>
          <c:spPr>
            <a:pattFill prst="lgConfetti">
              <a:fgClr>
                <a:srgbClr val="00B0F0"/>
              </a:fgClr>
              <a:bgClr>
                <a:schemeClr val="bg1"/>
              </a:bgClr>
            </a:pattFill>
            <a:ln>
              <a:solidFill>
                <a:schemeClr val="accent1"/>
              </a:solidFill>
            </a:ln>
            <a:effectLst/>
          </c:spPr>
          <c:invertIfNegative val="0"/>
          <c:cat>
            <c:multiLvlStrRef>
              <c:f>OFP!$DM$118:$DY$119</c:f>
              <c:multiLvlStrCache>
                <c:ptCount val="13"/>
                <c:lvl>
                  <c:pt idx="0">
                    <c:v>Organic solvent</c:v>
                  </c:pt>
                  <c:pt idx="1">
                    <c:v>Synthetic resin</c:v>
                  </c:pt>
                  <c:pt idx="2">
                    <c:v>Acrylic resin</c:v>
                  </c:pt>
                  <c:pt idx="3">
                    <c:v>Polyester resin</c:v>
                  </c:pt>
                  <c:pt idx="4">
                    <c:v>Plastic tape</c:v>
                  </c:pt>
                  <c:pt idx="5">
                    <c:v>Integrated iron and steel</c:v>
                  </c:pt>
                  <c:pt idx="6">
                    <c:v>Aluminum foundry</c:v>
                  </c:pt>
                  <c:pt idx="7">
                    <c:v>Steel foundry</c:v>
                  </c:pt>
                  <c:pt idx="8">
                    <c:v>Metal product and machinery</c:v>
                  </c:pt>
                  <c:pt idx="9">
                    <c:v>Non-ferrous metal </c:v>
                  </c:pt>
                  <c:pt idx="10">
                    <c:v>PU leather </c:v>
                  </c:pt>
                  <c:pt idx="11">
                    <c:v>Plastic coating</c:v>
                  </c:pt>
                  <c:pt idx="12">
                    <c:v>Stencil printing </c:v>
                  </c:pt>
                </c:lvl>
                <c:lvl>
                  <c:pt idx="0">
                    <c:v>Chemical</c:v>
                  </c:pt>
                  <c:pt idx="4">
                    <c:v>Plastic</c:v>
                  </c:pt>
                  <c:pt idx="5">
                    <c:v>Metal</c:v>
                  </c:pt>
                  <c:pt idx="10">
                    <c:v>Leather</c:v>
                  </c:pt>
                  <c:pt idx="11">
                    <c:v>Printing</c:v>
                  </c:pt>
                </c:lvl>
              </c:multiLvlStrCache>
            </c:multiLvlStrRef>
          </c:cat>
          <c:val>
            <c:numRef>
              <c:f>OFP!$DM$121:$DY$121</c:f>
              <c:numCache>
                <c:formatCode>General</c:formatCode>
                <c:ptCount val="13"/>
                <c:pt idx="0" formatCode="0.000">
                  <c:v>0</c:v>
                </c:pt>
                <c:pt idx="2" formatCode="0.00_ ">
                  <c:v>0</c:v>
                </c:pt>
                <c:pt idx="3" formatCode="0.00_ ">
                  <c:v>0</c:v>
                </c:pt>
                <c:pt idx="4" formatCode="0.00_ ">
                  <c:v>0.17401269036656958</c:v>
                </c:pt>
                <c:pt idx="5">
                  <c:v>0.30875137186931101</c:v>
                </c:pt>
                <c:pt idx="6">
                  <c:v>0</c:v>
                </c:pt>
                <c:pt idx="7">
                  <c:v>0</c:v>
                </c:pt>
                <c:pt idx="8">
                  <c:v>6.6952809128421684</c:v>
                </c:pt>
                <c:pt idx="9">
                  <c:v>0.21320302756457044</c:v>
                </c:pt>
                <c:pt idx="10">
                  <c:v>1.7571079982458104E-3</c:v>
                </c:pt>
                <c:pt idx="11">
                  <c:v>1.8540150189492576E-2</c:v>
                </c:pt>
                <c:pt idx="1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D57-40F5-90B7-3B6EC8F94151}"/>
            </c:ext>
          </c:extLst>
        </c:ser>
        <c:ser>
          <c:idx val="2"/>
          <c:order val="2"/>
          <c:tx>
            <c:strRef>
              <c:f>OFP!$DK$122</c:f>
              <c:strCache>
                <c:ptCount val="1"/>
                <c:pt idx="0">
                  <c:v>Aromatics</c:v>
                </c:pt>
              </c:strCache>
            </c:strRef>
          </c:tx>
          <c:spPr>
            <a:pattFill prst="dkUpDiag">
              <a:fgClr>
                <a:srgbClr val="00B050"/>
              </a:fgClr>
              <a:bgClr>
                <a:schemeClr val="bg1"/>
              </a:bgClr>
            </a:pattFill>
            <a:ln>
              <a:solidFill>
                <a:srgbClr val="00B050"/>
              </a:solidFill>
            </a:ln>
            <a:effectLst/>
          </c:spPr>
          <c:invertIfNegative val="0"/>
          <c:cat>
            <c:multiLvlStrRef>
              <c:f>OFP!$DM$118:$DY$119</c:f>
              <c:multiLvlStrCache>
                <c:ptCount val="13"/>
                <c:lvl>
                  <c:pt idx="0">
                    <c:v>Organic solvent</c:v>
                  </c:pt>
                  <c:pt idx="1">
                    <c:v>Synthetic resin</c:v>
                  </c:pt>
                  <c:pt idx="2">
                    <c:v>Acrylic resin</c:v>
                  </c:pt>
                  <c:pt idx="3">
                    <c:v>Polyester resin</c:v>
                  </c:pt>
                  <c:pt idx="4">
                    <c:v>Plastic tape</c:v>
                  </c:pt>
                  <c:pt idx="5">
                    <c:v>Integrated iron and steel</c:v>
                  </c:pt>
                  <c:pt idx="6">
                    <c:v>Aluminum foundry</c:v>
                  </c:pt>
                  <c:pt idx="7">
                    <c:v>Steel foundry</c:v>
                  </c:pt>
                  <c:pt idx="8">
                    <c:v>Metal product and machinery</c:v>
                  </c:pt>
                  <c:pt idx="9">
                    <c:v>Non-ferrous metal </c:v>
                  </c:pt>
                  <c:pt idx="10">
                    <c:v>PU leather </c:v>
                  </c:pt>
                  <c:pt idx="11">
                    <c:v>Plastic coating</c:v>
                  </c:pt>
                  <c:pt idx="12">
                    <c:v>Stencil printing </c:v>
                  </c:pt>
                </c:lvl>
                <c:lvl>
                  <c:pt idx="0">
                    <c:v>Chemical</c:v>
                  </c:pt>
                  <c:pt idx="4">
                    <c:v>Plastic</c:v>
                  </c:pt>
                  <c:pt idx="5">
                    <c:v>Metal</c:v>
                  </c:pt>
                  <c:pt idx="10">
                    <c:v>Leather</c:v>
                  </c:pt>
                  <c:pt idx="11">
                    <c:v>Printing</c:v>
                  </c:pt>
                </c:lvl>
              </c:multiLvlStrCache>
            </c:multiLvlStrRef>
          </c:cat>
          <c:val>
            <c:numRef>
              <c:f>OFP!$DM$122:$DY$122</c:f>
              <c:numCache>
                <c:formatCode>0.000</c:formatCode>
                <c:ptCount val="13"/>
                <c:pt idx="0">
                  <c:v>0.9472406582944497</c:v>
                </c:pt>
                <c:pt idx="1">
                  <c:v>0.62482716468021637</c:v>
                </c:pt>
                <c:pt idx="2" formatCode="0.00_ ">
                  <c:v>7.3863700393908278</c:v>
                </c:pt>
                <c:pt idx="3" formatCode="0.00_ ">
                  <c:v>0.90172541475803925</c:v>
                </c:pt>
                <c:pt idx="4" formatCode="0.00_ ">
                  <c:v>3.8919518766303867</c:v>
                </c:pt>
                <c:pt idx="5" formatCode="General">
                  <c:v>1.9748702249067127</c:v>
                </c:pt>
                <c:pt idx="6" formatCode="General">
                  <c:v>2.6433809238537589</c:v>
                </c:pt>
                <c:pt idx="7" formatCode="General">
                  <c:v>1.9642515613376617</c:v>
                </c:pt>
                <c:pt idx="8" formatCode="General">
                  <c:v>0</c:v>
                </c:pt>
                <c:pt idx="9" formatCode="General">
                  <c:v>1.476469917884859</c:v>
                </c:pt>
                <c:pt idx="10" formatCode="General">
                  <c:v>1.0194083090782597</c:v>
                </c:pt>
                <c:pt idx="11" formatCode="General">
                  <c:v>2.6211113865247033</c:v>
                </c:pt>
                <c:pt idx="12" formatCode="General">
                  <c:v>6.4827894784250191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D57-40F5-90B7-3B6EC8F94151}"/>
            </c:ext>
          </c:extLst>
        </c:ser>
        <c:ser>
          <c:idx val="3"/>
          <c:order val="3"/>
          <c:tx>
            <c:strRef>
              <c:f>OFP!$DK$123</c:f>
              <c:strCache>
                <c:ptCount val="1"/>
                <c:pt idx="0">
                  <c:v>Halocarbons </c:v>
                </c:pt>
              </c:strCache>
            </c:strRef>
          </c:tx>
          <c:spPr>
            <a:pattFill prst="wdDnDiag">
              <a:fgClr>
                <a:srgbClr val="F519AC"/>
              </a:fgClr>
              <a:bgClr>
                <a:schemeClr val="bg1"/>
              </a:bgClr>
            </a:pattFill>
            <a:ln>
              <a:solidFill>
                <a:srgbClr val="F519AC"/>
              </a:solidFill>
            </a:ln>
            <a:effectLst/>
          </c:spPr>
          <c:invertIfNegative val="0"/>
          <c:cat>
            <c:multiLvlStrRef>
              <c:f>OFP!$DM$118:$DY$119</c:f>
              <c:multiLvlStrCache>
                <c:ptCount val="13"/>
                <c:lvl>
                  <c:pt idx="0">
                    <c:v>Organic solvent</c:v>
                  </c:pt>
                  <c:pt idx="1">
                    <c:v>Synthetic resin</c:v>
                  </c:pt>
                  <c:pt idx="2">
                    <c:v>Acrylic resin</c:v>
                  </c:pt>
                  <c:pt idx="3">
                    <c:v>Polyester resin</c:v>
                  </c:pt>
                  <c:pt idx="4">
                    <c:v>Plastic tape</c:v>
                  </c:pt>
                  <c:pt idx="5">
                    <c:v>Integrated iron and steel</c:v>
                  </c:pt>
                  <c:pt idx="6">
                    <c:v>Aluminum foundry</c:v>
                  </c:pt>
                  <c:pt idx="7">
                    <c:v>Steel foundry</c:v>
                  </c:pt>
                  <c:pt idx="8">
                    <c:v>Metal product and machinery</c:v>
                  </c:pt>
                  <c:pt idx="9">
                    <c:v>Non-ferrous metal </c:v>
                  </c:pt>
                  <c:pt idx="10">
                    <c:v>PU leather </c:v>
                  </c:pt>
                  <c:pt idx="11">
                    <c:v>Plastic coating</c:v>
                  </c:pt>
                  <c:pt idx="12">
                    <c:v>Stencil printing </c:v>
                  </c:pt>
                </c:lvl>
                <c:lvl>
                  <c:pt idx="0">
                    <c:v>Chemical</c:v>
                  </c:pt>
                  <c:pt idx="4">
                    <c:v>Plastic</c:v>
                  </c:pt>
                  <c:pt idx="5">
                    <c:v>Metal</c:v>
                  </c:pt>
                  <c:pt idx="10">
                    <c:v>Leather</c:v>
                  </c:pt>
                  <c:pt idx="11">
                    <c:v>Printing</c:v>
                  </c:pt>
                </c:lvl>
              </c:multiLvlStrCache>
            </c:multiLvlStrRef>
          </c:cat>
          <c:val>
            <c:numRef>
              <c:f>OFP!$DM$123:$DY$123</c:f>
              <c:numCache>
                <c:formatCode>General</c:formatCode>
                <c:ptCount val="13"/>
                <c:pt idx="0" formatCode="0.000">
                  <c:v>0</c:v>
                </c:pt>
                <c:pt idx="2" formatCode="0.00_ ">
                  <c:v>0</c:v>
                </c:pt>
                <c:pt idx="3" formatCode="0.00_ ">
                  <c:v>0</c:v>
                </c:pt>
                <c:pt idx="4" formatCode="0.00_ 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DD57-40F5-90B7-3B6EC8F94151}"/>
            </c:ext>
          </c:extLst>
        </c:ser>
        <c:ser>
          <c:idx val="4"/>
          <c:order val="4"/>
          <c:tx>
            <c:strRef>
              <c:f>OFP!$DK$124</c:f>
              <c:strCache>
                <c:ptCount val="1"/>
                <c:pt idx="0">
                  <c:v>Oxygenated VOC</c:v>
                </c:pt>
              </c:strCache>
            </c:strRef>
          </c:tx>
          <c:spPr>
            <a:pattFill prst="wdUpDiag">
              <a:fgClr>
                <a:schemeClr val="accent2"/>
              </a:fgClr>
              <a:bgClr>
                <a:schemeClr val="bg1"/>
              </a:bgClr>
            </a:pattFill>
            <a:ln>
              <a:solidFill>
                <a:schemeClr val="accent2"/>
              </a:solidFill>
            </a:ln>
            <a:effectLst/>
          </c:spPr>
          <c:invertIfNegative val="0"/>
          <c:cat>
            <c:multiLvlStrRef>
              <c:f>OFP!$DM$118:$DY$119</c:f>
              <c:multiLvlStrCache>
                <c:ptCount val="13"/>
                <c:lvl>
                  <c:pt idx="0">
                    <c:v>Organic solvent</c:v>
                  </c:pt>
                  <c:pt idx="1">
                    <c:v>Synthetic resin</c:v>
                  </c:pt>
                  <c:pt idx="2">
                    <c:v>Acrylic resin</c:v>
                  </c:pt>
                  <c:pt idx="3">
                    <c:v>Polyester resin</c:v>
                  </c:pt>
                  <c:pt idx="4">
                    <c:v>Plastic tape</c:v>
                  </c:pt>
                  <c:pt idx="5">
                    <c:v>Integrated iron and steel</c:v>
                  </c:pt>
                  <c:pt idx="6">
                    <c:v>Aluminum foundry</c:v>
                  </c:pt>
                  <c:pt idx="7">
                    <c:v>Steel foundry</c:v>
                  </c:pt>
                  <c:pt idx="8">
                    <c:v>Metal product and machinery</c:v>
                  </c:pt>
                  <c:pt idx="9">
                    <c:v>Non-ferrous metal </c:v>
                  </c:pt>
                  <c:pt idx="10">
                    <c:v>PU leather </c:v>
                  </c:pt>
                  <c:pt idx="11">
                    <c:v>Plastic coating</c:v>
                  </c:pt>
                  <c:pt idx="12">
                    <c:v>Stencil printing </c:v>
                  </c:pt>
                </c:lvl>
                <c:lvl>
                  <c:pt idx="0">
                    <c:v>Chemical</c:v>
                  </c:pt>
                  <c:pt idx="4">
                    <c:v>Plastic</c:v>
                  </c:pt>
                  <c:pt idx="5">
                    <c:v>Metal</c:v>
                  </c:pt>
                  <c:pt idx="10">
                    <c:v>Leather</c:v>
                  </c:pt>
                  <c:pt idx="11">
                    <c:v>Printing</c:v>
                  </c:pt>
                </c:lvl>
              </c:multiLvlStrCache>
            </c:multiLvlStrRef>
          </c:cat>
          <c:val>
            <c:numRef>
              <c:f>OFP!$DM$124:$DY$124</c:f>
              <c:numCache>
                <c:formatCode>0.000</c:formatCode>
                <c:ptCount val="13"/>
                <c:pt idx="0">
                  <c:v>1.4153428505703793</c:v>
                </c:pt>
                <c:pt idx="1">
                  <c:v>0.28114281104863609</c:v>
                </c:pt>
                <c:pt idx="2" formatCode="0.00_ ">
                  <c:v>7.0941675241858407E-3</c:v>
                </c:pt>
                <c:pt idx="3" formatCode="0.00_ ">
                  <c:v>1.976392320908237</c:v>
                </c:pt>
                <c:pt idx="4" formatCode="0.00_ ">
                  <c:v>0.41062360034784307</c:v>
                </c:pt>
                <c:pt idx="5" formatCode="General">
                  <c:v>0.18395461743991565</c:v>
                </c:pt>
                <c:pt idx="6" formatCode="General">
                  <c:v>0.34329641289760537</c:v>
                </c:pt>
                <c:pt idx="7" formatCode="General">
                  <c:v>0.28495893276307172</c:v>
                </c:pt>
                <c:pt idx="8" formatCode="General">
                  <c:v>0.84213802952043415</c:v>
                </c:pt>
                <c:pt idx="9" formatCode="General">
                  <c:v>1.1088013985623324</c:v>
                </c:pt>
                <c:pt idx="10" formatCode="General">
                  <c:v>0.93058010793881252</c:v>
                </c:pt>
                <c:pt idx="11" formatCode="General">
                  <c:v>0.22995162752172804</c:v>
                </c:pt>
                <c:pt idx="12" formatCode="General">
                  <c:v>1.1369364288430517E-2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DD57-40F5-90B7-3B6EC8F9415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3"/>
        <c:overlap val="100"/>
        <c:axId val="240273200"/>
        <c:axId val="1"/>
      </c:barChart>
      <c:catAx>
        <c:axId val="2402732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5400000" vert="horz"/>
          <a:lstStyle/>
          <a:p>
            <a:pPr>
              <a:defRPr sz="900" b="0" i="0" u="none" strike="noStrike" baseline="0">
                <a:solidFill>
                  <a:srgbClr val="000000"/>
                </a:solidFill>
                <a:latin typeface="Times New Roman"/>
                <a:ea typeface="Times New Roman"/>
                <a:cs typeface="Times New Roman"/>
              </a:defRPr>
            </a:pPr>
            <a:endParaRPr lang="en-US"/>
          </a:p>
        </c:txPr>
        <c:crossAx val="1"/>
        <c:crosses val="autoZero"/>
        <c:auto val="1"/>
        <c:lblAlgn val="ctr"/>
        <c:lblOffset val="100"/>
        <c:noMultiLvlLbl val="0"/>
      </c:catAx>
      <c:valAx>
        <c:axId val="1"/>
        <c:scaling>
          <c:orientation val="minMax"/>
          <c:max val="8"/>
        </c:scaling>
        <c:delete val="0"/>
        <c:axPos val="l"/>
        <c:title>
          <c:tx>
            <c:rich>
              <a:bodyPr/>
              <a:lstStyle/>
              <a:p>
                <a:pPr>
                  <a:defRPr sz="1100" b="0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r>
                  <a:rPr lang="en-US" sz="900" b="0" i="0" u="none" strike="noStrike" baseline="0">
                    <a:solidFill>
                      <a:srgbClr val="000000"/>
                    </a:solidFill>
                    <a:latin typeface="Times New Roman"/>
                    <a:cs typeface="Times New Roman"/>
                  </a:rPr>
                  <a:t>Relative ozone formation potential (g-O</a:t>
                </a:r>
                <a:r>
                  <a:rPr lang="en-US" sz="900" b="0" i="0" u="none" strike="noStrike" baseline="-25000">
                    <a:solidFill>
                      <a:srgbClr val="000000"/>
                    </a:solidFill>
                    <a:latin typeface="Times New Roman"/>
                    <a:cs typeface="Times New Roman"/>
                  </a:rPr>
                  <a:t>3</a:t>
                </a:r>
                <a:r>
                  <a:rPr lang="en-US" sz="900" b="0" i="0" u="none" strike="noStrike" baseline="0">
                    <a:solidFill>
                      <a:srgbClr val="000000"/>
                    </a:solidFill>
                    <a:latin typeface="Times New Roman"/>
                    <a:cs typeface="Times New Roman"/>
                  </a:rPr>
                  <a:t> g</a:t>
                </a:r>
                <a:r>
                  <a:rPr lang="en-US" sz="900" b="0" i="0" u="none" strike="noStrike" baseline="30000">
                    <a:solidFill>
                      <a:srgbClr val="000000"/>
                    </a:solidFill>
                    <a:latin typeface="Times New Roman"/>
                    <a:cs typeface="Times New Roman"/>
                  </a:rPr>
                  <a:t>-1</a:t>
                </a:r>
                <a:r>
                  <a:rPr lang="en-US" sz="900" b="0" i="0" u="none" strike="noStrike" baseline="0">
                    <a:solidFill>
                      <a:srgbClr val="000000"/>
                    </a:solidFill>
                    <a:latin typeface="Times New Roman"/>
                    <a:cs typeface="Times New Roman"/>
                  </a:rPr>
                  <a:t>)</a:t>
                </a:r>
              </a:p>
            </c:rich>
          </c:tx>
          <c:layout>
            <c:manualLayout>
              <c:xMode val="edge"/>
              <c:yMode val="edge"/>
              <c:x val="1.8468941382327207E-2"/>
              <c:y val="0.25436361022823467"/>
            </c:manualLayout>
          </c:layout>
          <c:overlay val="0"/>
          <c:spPr>
            <a:noFill/>
            <a:ln w="25400">
              <a:noFill/>
            </a:ln>
          </c:spPr>
        </c:title>
        <c:numFmt formatCode="0" sourceLinked="0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0" vert="horz"/>
          <a:lstStyle/>
          <a:p>
            <a:pPr>
              <a:defRPr sz="900" b="0" i="0" u="none" strike="noStrike" baseline="0">
                <a:solidFill>
                  <a:srgbClr val="000000"/>
                </a:solidFill>
                <a:latin typeface="Times New Roman"/>
                <a:ea typeface="Times New Roman"/>
                <a:cs typeface="Times New Roman"/>
              </a:defRPr>
            </a:pPr>
            <a:endParaRPr lang="en-US"/>
          </a:p>
        </c:txPr>
        <c:crossAx val="240273200"/>
        <c:crosses val="autoZero"/>
        <c:crossBetween val="between"/>
      </c:valAx>
      <c:spPr>
        <a:noFill/>
        <a:ln w="25400">
          <a:noFill/>
        </a:ln>
      </c:spPr>
    </c:plotArea>
    <c:legend>
      <c:legendPos val="t"/>
      <c:layout>
        <c:manualLayout>
          <c:xMode val="edge"/>
          <c:yMode val="edge"/>
          <c:x val="0.11641294838145232"/>
          <c:y val="1.2337555168687078E-2"/>
          <c:w val="0.84264605813162241"/>
          <c:h val="3.8998046136727839E-2"/>
        </c:manualLayout>
      </c:layout>
      <c:overlay val="0"/>
      <c:spPr>
        <a:noFill/>
        <a:ln w="25400">
          <a:noFill/>
        </a:ln>
      </c:spPr>
      <c:txPr>
        <a:bodyPr/>
        <a:lstStyle/>
        <a:p>
          <a:pPr>
            <a:defRPr sz="825" b="0" i="0" u="none" strike="noStrike" baseline="0">
              <a:solidFill>
                <a:srgbClr val="000000"/>
              </a:solidFill>
              <a:latin typeface="Times New Roman"/>
              <a:ea typeface="Times New Roman"/>
              <a:cs typeface="Times New Roman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900" b="0" i="0" u="none" strike="noStrike" baseline="0">
          <a:solidFill>
            <a:srgbClr val="000000"/>
          </a:solidFill>
          <a:latin typeface="Times New Roman"/>
          <a:ea typeface="Times New Roman"/>
          <a:cs typeface="Times New Roman"/>
        </a:defRPr>
      </a:pPr>
      <a:endParaRPr lang="en-US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2704163875050581"/>
          <c:y val="2.3911527912943469E-2"/>
          <c:w val="0.86837515150538791"/>
          <c:h val="0.51033681254959418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'Relative carcinogenic risk ass.'!$K$144</c:f>
              <c:strCache>
                <c:ptCount val="1"/>
                <c:pt idx="0">
                  <c:v>Benzene</c:v>
                </c:pt>
              </c:strCache>
            </c:strRef>
          </c:tx>
          <c:spPr>
            <a:pattFill prst="smCheck">
              <a:fgClr>
                <a:srgbClr val="00B050"/>
              </a:fgClr>
              <a:bgClr>
                <a:sysClr val="window" lastClr="FFFFFF"/>
              </a:bgClr>
            </a:pattFill>
            <a:ln w="3175">
              <a:solidFill>
                <a:srgbClr val="00B050"/>
              </a:solidFill>
            </a:ln>
            <a:effectLst/>
          </c:spPr>
          <c:invertIfNegative val="0"/>
          <c:cat>
            <c:multiLvlStrRef>
              <c:f>'Relative carcinogenic risk ass.'!$M$142:$Y$143</c:f>
              <c:multiLvlStrCache>
                <c:ptCount val="13"/>
                <c:lvl>
                  <c:pt idx="0">
                    <c:v>Organic solvent </c:v>
                  </c:pt>
                  <c:pt idx="1">
                    <c:v>Synthetic resin</c:v>
                  </c:pt>
                  <c:pt idx="2">
                    <c:v>Acrylic resin</c:v>
                  </c:pt>
                  <c:pt idx="3">
                    <c:v>Polyester resin</c:v>
                  </c:pt>
                  <c:pt idx="4">
                    <c:v>Plastic tape</c:v>
                  </c:pt>
                  <c:pt idx="5">
                    <c:v>Integrated iron and steel</c:v>
                  </c:pt>
                  <c:pt idx="6">
                    <c:v>Aluminum foundry</c:v>
                  </c:pt>
                  <c:pt idx="7">
                    <c:v>Steel foundry</c:v>
                  </c:pt>
                  <c:pt idx="8">
                    <c:v>Metal product and machinery</c:v>
                  </c:pt>
                  <c:pt idx="9">
                    <c:v>Non-ferrous metal </c:v>
                  </c:pt>
                  <c:pt idx="10">
                    <c:v>PU leather </c:v>
                  </c:pt>
                  <c:pt idx="11">
                    <c:v>Plastic coating</c:v>
                  </c:pt>
                  <c:pt idx="12">
                    <c:v>Stencil printing </c:v>
                  </c:pt>
                </c:lvl>
                <c:lvl>
                  <c:pt idx="0">
                    <c:v>Chemical</c:v>
                  </c:pt>
                  <c:pt idx="4">
                    <c:v>Plastic</c:v>
                  </c:pt>
                  <c:pt idx="5">
                    <c:v>Metal</c:v>
                  </c:pt>
                  <c:pt idx="10">
                    <c:v>Leather</c:v>
                  </c:pt>
                  <c:pt idx="11">
                    <c:v>Printing</c:v>
                  </c:pt>
                </c:lvl>
              </c:multiLvlStrCache>
            </c:multiLvlStrRef>
          </c:cat>
          <c:val>
            <c:numRef>
              <c:f>'Relative carcinogenic risk ass.'!$M$144:$Y$144</c:f>
              <c:numCache>
                <c:formatCode>General;;</c:formatCode>
                <c:ptCount val="13"/>
                <c:pt idx="0">
                  <c:v>1.2492340799370685E-2</c:v>
                </c:pt>
                <c:pt idx="1">
                  <c:v>0.19619215294134046</c:v>
                </c:pt>
                <c:pt idx="2">
                  <c:v>4.5815974187809257E-2</c:v>
                </c:pt>
                <c:pt idx="3">
                  <c:v>0</c:v>
                </c:pt>
                <c:pt idx="4">
                  <c:v>0.46053214110532181</c:v>
                </c:pt>
                <c:pt idx="5">
                  <c:v>34.395123842110735</c:v>
                </c:pt>
                <c:pt idx="6">
                  <c:v>4.5107433395722922E-2</c:v>
                </c:pt>
                <c:pt idx="7">
                  <c:v>3.9593014041781727</c:v>
                </c:pt>
                <c:pt idx="8">
                  <c:v>0</c:v>
                </c:pt>
                <c:pt idx="9">
                  <c:v>0.92000013025351635</c:v>
                </c:pt>
                <c:pt idx="10">
                  <c:v>3.2135669512151181E-2</c:v>
                </c:pt>
                <c:pt idx="11">
                  <c:v>0.16160407402627841</c:v>
                </c:pt>
                <c:pt idx="12">
                  <c:v>3.3370505716065049E-2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DDE-470B-A161-44E7EEC13BF1}"/>
            </c:ext>
          </c:extLst>
        </c:ser>
        <c:ser>
          <c:idx val="1"/>
          <c:order val="1"/>
          <c:tx>
            <c:strRef>
              <c:f>'Relative carcinogenic risk ass.'!$K$145</c:f>
              <c:strCache>
                <c:ptCount val="1"/>
                <c:pt idx="0">
                  <c:v>1,3-Butadiene</c:v>
                </c:pt>
              </c:strCache>
            </c:strRef>
          </c:tx>
          <c:spPr>
            <a:pattFill prst="weave">
              <a:fgClr>
                <a:srgbClr val="002060"/>
              </a:fgClr>
              <a:bgClr>
                <a:sysClr val="window" lastClr="FFFFFF"/>
              </a:bgClr>
            </a:pattFill>
            <a:ln>
              <a:solidFill>
                <a:srgbClr val="002060"/>
              </a:solidFill>
            </a:ln>
            <a:effectLst/>
          </c:spPr>
          <c:invertIfNegative val="0"/>
          <c:cat>
            <c:multiLvlStrRef>
              <c:f>'Relative carcinogenic risk ass.'!$M$142:$Y$143</c:f>
              <c:multiLvlStrCache>
                <c:ptCount val="13"/>
                <c:lvl>
                  <c:pt idx="0">
                    <c:v>Organic solvent </c:v>
                  </c:pt>
                  <c:pt idx="1">
                    <c:v>Synthetic resin</c:v>
                  </c:pt>
                  <c:pt idx="2">
                    <c:v>Acrylic resin</c:v>
                  </c:pt>
                  <c:pt idx="3">
                    <c:v>Polyester resin</c:v>
                  </c:pt>
                  <c:pt idx="4">
                    <c:v>Plastic tape</c:v>
                  </c:pt>
                  <c:pt idx="5">
                    <c:v>Integrated iron and steel</c:v>
                  </c:pt>
                  <c:pt idx="6">
                    <c:v>Aluminum foundry</c:v>
                  </c:pt>
                  <c:pt idx="7">
                    <c:v>Steel foundry</c:v>
                  </c:pt>
                  <c:pt idx="8">
                    <c:v>Metal product and machinery</c:v>
                  </c:pt>
                  <c:pt idx="9">
                    <c:v>Non-ferrous metal </c:v>
                  </c:pt>
                  <c:pt idx="10">
                    <c:v>PU leather </c:v>
                  </c:pt>
                  <c:pt idx="11">
                    <c:v>Plastic coating</c:v>
                  </c:pt>
                  <c:pt idx="12">
                    <c:v>Stencil printing </c:v>
                  </c:pt>
                </c:lvl>
                <c:lvl>
                  <c:pt idx="0">
                    <c:v>Chemical</c:v>
                  </c:pt>
                  <c:pt idx="4">
                    <c:v>Plastic</c:v>
                  </c:pt>
                  <c:pt idx="5">
                    <c:v>Metal</c:v>
                  </c:pt>
                  <c:pt idx="10">
                    <c:v>Leather</c:v>
                  </c:pt>
                  <c:pt idx="11">
                    <c:v>Printing</c:v>
                  </c:pt>
                </c:lvl>
              </c:multiLvlStrCache>
            </c:multiLvlStrRef>
          </c:cat>
          <c:val>
            <c:numRef>
              <c:f>'Relative carcinogenic risk ass.'!$M$145:$Y$145</c:f>
              <c:numCache>
                <c:formatCode>General;;</c:formatCode>
                <c:ptCount val="13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6.2564944191019896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DDE-470B-A161-44E7EEC13BF1}"/>
            </c:ext>
          </c:extLst>
        </c:ser>
        <c:ser>
          <c:idx val="2"/>
          <c:order val="2"/>
          <c:tx>
            <c:strRef>
              <c:f>'Relative carcinogenic risk ass.'!$K$146</c:f>
              <c:strCache>
                <c:ptCount val="1"/>
                <c:pt idx="0">
                  <c:v>Chloroform</c:v>
                </c:pt>
              </c:strCache>
            </c:strRef>
          </c:tx>
          <c:spPr>
            <a:pattFill prst="dkUpDiag">
              <a:fgClr>
                <a:srgbClr val="00B0F0"/>
              </a:fgClr>
              <a:bgClr>
                <a:sysClr val="window" lastClr="FFFFFF"/>
              </a:bgClr>
            </a:pattFill>
            <a:ln>
              <a:solidFill>
                <a:srgbClr val="00B0F0"/>
              </a:solidFill>
            </a:ln>
            <a:effectLst/>
          </c:spPr>
          <c:invertIfNegative val="0"/>
          <c:cat>
            <c:multiLvlStrRef>
              <c:f>'Relative carcinogenic risk ass.'!$M$142:$Y$143</c:f>
              <c:multiLvlStrCache>
                <c:ptCount val="13"/>
                <c:lvl>
                  <c:pt idx="0">
                    <c:v>Organic solvent </c:v>
                  </c:pt>
                  <c:pt idx="1">
                    <c:v>Synthetic resin</c:v>
                  </c:pt>
                  <c:pt idx="2">
                    <c:v>Acrylic resin</c:v>
                  </c:pt>
                  <c:pt idx="3">
                    <c:v>Polyester resin</c:v>
                  </c:pt>
                  <c:pt idx="4">
                    <c:v>Plastic tape</c:v>
                  </c:pt>
                  <c:pt idx="5">
                    <c:v>Integrated iron and steel</c:v>
                  </c:pt>
                  <c:pt idx="6">
                    <c:v>Aluminum foundry</c:v>
                  </c:pt>
                  <c:pt idx="7">
                    <c:v>Steel foundry</c:v>
                  </c:pt>
                  <c:pt idx="8">
                    <c:v>Metal product and machinery</c:v>
                  </c:pt>
                  <c:pt idx="9">
                    <c:v>Non-ferrous metal </c:v>
                  </c:pt>
                  <c:pt idx="10">
                    <c:v>PU leather </c:v>
                  </c:pt>
                  <c:pt idx="11">
                    <c:v>Plastic coating</c:v>
                  </c:pt>
                  <c:pt idx="12">
                    <c:v>Stencil printing </c:v>
                  </c:pt>
                </c:lvl>
                <c:lvl>
                  <c:pt idx="0">
                    <c:v>Chemical</c:v>
                  </c:pt>
                  <c:pt idx="4">
                    <c:v>Plastic</c:v>
                  </c:pt>
                  <c:pt idx="5">
                    <c:v>Metal</c:v>
                  </c:pt>
                  <c:pt idx="10">
                    <c:v>Leather</c:v>
                  </c:pt>
                  <c:pt idx="11">
                    <c:v>Printing</c:v>
                  </c:pt>
                </c:lvl>
              </c:multiLvlStrCache>
            </c:multiLvlStrRef>
          </c:cat>
          <c:val>
            <c:numRef>
              <c:f>'Relative carcinogenic risk ass.'!$M$146:$Y$146</c:f>
              <c:numCache>
                <c:formatCode>General;;</c:formatCode>
                <c:ptCount val="13"/>
                <c:pt idx="0">
                  <c:v>0</c:v>
                </c:pt>
                <c:pt idx="1">
                  <c:v>0.71405402409711127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DDE-470B-A161-44E7EEC13BF1}"/>
            </c:ext>
          </c:extLst>
        </c:ser>
        <c:ser>
          <c:idx val="3"/>
          <c:order val="3"/>
          <c:tx>
            <c:strRef>
              <c:f>'Relative carcinogenic risk ass.'!$K$147</c:f>
              <c:strCache>
                <c:ptCount val="1"/>
                <c:pt idx="0">
                  <c:v>Trichloroethylene</c:v>
                </c:pt>
              </c:strCache>
            </c:strRef>
          </c:tx>
          <c:spPr>
            <a:pattFill prst="wdDnDiag">
              <a:fgClr>
                <a:srgbClr val="F519AC"/>
              </a:fgClr>
              <a:bgClr>
                <a:schemeClr val="bg1"/>
              </a:bgClr>
            </a:pattFill>
            <a:ln>
              <a:solidFill>
                <a:srgbClr val="F519AC"/>
              </a:solidFill>
            </a:ln>
            <a:effectLst/>
          </c:spPr>
          <c:invertIfNegative val="0"/>
          <c:cat>
            <c:multiLvlStrRef>
              <c:f>'Relative carcinogenic risk ass.'!$M$142:$Y$143</c:f>
              <c:multiLvlStrCache>
                <c:ptCount val="13"/>
                <c:lvl>
                  <c:pt idx="0">
                    <c:v>Organic solvent </c:v>
                  </c:pt>
                  <c:pt idx="1">
                    <c:v>Synthetic resin</c:v>
                  </c:pt>
                  <c:pt idx="2">
                    <c:v>Acrylic resin</c:v>
                  </c:pt>
                  <c:pt idx="3">
                    <c:v>Polyester resin</c:v>
                  </c:pt>
                  <c:pt idx="4">
                    <c:v>Plastic tape</c:v>
                  </c:pt>
                  <c:pt idx="5">
                    <c:v>Integrated iron and steel</c:v>
                  </c:pt>
                  <c:pt idx="6">
                    <c:v>Aluminum foundry</c:v>
                  </c:pt>
                  <c:pt idx="7">
                    <c:v>Steel foundry</c:v>
                  </c:pt>
                  <c:pt idx="8">
                    <c:v>Metal product and machinery</c:v>
                  </c:pt>
                  <c:pt idx="9">
                    <c:v>Non-ferrous metal </c:v>
                  </c:pt>
                  <c:pt idx="10">
                    <c:v>PU leather </c:v>
                  </c:pt>
                  <c:pt idx="11">
                    <c:v>Plastic coating</c:v>
                  </c:pt>
                  <c:pt idx="12">
                    <c:v>Stencil printing </c:v>
                  </c:pt>
                </c:lvl>
                <c:lvl>
                  <c:pt idx="0">
                    <c:v>Chemical</c:v>
                  </c:pt>
                  <c:pt idx="4">
                    <c:v>Plastic</c:v>
                  </c:pt>
                  <c:pt idx="5">
                    <c:v>Metal</c:v>
                  </c:pt>
                  <c:pt idx="10">
                    <c:v>Leather</c:v>
                  </c:pt>
                  <c:pt idx="11">
                    <c:v>Printing</c:v>
                  </c:pt>
                </c:lvl>
              </c:multiLvlStrCache>
            </c:multiLvlStrRef>
          </c:cat>
          <c:val>
            <c:numRef>
              <c:f>'Relative carcinogenic risk ass.'!$M$147:$Y$147</c:f>
              <c:numCache>
                <c:formatCode>General;;</c:formatCode>
                <c:ptCount val="13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9DDE-470B-A161-44E7EEC13BF1}"/>
            </c:ext>
          </c:extLst>
        </c:ser>
        <c:ser>
          <c:idx val="4"/>
          <c:order val="4"/>
          <c:tx>
            <c:strRef>
              <c:f>'Relative carcinogenic risk ass.'!$K$148</c:f>
              <c:strCache>
                <c:ptCount val="1"/>
                <c:pt idx="0">
                  <c:v>Bromoform</c:v>
                </c:pt>
              </c:strCache>
            </c:strRef>
          </c:tx>
          <c:spPr>
            <a:pattFill prst="wdUpDiag">
              <a:fgClr>
                <a:schemeClr val="accent2"/>
              </a:fgClr>
              <a:bgClr>
                <a:schemeClr val="bg1"/>
              </a:bgClr>
            </a:pattFill>
            <a:ln>
              <a:solidFill>
                <a:schemeClr val="accent2"/>
              </a:solidFill>
            </a:ln>
            <a:effectLst/>
          </c:spPr>
          <c:invertIfNegative val="0"/>
          <c:cat>
            <c:multiLvlStrRef>
              <c:f>'Relative carcinogenic risk ass.'!$M$142:$Y$143</c:f>
              <c:multiLvlStrCache>
                <c:ptCount val="13"/>
                <c:lvl>
                  <c:pt idx="0">
                    <c:v>Organic solvent </c:v>
                  </c:pt>
                  <c:pt idx="1">
                    <c:v>Synthetic resin</c:v>
                  </c:pt>
                  <c:pt idx="2">
                    <c:v>Acrylic resin</c:v>
                  </c:pt>
                  <c:pt idx="3">
                    <c:v>Polyester resin</c:v>
                  </c:pt>
                  <c:pt idx="4">
                    <c:v>Plastic tape</c:v>
                  </c:pt>
                  <c:pt idx="5">
                    <c:v>Integrated iron and steel</c:v>
                  </c:pt>
                  <c:pt idx="6">
                    <c:v>Aluminum foundry</c:v>
                  </c:pt>
                  <c:pt idx="7">
                    <c:v>Steel foundry</c:v>
                  </c:pt>
                  <c:pt idx="8">
                    <c:v>Metal product and machinery</c:v>
                  </c:pt>
                  <c:pt idx="9">
                    <c:v>Non-ferrous metal </c:v>
                  </c:pt>
                  <c:pt idx="10">
                    <c:v>PU leather </c:v>
                  </c:pt>
                  <c:pt idx="11">
                    <c:v>Plastic coating</c:v>
                  </c:pt>
                  <c:pt idx="12">
                    <c:v>Stencil printing </c:v>
                  </c:pt>
                </c:lvl>
                <c:lvl>
                  <c:pt idx="0">
                    <c:v>Chemical</c:v>
                  </c:pt>
                  <c:pt idx="4">
                    <c:v>Plastic</c:v>
                  </c:pt>
                  <c:pt idx="5">
                    <c:v>Metal</c:v>
                  </c:pt>
                  <c:pt idx="10">
                    <c:v>Leather</c:v>
                  </c:pt>
                  <c:pt idx="11">
                    <c:v>Printing</c:v>
                  </c:pt>
                </c:lvl>
              </c:multiLvlStrCache>
            </c:multiLvlStrRef>
          </c:cat>
          <c:val>
            <c:numRef>
              <c:f>'Relative carcinogenic risk ass.'!$M$148:$Y$148</c:f>
              <c:numCache>
                <c:formatCode>General;;</c:formatCode>
                <c:ptCount val="13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9DDE-470B-A161-44E7EEC13BF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3"/>
        <c:overlap val="100"/>
        <c:axId val="787924464"/>
        <c:axId val="787923288"/>
      </c:barChart>
      <c:catAx>
        <c:axId val="7879244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787923288"/>
        <c:crosses val="autoZero"/>
        <c:auto val="1"/>
        <c:lblAlgn val="ctr"/>
        <c:lblOffset val="100"/>
        <c:noMultiLvlLbl val="0"/>
      </c:catAx>
      <c:valAx>
        <c:axId val="787923288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 b="0"/>
                  <a:t>Relative carcinogenic risk  × 10</a:t>
                </a:r>
                <a:r>
                  <a:rPr lang="en-US" b="0" baseline="30000"/>
                  <a:t>-8</a:t>
                </a:r>
                <a:r>
                  <a:rPr lang="en-US" b="0" baseline="0"/>
                  <a:t> (mg m</a:t>
                </a:r>
                <a:r>
                  <a:rPr lang="en-US" b="0" baseline="30000"/>
                  <a:t>-3</a:t>
                </a:r>
                <a:r>
                  <a:rPr lang="en-US" b="0" baseline="0"/>
                  <a:t>)</a:t>
                </a:r>
                <a:r>
                  <a:rPr lang="en-US" b="0" baseline="30000"/>
                  <a:t>-1</a:t>
                </a:r>
              </a:p>
            </c:rich>
          </c:tx>
          <c:layout>
            <c:manualLayout>
              <c:xMode val="edge"/>
              <c:yMode val="edge"/>
              <c:x val="2.8822911727833061E-2"/>
              <c:y val="4.2147206280691553E-2"/>
            </c:manualLayout>
          </c:layout>
          <c:overlay val="0"/>
          <c:spPr>
            <a:noFill/>
            <a:ln w="25400">
              <a:noFill/>
            </a:ln>
          </c:spPr>
        </c:title>
        <c:numFmt formatCode="0" sourceLinked="0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vert="horz"/>
          <a:lstStyle/>
          <a:p>
            <a:pPr>
              <a:defRPr/>
            </a:pPr>
            <a:endParaRPr lang="en-US"/>
          </a:p>
        </c:txPr>
        <c:crossAx val="787924464"/>
        <c:crosses val="autoZero"/>
        <c:crossBetween val="between"/>
      </c:valAx>
      <c:spPr>
        <a:noFill/>
        <a:ln w="25400">
          <a:noFill/>
        </a:ln>
      </c:spPr>
    </c:plotArea>
    <c:legend>
      <c:legendPos val="t"/>
      <c:layout>
        <c:manualLayout>
          <c:xMode val="edge"/>
          <c:yMode val="edge"/>
          <c:x val="0.11873193538284627"/>
          <c:y val="6.6315624300637829E-4"/>
          <c:w val="0.28281959767958453"/>
          <c:h val="0.45398292462707107"/>
        </c:manualLayout>
      </c:layout>
      <c:overlay val="0"/>
      <c:spPr>
        <a:noFill/>
        <a:ln w="25400">
          <a:noFill/>
        </a:ln>
      </c:spPr>
      <c:txPr>
        <a:bodyPr rot="0" vert="horz"/>
        <a:lstStyle/>
        <a:p>
          <a:pPr>
            <a:defRPr/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000">
          <a:ln>
            <a:noFill/>
          </a:ln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27E656-687E-41D3-923F-0B2EA70E8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2827</Words>
  <Characters>16118</Characters>
  <Application>Microsoft Office Word</Application>
  <DocSecurity>0</DocSecurity>
  <Lines>134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Gupta</dc:creator>
  <cp:keywords/>
  <dc:description/>
  <cp:lastModifiedBy>SUNIL</cp:lastModifiedBy>
  <cp:revision>2</cp:revision>
  <cp:lastPrinted>2019-12-18T11:53:00Z</cp:lastPrinted>
  <dcterms:created xsi:type="dcterms:W3CDTF">2020-08-11T04:47:00Z</dcterms:created>
  <dcterms:modified xsi:type="dcterms:W3CDTF">2020-08-11T04:47:00Z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zotero-version="5.0.89"&gt;&lt;session id="neZomfUn"/&gt;&lt;style id="http://www.zotero.org/styles/sustainable-environment-research" hasBibliography="1" bibliographyStyleHasBeenSet="1"/&gt;&lt;prefs&gt;&lt;pref name="fieldType" value="Field"/&gt;&lt;pref name="</vt:lpwstr>
  </property>
  <property fmtid="{D5CDD505-2E9C-101B-9397-08002B2CF9AE}" pid="3" name="ZOTERO_PREF_2">
    <vt:lpwstr>automaticJournalAbbreviations" value="true"/&gt;&lt;/prefs&gt;&lt;/data&gt;</vt:lpwstr>
  </property>
</Properties>
</file>