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A684C6" w14:textId="77777777" w:rsidR="000145C1" w:rsidRDefault="000145C1" w:rsidP="000145C1">
      <w:pPr>
        <w:jc w:val="both"/>
        <w:rPr>
          <w:rFonts w:ascii="Cambria" w:hAnsi="Cambria"/>
          <w:color w:val="212121"/>
          <w:sz w:val="20"/>
          <w:szCs w:val="20"/>
          <w:shd w:val="clear" w:color="auto" w:fill="FFFFFF"/>
        </w:rPr>
      </w:pPr>
      <w:r w:rsidRPr="0064025D">
        <w:rPr>
          <w:rFonts w:ascii="Cambria" w:hAnsi="Cambria"/>
          <w:b/>
          <w:bCs/>
          <w:color w:val="000000" w:themeColor="text1"/>
          <w:sz w:val="20"/>
          <w:szCs w:val="20"/>
        </w:rPr>
        <w:t>Table 1 –</w:t>
      </w:r>
      <w:r w:rsidRPr="0064025D">
        <w:rPr>
          <w:rFonts w:ascii="Cambria" w:hAnsi="Cambria"/>
          <w:color w:val="000000" w:themeColor="text1"/>
          <w:sz w:val="20"/>
          <w:szCs w:val="20"/>
        </w:rPr>
        <w:t xml:space="preserve"> abbreviations: TIV – total intracranial volume; BrainPAD – brain predicted age difference; LC – Locus Coeruleus; DR – Dorsal Raphe; MR – Median Raphe; VTA – Ventral Tegmental Area; NBM- Nucleus Basalis of Meynert. Abbreviations for neuropsychological tests: MMSE – Mini Mental Examination State; Trail-A – Trail Making Test Part A; Trail-B – Trail Making Test part</w:t>
      </w:r>
      <w:r>
        <w:rPr>
          <w:rFonts w:ascii="Cambria" w:hAnsi="Cambria"/>
          <w:color w:val="000000" w:themeColor="text1"/>
          <w:sz w:val="20"/>
          <w:szCs w:val="20"/>
        </w:rPr>
        <w:t xml:space="preserve"> </w:t>
      </w:r>
      <w:r w:rsidRPr="0064025D">
        <w:rPr>
          <w:rFonts w:ascii="Cambria" w:hAnsi="Cambria"/>
          <w:color w:val="000000" w:themeColor="text1"/>
          <w:sz w:val="20"/>
          <w:szCs w:val="20"/>
        </w:rPr>
        <w:t xml:space="preserve">B; Trail B-A- Trail Making Test part B minus part A; SU – Spatial Update (working memory); PP – Practical Problem solving (fluid intelligence); RAVLT recall 1 and 2 - </w:t>
      </w:r>
      <w:r w:rsidRPr="0064025D">
        <w:rPr>
          <w:rFonts w:ascii="Cambria" w:hAnsi="Cambria"/>
          <w:color w:val="212121"/>
          <w:sz w:val="20"/>
          <w:szCs w:val="20"/>
          <w:shd w:val="clear" w:color="auto" w:fill="FFFFFF"/>
        </w:rPr>
        <w:t>Rey Auditory Verbal Learning Test.</w:t>
      </w:r>
    </w:p>
    <w:p w14:paraId="76405A72" w14:textId="77777777" w:rsidR="000145C1" w:rsidRPr="007E1785" w:rsidRDefault="000145C1" w:rsidP="000145C1">
      <w:pPr>
        <w:jc w:val="both"/>
        <w:rPr>
          <w:rFonts w:ascii="Cambria" w:hAnsi="Cambria"/>
        </w:rPr>
      </w:pPr>
    </w:p>
    <w:p w14:paraId="1DDAC24D" w14:textId="1F5D2D9E" w:rsidR="000145C1" w:rsidRDefault="000145C1" w:rsidP="000145C1">
      <w:pPr>
        <w:jc w:val="both"/>
        <w:rPr>
          <w:rFonts w:ascii="Cambria" w:hAnsi="Cambria"/>
          <w:color w:val="212121"/>
          <w:sz w:val="20"/>
          <w:szCs w:val="20"/>
          <w:shd w:val="clear" w:color="auto" w:fill="FFFFFF"/>
        </w:rPr>
      </w:pPr>
      <w:r w:rsidRPr="000D70A0">
        <w:rPr>
          <w:rFonts w:ascii="Cambria" w:hAnsi="Cambria"/>
          <w:b/>
          <w:bCs/>
          <w:color w:val="212121"/>
          <w:sz w:val="20"/>
          <w:szCs w:val="20"/>
          <w:shd w:val="clear" w:color="auto" w:fill="FFFFFF"/>
        </w:rPr>
        <w:t>Table 2</w:t>
      </w:r>
      <w:r w:rsidRPr="000D70A0">
        <w:rPr>
          <w:rFonts w:ascii="Cambria" w:hAnsi="Cambria"/>
          <w:color w:val="212121"/>
          <w:sz w:val="20"/>
          <w:szCs w:val="20"/>
          <w:shd w:val="clear" w:color="auto" w:fill="FFFFFF"/>
        </w:rPr>
        <w:t xml:space="preserve"> – abbreviations: HD-Tyr-IDA – habitual dietary tyrosine intake on daily average; HD-TF-IDA - habitual total food intake on daily average; </w:t>
      </w:r>
      <w:r w:rsidRPr="000D70A0">
        <w:rPr>
          <w:rFonts w:ascii="Cambria" w:hAnsi="Cambria"/>
          <w:color w:val="000000" w:themeColor="text1"/>
          <w:sz w:val="20"/>
          <w:szCs w:val="20"/>
        </w:rPr>
        <w:t xml:space="preserve">HD-Pro-IDA - </w:t>
      </w:r>
      <w:r w:rsidRPr="000D70A0">
        <w:rPr>
          <w:rFonts w:ascii="Cambria" w:hAnsi="Cambria"/>
          <w:color w:val="212121"/>
          <w:sz w:val="20"/>
          <w:szCs w:val="20"/>
          <w:shd w:val="clear" w:color="auto" w:fill="FFFFFF"/>
        </w:rPr>
        <w:t>habitual dietary protein intake on daily average</w:t>
      </w:r>
      <w:r w:rsidRPr="000D70A0">
        <w:rPr>
          <w:rFonts w:ascii="Cambria" w:hAnsi="Cambria"/>
          <w:color w:val="000000" w:themeColor="text1"/>
          <w:sz w:val="20"/>
          <w:szCs w:val="20"/>
        </w:rPr>
        <w:t xml:space="preserve"> HD-Fat-IDA - </w:t>
      </w:r>
      <w:r w:rsidRPr="000D70A0">
        <w:rPr>
          <w:rFonts w:ascii="Cambria" w:hAnsi="Cambria"/>
          <w:color w:val="212121"/>
          <w:sz w:val="20"/>
          <w:szCs w:val="20"/>
          <w:shd w:val="clear" w:color="auto" w:fill="FFFFFF"/>
        </w:rPr>
        <w:t>habitual dietary fat intake on daily average</w:t>
      </w:r>
      <w:r w:rsidRPr="000D70A0">
        <w:rPr>
          <w:rFonts w:ascii="Cambria" w:hAnsi="Cambria"/>
          <w:color w:val="000000" w:themeColor="text1"/>
          <w:sz w:val="20"/>
          <w:szCs w:val="20"/>
        </w:rPr>
        <w:t xml:space="preserve">; HD-Car-IDA - </w:t>
      </w:r>
      <w:r w:rsidRPr="000D70A0">
        <w:rPr>
          <w:rFonts w:ascii="Cambria" w:hAnsi="Cambria"/>
          <w:color w:val="212121"/>
          <w:sz w:val="20"/>
          <w:szCs w:val="20"/>
          <w:shd w:val="clear" w:color="auto" w:fill="FFFFFF"/>
        </w:rPr>
        <w:t>habitual dietary carbohydrates intake on daily average</w:t>
      </w:r>
      <w:r w:rsidRPr="000D70A0">
        <w:rPr>
          <w:rFonts w:ascii="Cambria" w:hAnsi="Cambria"/>
          <w:color w:val="000000" w:themeColor="text1"/>
          <w:sz w:val="20"/>
          <w:szCs w:val="20"/>
        </w:rPr>
        <w:t xml:space="preserve">; HD-Wat-IDA - </w:t>
      </w:r>
      <w:r w:rsidRPr="000D70A0">
        <w:rPr>
          <w:rFonts w:ascii="Cambria" w:hAnsi="Cambria"/>
          <w:color w:val="212121"/>
          <w:sz w:val="20"/>
          <w:szCs w:val="20"/>
          <w:shd w:val="clear" w:color="auto" w:fill="FFFFFF"/>
        </w:rPr>
        <w:t>habitual dietary water intake on daily average.</w:t>
      </w:r>
    </w:p>
    <w:p w14:paraId="54ABC9FC" w14:textId="5D709C3E" w:rsidR="00561602" w:rsidRDefault="00561602" w:rsidP="000145C1">
      <w:pPr>
        <w:jc w:val="both"/>
        <w:rPr>
          <w:rFonts w:ascii="Cambria" w:hAnsi="Cambria"/>
          <w:color w:val="212121"/>
          <w:sz w:val="20"/>
          <w:szCs w:val="20"/>
          <w:shd w:val="clear" w:color="auto" w:fill="FFFFFF"/>
        </w:rPr>
      </w:pPr>
    </w:p>
    <w:p w14:paraId="4426CC3E" w14:textId="77777777" w:rsidR="00561602" w:rsidRPr="00793F5F" w:rsidRDefault="00561602" w:rsidP="000145C1">
      <w:pPr>
        <w:jc w:val="both"/>
        <w:rPr>
          <w:rFonts w:ascii="Cambria" w:hAnsi="Cambria"/>
          <w:color w:val="000000" w:themeColor="text1"/>
          <w:sz w:val="20"/>
          <w:szCs w:val="20"/>
        </w:rPr>
      </w:pPr>
    </w:p>
    <w:p w14:paraId="6C5CB340" w14:textId="77777777" w:rsidR="000145C1" w:rsidRDefault="000145C1" w:rsidP="000145C1">
      <w:pPr>
        <w:jc w:val="center"/>
        <w:rPr>
          <w:rFonts w:ascii="Cambria" w:hAnsi="Cambria"/>
          <w:b/>
          <w:bCs/>
          <w:color w:val="000000" w:themeColor="text1"/>
        </w:rPr>
      </w:pPr>
      <w:r>
        <w:rPr>
          <w:noProof/>
        </w:rPr>
        <w:drawing>
          <wp:inline distT="0" distB="0" distL="0" distR="0" wp14:anchorId="3B558FB1" wp14:editId="5C765370">
            <wp:extent cx="5840730" cy="343662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2304" r="2262"/>
                    <a:stretch/>
                  </pic:blipFill>
                  <pic:spPr bwMode="auto">
                    <a:xfrm>
                      <a:off x="0" y="0"/>
                      <a:ext cx="5840730" cy="3436620"/>
                    </a:xfrm>
                    <a:prstGeom prst="rect">
                      <a:avLst/>
                    </a:prstGeom>
                    <a:ln>
                      <a:noFill/>
                    </a:ln>
                    <a:extLst>
                      <a:ext uri="{53640926-AAD7-44D8-BBD7-CCE9431645EC}">
                        <a14:shadowObscured xmlns:a14="http://schemas.microsoft.com/office/drawing/2010/main"/>
                      </a:ext>
                    </a:extLst>
                  </pic:spPr>
                </pic:pic>
              </a:graphicData>
            </a:graphic>
          </wp:inline>
        </w:drawing>
      </w:r>
    </w:p>
    <w:p w14:paraId="4F8DE52B" w14:textId="4852F2B7" w:rsidR="003F1652" w:rsidRDefault="003F1652"/>
    <w:p w14:paraId="14F9AFF0" w14:textId="77777777" w:rsidR="000145C1" w:rsidRDefault="000145C1" w:rsidP="000145C1">
      <w:pPr>
        <w:jc w:val="both"/>
        <w:rPr>
          <w:rFonts w:ascii="Cambria" w:hAnsi="Cambria"/>
        </w:rPr>
      </w:pPr>
      <w:r w:rsidRPr="008E54E6">
        <w:rPr>
          <w:rFonts w:ascii="Cambria" w:hAnsi="Cambria"/>
          <w:noProof/>
          <w:lang w:val="en-US" w:eastAsia="en-US"/>
        </w:rPr>
        <w:lastRenderedPageBreak/>
        <w:drawing>
          <wp:inline distT="0" distB="0" distL="0" distR="0" wp14:anchorId="46F460DF" wp14:editId="28353231">
            <wp:extent cx="6120130" cy="2755265"/>
            <wp:effectExtent l="0" t="0" r="1270" b="0"/>
            <wp:docPr id="1" name="Picture 2">
              <a:extLst xmlns:a="http://schemas.openxmlformats.org/drawingml/2006/main">
                <a:ext uri="{FF2B5EF4-FFF2-40B4-BE49-F238E27FC236}">
                  <a16:creationId xmlns:a16="http://schemas.microsoft.com/office/drawing/2014/main" id="{231FD551-1164-9440-933F-F4C22B6A19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31FD551-1164-9440-933F-F4C22B6A199B}"/>
                        </a:ext>
                      </a:extLst>
                    </pic:cNvPr>
                    <pic:cNvPicPr>
                      <a:picLocks noChangeAspect="1"/>
                    </pic:cNvPicPr>
                  </pic:nvPicPr>
                  <pic:blipFill rotWithShape="1">
                    <a:blip r:embed="rId5"/>
                    <a:srcRect b="10516"/>
                    <a:stretch/>
                  </pic:blipFill>
                  <pic:spPr>
                    <a:xfrm>
                      <a:off x="0" y="0"/>
                      <a:ext cx="6120130" cy="2755265"/>
                    </a:xfrm>
                    <a:prstGeom prst="rect">
                      <a:avLst/>
                    </a:prstGeom>
                  </pic:spPr>
                </pic:pic>
              </a:graphicData>
            </a:graphic>
          </wp:inline>
        </w:drawing>
      </w:r>
    </w:p>
    <w:p w14:paraId="49DF4A53" w14:textId="77777777" w:rsidR="000145C1" w:rsidRDefault="000145C1" w:rsidP="000145C1">
      <w:pPr>
        <w:jc w:val="center"/>
        <w:rPr>
          <w:rFonts w:ascii="Cambria" w:hAnsi="Cambria"/>
          <w:vertAlign w:val="subscript"/>
        </w:rPr>
      </w:pPr>
    </w:p>
    <w:p w14:paraId="16333E94" w14:textId="77777777" w:rsidR="000145C1" w:rsidRPr="003D64F3" w:rsidRDefault="000145C1" w:rsidP="000145C1">
      <w:pPr>
        <w:jc w:val="center"/>
        <w:rPr>
          <w:rFonts w:ascii="Cambria" w:hAnsi="Cambria"/>
          <w:vertAlign w:val="subscript"/>
        </w:rPr>
      </w:pPr>
      <w:r w:rsidRPr="008E040D">
        <w:rPr>
          <w:rFonts w:ascii="Cambria" w:hAnsi="Cambria"/>
          <w:noProof/>
          <w:vertAlign w:val="subscript"/>
        </w:rPr>
        <w:drawing>
          <wp:inline distT="0" distB="0" distL="0" distR="0" wp14:anchorId="1BD339DA" wp14:editId="115F0E94">
            <wp:extent cx="6120130" cy="4072255"/>
            <wp:effectExtent l="0" t="0" r="1270" b="4445"/>
            <wp:docPr id="2" name="Picture 1">
              <a:extLst xmlns:a="http://schemas.openxmlformats.org/drawingml/2006/main">
                <a:ext uri="{FF2B5EF4-FFF2-40B4-BE49-F238E27FC236}">
                  <a16:creationId xmlns:a16="http://schemas.microsoft.com/office/drawing/2014/main" id="{5982C313-0AC8-B241-B16C-FA5A564326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5982C313-0AC8-B241-B16C-FA5A56432603}"/>
                        </a:ext>
                      </a:extLst>
                    </pic:cNvPr>
                    <pic:cNvPicPr>
                      <a:picLocks noChangeAspect="1"/>
                    </pic:cNvPicPr>
                  </pic:nvPicPr>
                  <pic:blipFill>
                    <a:blip r:embed="rId6"/>
                    <a:stretch>
                      <a:fillRect/>
                    </a:stretch>
                  </pic:blipFill>
                  <pic:spPr>
                    <a:xfrm>
                      <a:off x="0" y="0"/>
                      <a:ext cx="6120130" cy="4072255"/>
                    </a:xfrm>
                    <a:prstGeom prst="rect">
                      <a:avLst/>
                    </a:prstGeom>
                  </pic:spPr>
                </pic:pic>
              </a:graphicData>
            </a:graphic>
          </wp:inline>
        </w:drawing>
      </w:r>
    </w:p>
    <w:p w14:paraId="31362382" w14:textId="34F0A98A" w:rsidR="000145C1" w:rsidRDefault="000145C1"/>
    <w:p w14:paraId="0FA4EFBF" w14:textId="458E3958" w:rsidR="000145C1" w:rsidRDefault="000145C1"/>
    <w:p w14:paraId="15650EE9" w14:textId="77777777" w:rsidR="00561602" w:rsidRDefault="00561602" w:rsidP="000145C1">
      <w:pPr>
        <w:jc w:val="both"/>
        <w:rPr>
          <w:rFonts w:ascii="Cambria" w:hAnsi="Cambria"/>
          <w:b/>
          <w:bCs/>
          <w:color w:val="000000" w:themeColor="text1"/>
          <w:sz w:val="20"/>
          <w:szCs w:val="20"/>
        </w:rPr>
      </w:pPr>
    </w:p>
    <w:p w14:paraId="676B9054" w14:textId="77777777" w:rsidR="00561602" w:rsidRDefault="00561602" w:rsidP="000145C1">
      <w:pPr>
        <w:jc w:val="both"/>
        <w:rPr>
          <w:rFonts w:ascii="Cambria" w:hAnsi="Cambria"/>
          <w:b/>
          <w:bCs/>
          <w:color w:val="000000" w:themeColor="text1"/>
          <w:sz w:val="20"/>
          <w:szCs w:val="20"/>
        </w:rPr>
      </w:pPr>
    </w:p>
    <w:p w14:paraId="47C4A8D5" w14:textId="77777777" w:rsidR="00561602" w:rsidRDefault="00561602" w:rsidP="000145C1">
      <w:pPr>
        <w:jc w:val="both"/>
        <w:rPr>
          <w:rFonts w:ascii="Cambria" w:hAnsi="Cambria"/>
          <w:b/>
          <w:bCs/>
          <w:color w:val="000000" w:themeColor="text1"/>
          <w:sz w:val="20"/>
          <w:szCs w:val="20"/>
        </w:rPr>
      </w:pPr>
    </w:p>
    <w:p w14:paraId="01A1E809" w14:textId="77777777" w:rsidR="00561602" w:rsidRDefault="00561602" w:rsidP="000145C1">
      <w:pPr>
        <w:jc w:val="both"/>
        <w:rPr>
          <w:rFonts w:ascii="Cambria" w:hAnsi="Cambria"/>
          <w:b/>
          <w:bCs/>
          <w:color w:val="000000" w:themeColor="text1"/>
          <w:sz w:val="20"/>
          <w:szCs w:val="20"/>
        </w:rPr>
      </w:pPr>
    </w:p>
    <w:p w14:paraId="74CAFBF6" w14:textId="5E8DD143" w:rsidR="000145C1" w:rsidRDefault="000145C1" w:rsidP="000145C1">
      <w:pPr>
        <w:jc w:val="both"/>
        <w:rPr>
          <w:rFonts w:ascii="Cambria" w:hAnsi="Cambria"/>
          <w:sz w:val="20"/>
          <w:szCs w:val="20"/>
          <w:lang w:val="en-GB"/>
        </w:rPr>
      </w:pPr>
      <w:r w:rsidRPr="00B606B7">
        <w:rPr>
          <w:rFonts w:ascii="Cambria" w:hAnsi="Cambria"/>
          <w:b/>
          <w:bCs/>
          <w:color w:val="000000" w:themeColor="text1"/>
          <w:sz w:val="20"/>
          <w:szCs w:val="20"/>
        </w:rPr>
        <w:lastRenderedPageBreak/>
        <w:t xml:space="preserve">Table 5 </w:t>
      </w:r>
      <w:r w:rsidRPr="00B606B7">
        <w:rPr>
          <w:rFonts w:ascii="Cambria" w:hAnsi="Cambria"/>
          <w:color w:val="000000" w:themeColor="text1"/>
          <w:sz w:val="20"/>
          <w:szCs w:val="20"/>
        </w:rPr>
        <w:t xml:space="preserve">reporting the main effect of tyrosine levels intake in grams </w:t>
      </w:r>
      <w:r w:rsidRPr="00B606B7">
        <w:rPr>
          <w:rFonts w:ascii="Cambria" w:hAnsi="Cambria"/>
          <w:sz w:val="20"/>
          <w:szCs w:val="20"/>
          <w:lang w:val="en-GB"/>
        </w:rPr>
        <w:t>(below 2gr, medium intake between 2 and 3gr, medium high between 3 and 4gr, and high intake above 4gr) and the Locus Coeruleus average signal intensity for each level of intake. Main effect and significant differences are observed across levels, the more significant are observed between low and high intake (</w:t>
      </w:r>
      <w:r w:rsidRPr="00B606B7">
        <w:rPr>
          <w:rFonts w:ascii="Cambria" w:hAnsi="Cambria"/>
          <w:i/>
          <w:iCs/>
          <w:sz w:val="20"/>
          <w:szCs w:val="20"/>
          <w:lang w:val="en-GB"/>
        </w:rPr>
        <w:t>Bonferroni corrected P&lt;0.001</w:t>
      </w:r>
      <w:r w:rsidRPr="00B606B7">
        <w:rPr>
          <w:rFonts w:ascii="Cambria" w:hAnsi="Cambria"/>
          <w:sz w:val="20"/>
          <w:szCs w:val="20"/>
          <w:lang w:val="en-GB"/>
        </w:rPr>
        <w:t xml:space="preserve">) </w:t>
      </w:r>
    </w:p>
    <w:p w14:paraId="2A3115B6" w14:textId="77777777" w:rsidR="000145C1" w:rsidRPr="00BE7625" w:rsidRDefault="000145C1" w:rsidP="000145C1">
      <w:pPr>
        <w:jc w:val="both"/>
        <w:rPr>
          <w:rFonts w:ascii="Cambria" w:hAnsi="Cambria"/>
          <w:b/>
          <w:bCs/>
          <w:color w:val="000000" w:themeColor="text1"/>
          <w:sz w:val="20"/>
          <w:szCs w:val="20"/>
        </w:rPr>
      </w:pPr>
    </w:p>
    <w:p w14:paraId="381ABF02" w14:textId="77777777" w:rsidR="000145C1" w:rsidRDefault="000145C1" w:rsidP="000145C1">
      <w:pPr>
        <w:rPr>
          <w:rFonts w:ascii="Cambria" w:hAnsi="Cambria"/>
          <w:b/>
          <w:bCs/>
          <w:color w:val="000000" w:themeColor="text1"/>
        </w:rPr>
      </w:pPr>
      <w:r w:rsidRPr="00763CC5">
        <w:rPr>
          <w:rFonts w:ascii="Cambria" w:hAnsi="Cambria"/>
          <w:b/>
          <w:bCs/>
          <w:noProof/>
          <w:color w:val="000000" w:themeColor="text1"/>
        </w:rPr>
        <w:drawing>
          <wp:inline distT="0" distB="0" distL="0" distR="0" wp14:anchorId="751E8C09" wp14:editId="2FEF2D15">
            <wp:extent cx="6120130" cy="5861685"/>
            <wp:effectExtent l="0" t="0" r="1270" b="0"/>
            <wp:docPr id="8" name="Picture 7">
              <a:extLst xmlns:a="http://schemas.openxmlformats.org/drawingml/2006/main">
                <a:ext uri="{FF2B5EF4-FFF2-40B4-BE49-F238E27FC236}">
                  <a16:creationId xmlns:a16="http://schemas.microsoft.com/office/drawing/2014/main" id="{222D5926-72F6-3748-9470-92CD78B52C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222D5926-72F6-3748-9470-92CD78B52C65}"/>
                        </a:ext>
                      </a:extLst>
                    </pic:cNvPr>
                    <pic:cNvPicPr>
                      <a:picLocks noChangeAspect="1"/>
                    </pic:cNvPicPr>
                  </pic:nvPicPr>
                  <pic:blipFill>
                    <a:blip r:embed="rId7"/>
                    <a:stretch>
                      <a:fillRect/>
                    </a:stretch>
                  </pic:blipFill>
                  <pic:spPr>
                    <a:xfrm>
                      <a:off x="0" y="0"/>
                      <a:ext cx="6120130" cy="5861685"/>
                    </a:xfrm>
                    <a:prstGeom prst="rect">
                      <a:avLst/>
                    </a:prstGeom>
                  </pic:spPr>
                </pic:pic>
              </a:graphicData>
            </a:graphic>
          </wp:inline>
        </w:drawing>
      </w:r>
    </w:p>
    <w:p w14:paraId="7C3ABF54" w14:textId="129A544B" w:rsidR="000145C1" w:rsidRDefault="000145C1"/>
    <w:p w14:paraId="45A08821" w14:textId="3A9338E3" w:rsidR="000145C1" w:rsidRDefault="000145C1"/>
    <w:p w14:paraId="2BDED176" w14:textId="77777777" w:rsidR="00561602" w:rsidRDefault="00561602" w:rsidP="000145C1">
      <w:pPr>
        <w:jc w:val="both"/>
        <w:rPr>
          <w:rFonts w:ascii="Cambria" w:hAnsi="Cambria"/>
          <w:b/>
          <w:bCs/>
          <w:sz w:val="20"/>
          <w:szCs w:val="20"/>
        </w:rPr>
      </w:pPr>
    </w:p>
    <w:p w14:paraId="5EB1524B" w14:textId="77777777" w:rsidR="00561602" w:rsidRDefault="00561602" w:rsidP="000145C1">
      <w:pPr>
        <w:jc w:val="both"/>
        <w:rPr>
          <w:rFonts w:ascii="Cambria" w:hAnsi="Cambria"/>
          <w:b/>
          <w:bCs/>
          <w:sz w:val="20"/>
          <w:szCs w:val="20"/>
        </w:rPr>
      </w:pPr>
    </w:p>
    <w:p w14:paraId="7C0E4056" w14:textId="77777777" w:rsidR="00561602" w:rsidRDefault="00561602" w:rsidP="000145C1">
      <w:pPr>
        <w:jc w:val="both"/>
        <w:rPr>
          <w:rFonts w:ascii="Cambria" w:hAnsi="Cambria"/>
          <w:b/>
          <w:bCs/>
          <w:sz w:val="20"/>
          <w:szCs w:val="20"/>
        </w:rPr>
      </w:pPr>
    </w:p>
    <w:p w14:paraId="75041C79" w14:textId="77777777" w:rsidR="00561602" w:rsidRDefault="00561602" w:rsidP="000145C1">
      <w:pPr>
        <w:jc w:val="both"/>
        <w:rPr>
          <w:rFonts w:ascii="Cambria" w:hAnsi="Cambria"/>
          <w:b/>
          <w:bCs/>
          <w:sz w:val="20"/>
          <w:szCs w:val="20"/>
        </w:rPr>
      </w:pPr>
    </w:p>
    <w:p w14:paraId="62AA5D53" w14:textId="77777777" w:rsidR="00561602" w:rsidRDefault="00561602" w:rsidP="000145C1">
      <w:pPr>
        <w:jc w:val="both"/>
        <w:rPr>
          <w:rFonts w:ascii="Cambria" w:hAnsi="Cambria"/>
          <w:b/>
          <w:bCs/>
          <w:sz w:val="20"/>
          <w:szCs w:val="20"/>
        </w:rPr>
      </w:pPr>
    </w:p>
    <w:p w14:paraId="58E8E64F" w14:textId="77777777" w:rsidR="00561602" w:rsidRDefault="00561602" w:rsidP="000145C1">
      <w:pPr>
        <w:jc w:val="both"/>
        <w:rPr>
          <w:rFonts w:ascii="Cambria" w:hAnsi="Cambria"/>
          <w:b/>
          <w:bCs/>
          <w:sz w:val="20"/>
          <w:szCs w:val="20"/>
        </w:rPr>
      </w:pPr>
    </w:p>
    <w:p w14:paraId="04B1FB2A" w14:textId="77777777" w:rsidR="00561602" w:rsidRDefault="00561602" w:rsidP="000145C1">
      <w:pPr>
        <w:jc w:val="both"/>
        <w:rPr>
          <w:rFonts w:ascii="Cambria" w:hAnsi="Cambria"/>
          <w:b/>
          <w:bCs/>
          <w:sz w:val="20"/>
          <w:szCs w:val="20"/>
        </w:rPr>
      </w:pPr>
    </w:p>
    <w:p w14:paraId="0770EBBE" w14:textId="77777777" w:rsidR="00561602" w:rsidRDefault="00561602" w:rsidP="000145C1">
      <w:pPr>
        <w:jc w:val="both"/>
        <w:rPr>
          <w:rFonts w:ascii="Cambria" w:hAnsi="Cambria"/>
          <w:b/>
          <w:bCs/>
          <w:sz w:val="20"/>
          <w:szCs w:val="20"/>
        </w:rPr>
      </w:pPr>
    </w:p>
    <w:p w14:paraId="636A1DE1" w14:textId="12108E59" w:rsidR="000145C1" w:rsidRDefault="000145C1" w:rsidP="000145C1">
      <w:pPr>
        <w:jc w:val="both"/>
        <w:rPr>
          <w:noProof/>
        </w:rPr>
      </w:pPr>
      <w:r w:rsidRPr="00F457FE">
        <w:rPr>
          <w:rFonts w:ascii="Cambria" w:hAnsi="Cambria"/>
          <w:b/>
          <w:bCs/>
          <w:sz w:val="20"/>
          <w:szCs w:val="20"/>
        </w:rPr>
        <w:lastRenderedPageBreak/>
        <w:t xml:space="preserve">Table </w:t>
      </w:r>
      <w:r>
        <w:rPr>
          <w:rFonts w:ascii="Cambria" w:hAnsi="Cambria"/>
          <w:b/>
          <w:bCs/>
          <w:sz w:val="20"/>
          <w:szCs w:val="20"/>
        </w:rPr>
        <w:t>6</w:t>
      </w:r>
      <w:r w:rsidRPr="00F457FE">
        <w:rPr>
          <w:rFonts w:ascii="Cambria" w:hAnsi="Cambria"/>
          <w:b/>
          <w:bCs/>
          <w:sz w:val="20"/>
          <w:szCs w:val="20"/>
        </w:rPr>
        <w:t xml:space="preserve"> –</w:t>
      </w:r>
      <w:r w:rsidRPr="00F457FE">
        <w:rPr>
          <w:rFonts w:ascii="Cambria" w:hAnsi="Cambria"/>
          <w:sz w:val="20"/>
          <w:szCs w:val="20"/>
        </w:rPr>
        <w:t xml:space="preserve"> reports results of the mediation analyses treating the 5ROIs as parallel mediators between tyrosine intake and TMT B-A. </w:t>
      </w:r>
      <w:r>
        <w:rPr>
          <w:rFonts w:ascii="Cambria" w:hAnsi="Cambria"/>
          <w:sz w:val="20"/>
          <w:szCs w:val="20"/>
        </w:rPr>
        <w:t>B</w:t>
      </w:r>
      <w:r w:rsidRPr="00F457FE">
        <w:rPr>
          <w:rFonts w:ascii="Cambria" w:hAnsi="Cambria"/>
          <w:sz w:val="20"/>
          <w:szCs w:val="20"/>
        </w:rPr>
        <w:t xml:space="preserve">y covaring for age, gender, education, TIV and </w:t>
      </w:r>
      <w:r>
        <w:rPr>
          <w:rFonts w:ascii="Cambria" w:hAnsi="Cambria"/>
          <w:sz w:val="20"/>
          <w:szCs w:val="20"/>
        </w:rPr>
        <w:t>HD-TF-IDA</w:t>
      </w:r>
      <w:r w:rsidRPr="00F457FE">
        <w:rPr>
          <w:rFonts w:ascii="Cambria" w:hAnsi="Cambria"/>
          <w:sz w:val="20"/>
          <w:szCs w:val="20"/>
        </w:rPr>
        <w:t>, only the LC significantly mediated the relationship between dietary tyrosine intake and TMT B-A.</w:t>
      </w:r>
      <w:r w:rsidRPr="000F4638">
        <w:rPr>
          <w:noProof/>
        </w:rPr>
        <w:t xml:space="preserve"> </w:t>
      </w:r>
    </w:p>
    <w:p w14:paraId="2031BA42" w14:textId="2EC34C38" w:rsidR="00561602" w:rsidRDefault="00561602" w:rsidP="000145C1">
      <w:pPr>
        <w:jc w:val="both"/>
        <w:rPr>
          <w:noProof/>
        </w:rPr>
      </w:pPr>
    </w:p>
    <w:p w14:paraId="154FDCCF" w14:textId="33D6AA39" w:rsidR="00561602" w:rsidRDefault="00561602" w:rsidP="000145C1">
      <w:pPr>
        <w:jc w:val="both"/>
        <w:rPr>
          <w:noProof/>
        </w:rPr>
      </w:pPr>
    </w:p>
    <w:p w14:paraId="4D4D08F3" w14:textId="77777777" w:rsidR="00561602" w:rsidRDefault="00561602" w:rsidP="000145C1">
      <w:pPr>
        <w:jc w:val="both"/>
        <w:rPr>
          <w:noProof/>
        </w:rPr>
      </w:pPr>
    </w:p>
    <w:p w14:paraId="7909395F" w14:textId="77777777" w:rsidR="000145C1" w:rsidRDefault="000145C1" w:rsidP="000145C1">
      <w:pPr>
        <w:jc w:val="center"/>
        <w:rPr>
          <w:rFonts w:ascii="Cambria" w:hAnsi="Cambria"/>
          <w:b/>
          <w:bCs/>
          <w:sz w:val="20"/>
          <w:szCs w:val="20"/>
        </w:rPr>
      </w:pPr>
      <w:r w:rsidRPr="000E0199">
        <w:rPr>
          <w:rFonts w:ascii="Cambria" w:hAnsi="Cambria"/>
          <w:b/>
          <w:bCs/>
          <w:noProof/>
          <w:sz w:val="20"/>
          <w:szCs w:val="20"/>
        </w:rPr>
        <w:drawing>
          <wp:inline distT="0" distB="0" distL="0" distR="0" wp14:anchorId="6614C15D" wp14:editId="454B0D36">
            <wp:extent cx="4933250" cy="3954585"/>
            <wp:effectExtent l="0" t="0" r="0" b="0"/>
            <wp:docPr id="11" name="Picture 2">
              <a:extLst xmlns:a="http://schemas.openxmlformats.org/drawingml/2006/main">
                <a:ext uri="{FF2B5EF4-FFF2-40B4-BE49-F238E27FC236}">
                  <a16:creationId xmlns:a16="http://schemas.microsoft.com/office/drawing/2014/main" id="{72AAD005-49B3-6440-9B43-8AC56705FD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2AAD005-49B3-6440-9B43-8AC56705FDF1}"/>
                        </a:ext>
                      </a:extLst>
                    </pic:cNvPr>
                    <pic:cNvPicPr>
                      <a:picLocks noChangeAspect="1"/>
                    </pic:cNvPicPr>
                  </pic:nvPicPr>
                  <pic:blipFill>
                    <a:blip r:embed="rId8"/>
                    <a:stretch>
                      <a:fillRect/>
                    </a:stretch>
                  </pic:blipFill>
                  <pic:spPr>
                    <a:xfrm>
                      <a:off x="0" y="0"/>
                      <a:ext cx="4948116" cy="3966502"/>
                    </a:xfrm>
                    <a:prstGeom prst="rect">
                      <a:avLst/>
                    </a:prstGeom>
                  </pic:spPr>
                </pic:pic>
              </a:graphicData>
            </a:graphic>
          </wp:inline>
        </w:drawing>
      </w:r>
    </w:p>
    <w:p w14:paraId="71EADC48" w14:textId="77777777" w:rsidR="000145C1" w:rsidRDefault="000145C1" w:rsidP="000145C1">
      <w:pPr>
        <w:jc w:val="center"/>
        <w:rPr>
          <w:rFonts w:ascii="Cambria" w:hAnsi="Cambria"/>
          <w:b/>
          <w:bCs/>
          <w:sz w:val="20"/>
          <w:szCs w:val="20"/>
        </w:rPr>
      </w:pPr>
    </w:p>
    <w:p w14:paraId="5A11B037" w14:textId="77777777" w:rsidR="000145C1" w:rsidRDefault="000145C1" w:rsidP="000145C1">
      <w:pPr>
        <w:jc w:val="both"/>
        <w:rPr>
          <w:rFonts w:ascii="Cambria" w:hAnsi="Cambria"/>
          <w:b/>
          <w:bCs/>
          <w:sz w:val="20"/>
          <w:szCs w:val="20"/>
        </w:rPr>
      </w:pPr>
    </w:p>
    <w:p w14:paraId="47D77098" w14:textId="77777777" w:rsidR="00561602" w:rsidRDefault="00561602" w:rsidP="000145C1">
      <w:pPr>
        <w:jc w:val="both"/>
        <w:rPr>
          <w:rFonts w:ascii="Cambria" w:hAnsi="Cambria"/>
          <w:b/>
          <w:bCs/>
          <w:sz w:val="20"/>
          <w:szCs w:val="20"/>
        </w:rPr>
      </w:pPr>
    </w:p>
    <w:p w14:paraId="45113164" w14:textId="77777777" w:rsidR="00561602" w:rsidRDefault="00561602" w:rsidP="000145C1">
      <w:pPr>
        <w:jc w:val="both"/>
        <w:rPr>
          <w:rFonts w:ascii="Cambria" w:hAnsi="Cambria"/>
          <w:b/>
          <w:bCs/>
          <w:sz w:val="20"/>
          <w:szCs w:val="20"/>
        </w:rPr>
      </w:pPr>
    </w:p>
    <w:p w14:paraId="1097DAAF" w14:textId="77777777" w:rsidR="00561602" w:rsidRDefault="00561602" w:rsidP="000145C1">
      <w:pPr>
        <w:jc w:val="both"/>
        <w:rPr>
          <w:rFonts w:ascii="Cambria" w:hAnsi="Cambria"/>
          <w:b/>
          <w:bCs/>
          <w:sz w:val="20"/>
          <w:szCs w:val="20"/>
        </w:rPr>
      </w:pPr>
    </w:p>
    <w:p w14:paraId="0A5612D6" w14:textId="77777777" w:rsidR="00561602" w:rsidRDefault="00561602" w:rsidP="000145C1">
      <w:pPr>
        <w:jc w:val="both"/>
        <w:rPr>
          <w:rFonts w:ascii="Cambria" w:hAnsi="Cambria"/>
          <w:b/>
          <w:bCs/>
          <w:sz w:val="20"/>
          <w:szCs w:val="20"/>
        </w:rPr>
      </w:pPr>
    </w:p>
    <w:p w14:paraId="35EDCF18" w14:textId="77777777" w:rsidR="00561602" w:rsidRDefault="00561602" w:rsidP="000145C1">
      <w:pPr>
        <w:jc w:val="both"/>
        <w:rPr>
          <w:rFonts w:ascii="Cambria" w:hAnsi="Cambria"/>
          <w:b/>
          <w:bCs/>
          <w:sz w:val="20"/>
          <w:szCs w:val="20"/>
        </w:rPr>
      </w:pPr>
    </w:p>
    <w:p w14:paraId="3BC8CE2A" w14:textId="77777777" w:rsidR="00561602" w:rsidRDefault="00561602" w:rsidP="000145C1">
      <w:pPr>
        <w:jc w:val="both"/>
        <w:rPr>
          <w:rFonts w:ascii="Cambria" w:hAnsi="Cambria"/>
          <w:b/>
          <w:bCs/>
          <w:sz w:val="20"/>
          <w:szCs w:val="20"/>
        </w:rPr>
      </w:pPr>
    </w:p>
    <w:p w14:paraId="2AF8031E" w14:textId="77777777" w:rsidR="00561602" w:rsidRDefault="00561602" w:rsidP="000145C1">
      <w:pPr>
        <w:jc w:val="both"/>
        <w:rPr>
          <w:rFonts w:ascii="Cambria" w:hAnsi="Cambria"/>
          <w:b/>
          <w:bCs/>
          <w:sz w:val="20"/>
          <w:szCs w:val="20"/>
        </w:rPr>
      </w:pPr>
    </w:p>
    <w:p w14:paraId="163585D2" w14:textId="77777777" w:rsidR="00561602" w:rsidRDefault="00561602" w:rsidP="000145C1">
      <w:pPr>
        <w:jc w:val="both"/>
        <w:rPr>
          <w:rFonts w:ascii="Cambria" w:hAnsi="Cambria"/>
          <w:b/>
          <w:bCs/>
          <w:sz w:val="20"/>
          <w:szCs w:val="20"/>
        </w:rPr>
      </w:pPr>
    </w:p>
    <w:p w14:paraId="36EAFB95" w14:textId="77777777" w:rsidR="00561602" w:rsidRDefault="00561602" w:rsidP="000145C1">
      <w:pPr>
        <w:jc w:val="both"/>
        <w:rPr>
          <w:rFonts w:ascii="Cambria" w:hAnsi="Cambria"/>
          <w:b/>
          <w:bCs/>
          <w:sz w:val="20"/>
          <w:szCs w:val="20"/>
        </w:rPr>
      </w:pPr>
    </w:p>
    <w:p w14:paraId="0DF6ED76" w14:textId="77777777" w:rsidR="00561602" w:rsidRDefault="00561602" w:rsidP="000145C1">
      <w:pPr>
        <w:jc w:val="both"/>
        <w:rPr>
          <w:rFonts w:ascii="Cambria" w:hAnsi="Cambria"/>
          <w:b/>
          <w:bCs/>
          <w:sz w:val="20"/>
          <w:szCs w:val="20"/>
        </w:rPr>
      </w:pPr>
    </w:p>
    <w:p w14:paraId="0CEAC344" w14:textId="77777777" w:rsidR="00561602" w:rsidRDefault="00561602" w:rsidP="000145C1">
      <w:pPr>
        <w:jc w:val="both"/>
        <w:rPr>
          <w:rFonts w:ascii="Cambria" w:hAnsi="Cambria"/>
          <w:b/>
          <w:bCs/>
          <w:sz w:val="20"/>
          <w:szCs w:val="20"/>
        </w:rPr>
      </w:pPr>
    </w:p>
    <w:p w14:paraId="4E27471F" w14:textId="77777777" w:rsidR="00561602" w:rsidRDefault="00561602" w:rsidP="000145C1">
      <w:pPr>
        <w:jc w:val="both"/>
        <w:rPr>
          <w:rFonts w:ascii="Cambria" w:hAnsi="Cambria"/>
          <w:b/>
          <w:bCs/>
          <w:sz w:val="20"/>
          <w:szCs w:val="20"/>
        </w:rPr>
      </w:pPr>
    </w:p>
    <w:p w14:paraId="5DAD22F2" w14:textId="77777777" w:rsidR="00561602" w:rsidRDefault="00561602" w:rsidP="000145C1">
      <w:pPr>
        <w:jc w:val="both"/>
        <w:rPr>
          <w:rFonts w:ascii="Cambria" w:hAnsi="Cambria"/>
          <w:b/>
          <w:bCs/>
          <w:sz w:val="20"/>
          <w:szCs w:val="20"/>
        </w:rPr>
      </w:pPr>
    </w:p>
    <w:p w14:paraId="04392EB4" w14:textId="77777777" w:rsidR="00561602" w:rsidRDefault="00561602" w:rsidP="000145C1">
      <w:pPr>
        <w:jc w:val="both"/>
        <w:rPr>
          <w:rFonts w:ascii="Cambria" w:hAnsi="Cambria"/>
          <w:b/>
          <w:bCs/>
          <w:sz w:val="20"/>
          <w:szCs w:val="20"/>
        </w:rPr>
      </w:pPr>
    </w:p>
    <w:p w14:paraId="33BBCA30" w14:textId="77777777" w:rsidR="00561602" w:rsidRDefault="00561602" w:rsidP="000145C1">
      <w:pPr>
        <w:jc w:val="both"/>
        <w:rPr>
          <w:rFonts w:ascii="Cambria" w:hAnsi="Cambria"/>
          <w:b/>
          <w:bCs/>
          <w:sz w:val="20"/>
          <w:szCs w:val="20"/>
        </w:rPr>
      </w:pPr>
    </w:p>
    <w:p w14:paraId="608CF162" w14:textId="77777777" w:rsidR="00561602" w:rsidRDefault="00561602" w:rsidP="000145C1">
      <w:pPr>
        <w:jc w:val="both"/>
        <w:rPr>
          <w:rFonts w:ascii="Cambria" w:hAnsi="Cambria"/>
          <w:b/>
          <w:bCs/>
          <w:sz w:val="20"/>
          <w:szCs w:val="20"/>
        </w:rPr>
      </w:pPr>
    </w:p>
    <w:p w14:paraId="35FF3F3E" w14:textId="77777777" w:rsidR="00561602" w:rsidRDefault="00561602" w:rsidP="000145C1">
      <w:pPr>
        <w:jc w:val="both"/>
        <w:rPr>
          <w:rFonts w:ascii="Cambria" w:hAnsi="Cambria"/>
          <w:b/>
          <w:bCs/>
          <w:sz w:val="20"/>
          <w:szCs w:val="20"/>
        </w:rPr>
      </w:pPr>
    </w:p>
    <w:p w14:paraId="1010B300" w14:textId="77777777" w:rsidR="00561602" w:rsidRDefault="00561602" w:rsidP="000145C1">
      <w:pPr>
        <w:jc w:val="both"/>
        <w:rPr>
          <w:rFonts w:ascii="Cambria" w:hAnsi="Cambria"/>
          <w:b/>
          <w:bCs/>
          <w:sz w:val="20"/>
          <w:szCs w:val="20"/>
        </w:rPr>
      </w:pPr>
    </w:p>
    <w:p w14:paraId="4F91ABFE" w14:textId="77777777" w:rsidR="00561602" w:rsidRDefault="00561602" w:rsidP="000145C1">
      <w:pPr>
        <w:jc w:val="both"/>
        <w:rPr>
          <w:rFonts w:ascii="Cambria" w:hAnsi="Cambria"/>
          <w:b/>
          <w:bCs/>
          <w:sz w:val="20"/>
          <w:szCs w:val="20"/>
        </w:rPr>
      </w:pPr>
    </w:p>
    <w:p w14:paraId="24DEEFBA" w14:textId="77777777" w:rsidR="00561602" w:rsidRDefault="00561602" w:rsidP="000145C1">
      <w:pPr>
        <w:jc w:val="both"/>
        <w:rPr>
          <w:rFonts w:ascii="Cambria" w:hAnsi="Cambria"/>
          <w:b/>
          <w:bCs/>
          <w:sz w:val="20"/>
          <w:szCs w:val="20"/>
        </w:rPr>
      </w:pPr>
    </w:p>
    <w:p w14:paraId="73A203C5" w14:textId="13382ADC" w:rsidR="000145C1" w:rsidRDefault="000145C1" w:rsidP="000145C1">
      <w:pPr>
        <w:jc w:val="both"/>
        <w:rPr>
          <w:rFonts w:ascii="Cambria" w:hAnsi="Cambria"/>
          <w:sz w:val="20"/>
          <w:szCs w:val="20"/>
        </w:rPr>
      </w:pPr>
      <w:r w:rsidRPr="00F457FE">
        <w:rPr>
          <w:rFonts w:ascii="Cambria" w:hAnsi="Cambria"/>
          <w:b/>
          <w:bCs/>
          <w:sz w:val="20"/>
          <w:szCs w:val="20"/>
        </w:rPr>
        <w:lastRenderedPageBreak/>
        <w:t xml:space="preserve">Table </w:t>
      </w:r>
      <w:r>
        <w:rPr>
          <w:rFonts w:ascii="Cambria" w:hAnsi="Cambria"/>
          <w:b/>
          <w:bCs/>
          <w:sz w:val="20"/>
          <w:szCs w:val="20"/>
        </w:rPr>
        <w:t>7</w:t>
      </w:r>
      <w:r w:rsidRPr="00F457FE">
        <w:rPr>
          <w:rFonts w:ascii="Cambria" w:hAnsi="Cambria"/>
          <w:b/>
          <w:bCs/>
          <w:sz w:val="20"/>
          <w:szCs w:val="20"/>
        </w:rPr>
        <w:t xml:space="preserve"> -</w:t>
      </w:r>
      <w:r w:rsidRPr="00F457FE">
        <w:rPr>
          <w:rFonts w:ascii="Cambria" w:hAnsi="Cambria"/>
          <w:sz w:val="20"/>
          <w:szCs w:val="20"/>
        </w:rPr>
        <w:t xml:space="preserve"> reports results of the mediation analyses treating the 5ROIs as parallel mediators between tyrosine intake and BrainPAD. As shown in the table, by covaring for age, gender, education</w:t>
      </w:r>
      <w:r>
        <w:rPr>
          <w:rFonts w:ascii="Cambria" w:hAnsi="Cambria"/>
          <w:sz w:val="20"/>
          <w:szCs w:val="20"/>
        </w:rPr>
        <w:t>,</w:t>
      </w:r>
      <w:r w:rsidRPr="00F457FE">
        <w:rPr>
          <w:rFonts w:ascii="Cambria" w:hAnsi="Cambria"/>
          <w:sz w:val="20"/>
          <w:szCs w:val="20"/>
        </w:rPr>
        <w:t xml:space="preserve"> TIV</w:t>
      </w:r>
      <w:r>
        <w:rPr>
          <w:rFonts w:ascii="Cambria" w:hAnsi="Cambria"/>
          <w:sz w:val="20"/>
          <w:szCs w:val="20"/>
        </w:rPr>
        <w:t xml:space="preserve"> and HD-TF-IDA</w:t>
      </w:r>
      <w:r w:rsidRPr="00F457FE">
        <w:rPr>
          <w:rFonts w:ascii="Cambria" w:hAnsi="Cambria"/>
          <w:sz w:val="20"/>
          <w:szCs w:val="20"/>
        </w:rPr>
        <w:t xml:space="preserve"> only the LC significantly mediated the relationship between dietary tyrosine intake and BrainPAD</w:t>
      </w:r>
    </w:p>
    <w:p w14:paraId="29779BF2" w14:textId="77777777" w:rsidR="000145C1" w:rsidRDefault="000145C1" w:rsidP="000145C1">
      <w:pPr>
        <w:jc w:val="both"/>
        <w:rPr>
          <w:rFonts w:ascii="Cambria" w:hAnsi="Cambria"/>
          <w:sz w:val="20"/>
          <w:szCs w:val="20"/>
        </w:rPr>
      </w:pPr>
    </w:p>
    <w:p w14:paraId="6CA664A9" w14:textId="77777777" w:rsidR="000145C1" w:rsidRDefault="000145C1" w:rsidP="000145C1">
      <w:pPr>
        <w:jc w:val="both"/>
        <w:rPr>
          <w:rFonts w:ascii="Cambria" w:hAnsi="Cambria"/>
          <w:sz w:val="20"/>
          <w:szCs w:val="20"/>
        </w:rPr>
      </w:pPr>
    </w:p>
    <w:p w14:paraId="467087C1" w14:textId="77777777" w:rsidR="000145C1" w:rsidRDefault="000145C1" w:rsidP="000145C1">
      <w:pPr>
        <w:jc w:val="center"/>
        <w:rPr>
          <w:rFonts w:ascii="Cambria" w:hAnsi="Cambria"/>
          <w:sz w:val="20"/>
          <w:szCs w:val="20"/>
        </w:rPr>
      </w:pPr>
      <w:r w:rsidRPr="000E0199">
        <w:rPr>
          <w:rFonts w:ascii="Cambria" w:hAnsi="Cambria"/>
          <w:noProof/>
          <w:sz w:val="20"/>
          <w:szCs w:val="20"/>
        </w:rPr>
        <w:drawing>
          <wp:inline distT="0" distB="0" distL="0" distR="0" wp14:anchorId="6B46B731" wp14:editId="12EEC632">
            <wp:extent cx="5064760" cy="3892062"/>
            <wp:effectExtent l="0" t="0" r="2540" b="0"/>
            <wp:docPr id="10" name="Picture 8">
              <a:extLst xmlns:a="http://schemas.openxmlformats.org/drawingml/2006/main">
                <a:ext uri="{FF2B5EF4-FFF2-40B4-BE49-F238E27FC236}">
                  <a16:creationId xmlns:a16="http://schemas.microsoft.com/office/drawing/2014/main" id="{9FA9569C-9B54-D44E-9170-D24A42CE88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9FA9569C-9B54-D44E-9170-D24A42CE888F}"/>
                        </a:ext>
                      </a:extLst>
                    </pic:cNvPr>
                    <pic:cNvPicPr>
                      <a:picLocks noChangeAspect="1"/>
                    </pic:cNvPicPr>
                  </pic:nvPicPr>
                  <pic:blipFill rotWithShape="1">
                    <a:blip r:embed="rId9"/>
                    <a:srcRect b="4556"/>
                    <a:stretch/>
                  </pic:blipFill>
                  <pic:spPr bwMode="auto">
                    <a:xfrm>
                      <a:off x="0" y="0"/>
                      <a:ext cx="5069696" cy="3895855"/>
                    </a:xfrm>
                    <a:prstGeom prst="rect">
                      <a:avLst/>
                    </a:prstGeom>
                    <a:ln>
                      <a:noFill/>
                    </a:ln>
                    <a:extLst>
                      <a:ext uri="{53640926-AAD7-44D8-BBD7-CCE9431645EC}">
                        <a14:shadowObscured xmlns:a14="http://schemas.microsoft.com/office/drawing/2010/main"/>
                      </a:ext>
                    </a:extLst>
                  </pic:spPr>
                </pic:pic>
              </a:graphicData>
            </a:graphic>
          </wp:inline>
        </w:drawing>
      </w:r>
    </w:p>
    <w:p w14:paraId="3CFA24FF" w14:textId="77777777" w:rsidR="000145C1" w:rsidRDefault="000145C1"/>
    <w:sectPr w:rsidR="000145C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5C1"/>
    <w:rsid w:val="000145C1"/>
    <w:rsid w:val="003F1652"/>
    <w:rsid w:val="00554BD7"/>
    <w:rsid w:val="0056160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BC9B1"/>
  <w15:chartTrackingRefBased/>
  <w15:docId w15:val="{36A92066-DAEF-491E-86DE-D6CEF40C8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5C1"/>
    <w:pPr>
      <w:spacing w:after="0" w:line="240" w:lineRule="auto"/>
    </w:pPr>
    <w:rPr>
      <w:rFonts w:ascii="Times New Roman" w:eastAsia="Times New Roman" w:hAnsi="Times New Roman" w:cs="Times New Roman"/>
      <w:sz w:val="24"/>
      <w:szCs w:val="24"/>
      <w:lang w:val="en-IE"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304</Words>
  <Characters>1737</Characters>
  <Application>Microsoft Office Word</Application>
  <DocSecurity>0</DocSecurity>
  <Lines>14</Lines>
  <Paragraphs>4</Paragraphs>
  <ScaleCrop>false</ScaleCrop>
  <Company>Springer Nature</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3</cp:revision>
  <dcterms:created xsi:type="dcterms:W3CDTF">2023-07-21T18:43:00Z</dcterms:created>
  <dcterms:modified xsi:type="dcterms:W3CDTF">2023-07-21T18:46:00Z</dcterms:modified>
</cp:coreProperties>
</file>