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1DB5B1" w14:textId="77777777" w:rsidR="00D44452" w:rsidRPr="00544695" w:rsidRDefault="00D44452" w:rsidP="00D44452">
      <w:bookmarkStart w:id="0" w:name="_Toc25717563"/>
      <w:bookmarkStart w:id="1" w:name="_Toc35478715"/>
      <w:r w:rsidRPr="00CD7467">
        <w:rPr>
          <w:rFonts w:ascii="Times New Roman" w:eastAsiaTheme="majorEastAsia" w:hAnsi="Times New Roman" w:cs="Times New Roman"/>
          <w:sz w:val="24"/>
          <w:szCs w:val="24"/>
        </w:rPr>
        <w:t>Study sampling and data source</w:t>
      </w:r>
      <w:bookmarkEnd w:id="0"/>
      <w:bookmarkEnd w:id="1"/>
    </w:p>
    <w:p w14:paraId="40D02244" w14:textId="77777777" w:rsidR="00D44452"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This research u</w:t>
      </w:r>
      <w:r>
        <w:rPr>
          <w:rFonts w:ascii="Times New Roman" w:hAnsi="Times New Roman" w:cs="Times New Roman"/>
          <w:sz w:val="24"/>
          <w:szCs w:val="24"/>
        </w:rPr>
        <w:t>sed</w:t>
      </w:r>
      <w:r w:rsidRPr="00544695">
        <w:rPr>
          <w:rFonts w:ascii="Times New Roman" w:hAnsi="Times New Roman" w:cs="Times New Roman"/>
          <w:sz w:val="24"/>
          <w:szCs w:val="24"/>
        </w:rPr>
        <w:t xml:space="preserve"> the 2014 Ghana Demographic and Health Survey (GDHS) dataset. As describe</w:t>
      </w:r>
      <w:r>
        <w:rPr>
          <w:rFonts w:ascii="Times New Roman" w:hAnsi="Times New Roman" w:cs="Times New Roman"/>
          <w:sz w:val="24"/>
          <w:szCs w:val="24"/>
        </w:rPr>
        <w:t>d</w:t>
      </w:r>
      <w:r w:rsidRPr="00544695">
        <w:rPr>
          <w:rFonts w:ascii="Times New Roman" w:hAnsi="Times New Roman" w:cs="Times New Roman"/>
          <w:sz w:val="24"/>
          <w:szCs w:val="24"/>
        </w:rPr>
        <w:t xml:space="preserve"> by Ghana Statistical Service (GSS)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&lt;EndNote&gt;&lt;Cite&gt;&lt;Author&gt;GSS&lt;/Author&gt;&lt;Year&gt;2015&lt;/Year&gt;&lt;RecNum&gt;91&lt;/RecNum&gt;&lt;DisplayText&gt;[7]&lt;/DisplayText&gt;&lt;record&gt;&lt;rec-number&gt;91&lt;/rec-number&gt;&lt;foreign-keys&gt;&lt;key app="EN" db-id="zdefw9a9xs00rperzxjxxe5pxedfe9zwepvw" timestamp="1500569328"&gt;91&lt;/key&gt;&lt;/foreign-keys&gt;&lt;ref-type name="Report"&gt;27&lt;/ref-type&gt;&lt;contributors&gt;&lt;authors&gt;&lt;author&gt;GSS&lt;/author&gt;&lt;/authors&gt;&lt;/contributors&gt;&lt;titles&gt;&lt;title&gt;Ghana Demographic and Health Survey 2014&lt;/title&gt;&lt;/titles&gt;&lt;dates&gt;&lt;year&gt;2015&lt;/year&gt;&lt;/dates&gt;&lt;publisher&gt;Ghana Statistical Service (GSS), Ghana Health Service (GHS), and ICF International&lt;/publisher&gt;&lt;urls&gt;&lt;/urls&gt;&lt;/record&gt;&lt;/Cite&gt;&lt;/EndNote&gt;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7" w:tooltip="GSS, 2015 #91" w:history="1">
        <w:r>
          <w:rPr>
            <w:rFonts w:ascii="Times New Roman" w:hAnsi="Times New Roman" w:cs="Times New Roman"/>
            <w:noProof/>
            <w:sz w:val="24"/>
            <w:szCs w:val="24"/>
          </w:rPr>
          <w:t>7</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w:t>
      </w:r>
      <w:r>
        <w:rPr>
          <w:rFonts w:ascii="Times New Roman" w:hAnsi="Times New Roman" w:cs="Times New Roman"/>
          <w:sz w:val="24"/>
          <w:szCs w:val="24"/>
        </w:rPr>
        <w:t>the</w:t>
      </w:r>
      <w:r w:rsidRPr="00544695">
        <w:rPr>
          <w:rFonts w:ascii="Times New Roman" w:hAnsi="Times New Roman" w:cs="Times New Roman"/>
          <w:sz w:val="24"/>
          <w:szCs w:val="24"/>
        </w:rPr>
        <w:t xml:space="preserve"> participants </w:t>
      </w:r>
      <w:r>
        <w:rPr>
          <w:rFonts w:ascii="Times New Roman" w:hAnsi="Times New Roman" w:cs="Times New Roman"/>
          <w:sz w:val="24"/>
          <w:szCs w:val="24"/>
        </w:rPr>
        <w:t xml:space="preserve">of this survey </w:t>
      </w:r>
      <w:r w:rsidRPr="00544695">
        <w:rPr>
          <w:rFonts w:ascii="Times New Roman" w:hAnsi="Times New Roman" w:cs="Times New Roman"/>
          <w:sz w:val="24"/>
          <w:szCs w:val="24"/>
        </w:rPr>
        <w:t xml:space="preserve">were </w:t>
      </w:r>
      <w:r>
        <w:rPr>
          <w:rFonts w:ascii="Times New Roman" w:hAnsi="Times New Roman" w:cs="Times New Roman"/>
          <w:sz w:val="24"/>
          <w:szCs w:val="24"/>
        </w:rPr>
        <w:t>sampled</w:t>
      </w:r>
      <w:r w:rsidRPr="00544695">
        <w:rPr>
          <w:rFonts w:ascii="Times New Roman" w:hAnsi="Times New Roman" w:cs="Times New Roman"/>
          <w:sz w:val="24"/>
          <w:szCs w:val="24"/>
        </w:rPr>
        <w:t xml:space="preserve"> nationwide from 427 clusters (hereinafter community) using a two-stage sampling technique. Overall,  9,396 women aged 15-49 years were chosen and interviewed after consenting to participate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&lt;EndNote&gt;&lt;Cite&gt;&lt;Author&gt;GSS&lt;/Author&gt;&lt;Year&gt;2015&lt;/Year&gt;&lt;RecNum&gt;91&lt;/RecNum&gt;&lt;DisplayText&gt;[7]&lt;/DisplayText&gt;&lt;record&gt;&lt;rec-number&gt;91&lt;/rec-number&gt;&lt;foreign-keys&gt;&lt;key app="EN" db-id="zdefw9a9xs00rperzxjxxe5pxedfe9zwepvw" timestamp="1500569328"&gt;91&lt;/key&gt;&lt;/foreign-keys&gt;&lt;ref-type name="Report"&gt;27&lt;/ref-type&gt;&lt;contributors&gt;&lt;authors&gt;&lt;author&gt;GSS&lt;/author&gt;&lt;/authors&gt;&lt;/contributors&gt;&lt;titles&gt;&lt;title&gt;Ghana Demographic and Health Survey 2014&lt;/title&gt;&lt;/titles&gt;&lt;dates&gt;&lt;year&gt;2015&lt;/year&gt;&lt;/dates&gt;&lt;publisher&gt;Ghana Statistical Service (GSS), Ghana Health Service (GHS), and ICF International&lt;/publisher&gt;&lt;urls&gt;&lt;/urls&gt;&lt;/record&gt;&lt;/Cite&gt;&lt;/EndNote&gt;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7" w:tooltip="GSS, 2015 #91" w:history="1">
        <w:r>
          <w:rPr>
            <w:rFonts w:ascii="Times New Roman" w:hAnsi="Times New Roman" w:cs="Times New Roman"/>
            <w:noProof/>
            <w:sz w:val="24"/>
            <w:szCs w:val="24"/>
          </w:rPr>
          <w:t>7</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The 2014 GDHS response rate was 97 percent. Th</w:t>
      </w:r>
      <w:r>
        <w:rPr>
          <w:rFonts w:ascii="Times New Roman" w:hAnsi="Times New Roman" w:cs="Times New Roman"/>
          <w:sz w:val="24"/>
          <w:szCs w:val="24"/>
        </w:rPr>
        <w:t>is</w:t>
      </w:r>
      <w:r w:rsidRPr="00544695">
        <w:rPr>
          <w:rFonts w:ascii="Times New Roman" w:hAnsi="Times New Roman" w:cs="Times New Roman"/>
          <w:sz w:val="24"/>
          <w:szCs w:val="24"/>
        </w:rPr>
        <w:t xml:space="preserve"> nationwide survey captured information including women’s reproductive health, health-seeking behavior, socioeconomic, and demographic background as well as geo-reference data.  The Global Positioning System (GPS) data were collected for all the 427 communities in Ghana. Out of the interviewed women, 4292 </w:t>
      </w:r>
      <w:r>
        <w:rPr>
          <w:rFonts w:ascii="Times New Roman" w:hAnsi="Times New Roman" w:cs="Times New Roman"/>
          <w:sz w:val="24"/>
          <w:szCs w:val="24"/>
        </w:rPr>
        <w:t>gave birth</w:t>
      </w:r>
      <w:r w:rsidRPr="00544695">
        <w:rPr>
          <w:rFonts w:ascii="Times New Roman" w:hAnsi="Times New Roman" w:cs="Times New Roman"/>
          <w:sz w:val="24"/>
          <w:szCs w:val="24"/>
        </w:rPr>
        <w:t xml:space="preserve"> in the previous 5 years before the survey and responded to the interview question about whether they received skilled care after delivery (Figure</w:t>
      </w:r>
      <w:r>
        <w:rPr>
          <w:rFonts w:ascii="Times New Roman" w:hAnsi="Times New Roman" w:cs="Times New Roman"/>
          <w:sz w:val="24"/>
          <w:szCs w:val="24"/>
        </w:rPr>
        <w:t xml:space="preserve"> </w:t>
      </w:r>
      <w:r w:rsidRPr="00544695">
        <w:rPr>
          <w:rFonts w:ascii="Times New Roman" w:hAnsi="Times New Roman" w:cs="Times New Roman"/>
          <w:sz w:val="24"/>
          <w:szCs w:val="24"/>
        </w:rPr>
        <w:t>2)</w:t>
      </w:r>
      <w:r>
        <w:rPr>
          <w:rFonts w:ascii="Times New Roman" w:hAnsi="Times New Roman" w:cs="Times New Roman"/>
          <w:sz w:val="24"/>
          <w:szCs w:val="24"/>
        </w:rPr>
        <w:t>, which constituted the study sample for this study.</w:t>
      </w:r>
      <w:r w:rsidRPr="00544695">
        <w:rPr>
          <w:rFonts w:ascii="Times New Roman" w:hAnsi="Times New Roman" w:cs="Times New Roman"/>
          <w:sz w:val="24"/>
          <w:szCs w:val="24"/>
        </w:rPr>
        <w:t xml:space="preserve"> Detailed information on the sampling procedure and data is published in the </w:t>
      </w:r>
      <w:r w:rsidRPr="00544695">
        <w:rPr>
          <w:rFonts w:ascii="Times New Roman" w:hAnsi="Times New Roman" w:cs="Times New Roman"/>
          <w:noProof/>
          <w:sz w:val="24"/>
          <w:szCs w:val="24"/>
        </w:rPr>
        <w:t>Ghana Demographic and Health Survey of 2014</w:t>
      </w:r>
      <w:r w:rsidRPr="00544695">
        <w:rPr>
          <w:rFonts w:ascii="Times New Roman" w:hAnsi="Times New Roman" w:cs="Times New Roman"/>
          <w:sz w:val="24"/>
          <w:szCs w:val="24"/>
        </w:rPr>
        <w:t xml:space="preserve">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&lt;EndNote&gt;&lt;Cite&gt;&lt;Author&gt;GSS&lt;/Author&gt;&lt;Year&gt;2015&lt;/Year&gt;&lt;RecNum&gt;91&lt;/RecNum&gt;&lt;DisplayText&gt;[7]&lt;/DisplayText&gt;&lt;record&gt;&lt;rec-number&gt;91&lt;/rec-number&gt;&lt;foreign-keys&gt;&lt;key app="EN" db-id="zdefw9a9xs00rperzxjxxe5pxedfe9zwepvw" timestamp="1500569328"&gt;91&lt;/key&gt;&lt;/foreign-keys&gt;&lt;ref-type name="Report"&gt;27&lt;/ref-type&gt;&lt;contributors&gt;&lt;authors&gt;&lt;author&gt;GSS&lt;/author&gt;&lt;/authors&gt;&lt;/contributors&gt;&lt;titles&gt;&lt;title&gt;Ghana Demographic and Health Survey 2014&lt;/title&gt;&lt;/titles&gt;&lt;dates&gt;&lt;year&gt;2015&lt;/year&gt;&lt;/dates&gt;&lt;publisher&gt;Ghana Statistical Service (GSS), Ghana Health Service (GHS), and ICF International&lt;/publisher&gt;&lt;urls&gt;&lt;/urls&gt;&lt;/record&gt;&lt;/Cite&gt;&lt;/EndNote&gt;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7" w:tooltip="GSS, 2015 #91" w:history="1">
        <w:r>
          <w:rPr>
            <w:rFonts w:ascii="Times New Roman" w:hAnsi="Times New Roman" w:cs="Times New Roman"/>
            <w:noProof/>
            <w:sz w:val="24"/>
            <w:szCs w:val="24"/>
          </w:rPr>
          <w:t>7</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w:t>
      </w:r>
    </w:p>
    <w:p w14:paraId="0BBF51D0" w14:textId="77777777" w:rsidR="00D44452" w:rsidRPr="00544695" w:rsidRDefault="00D44452" w:rsidP="00D44452">
      <w:pPr>
        <w:autoSpaceDE w:val="0"/>
        <w:autoSpaceDN w:val="0"/>
        <w:adjustRightInd w:val="0"/>
        <w:spacing w:after="0" w:line="480" w:lineRule="auto"/>
        <w:rPr>
          <w:rFonts w:ascii="Times New Roman" w:hAnsi="Times New Roman" w:cs="Times New Roman"/>
          <w:b/>
          <w:sz w:val="24"/>
          <w:szCs w:val="24"/>
        </w:rPr>
      </w:pPr>
    </w:p>
    <w:p w14:paraId="45B25A80" w14:textId="77777777" w:rsidR="00D44452" w:rsidRPr="00C922B6" w:rsidRDefault="00D44452" w:rsidP="00D44452">
      <w:pPr>
        <w:keepNext/>
        <w:keepLines/>
        <w:spacing w:before="40" w:after="0"/>
        <w:outlineLvl w:val="2"/>
        <w:rPr>
          <w:rFonts w:ascii="Times New Roman" w:eastAsiaTheme="majorEastAsia" w:hAnsi="Times New Roman" w:cs="Times New Roman"/>
          <w:sz w:val="24"/>
          <w:szCs w:val="24"/>
        </w:rPr>
      </w:pPr>
      <w:bookmarkStart w:id="2" w:name="_Toc25717564"/>
      <w:bookmarkStart w:id="3" w:name="_Toc35478716"/>
      <w:r w:rsidRPr="00C922B6">
        <w:rPr>
          <w:rFonts w:ascii="Times New Roman" w:eastAsiaTheme="majorEastAsia" w:hAnsi="Times New Roman" w:cs="Times New Roman"/>
          <w:sz w:val="24"/>
          <w:szCs w:val="24"/>
        </w:rPr>
        <w:t>Study factors</w:t>
      </w:r>
      <w:bookmarkEnd w:id="2"/>
      <w:bookmarkEnd w:id="3"/>
    </w:p>
    <w:p w14:paraId="6646B458" w14:textId="77777777" w:rsidR="00D44452" w:rsidRPr="00544695" w:rsidRDefault="00D44452" w:rsidP="00D44452"/>
    <w:p w14:paraId="418177A0"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The dependent variable was whether the mother received PNC services from a health care provider after delivery or not. The outcome measure was coded ‘yes or no’ depending on the response to the questionnaire. The questions in the survey regarding PNC services were restricted to last delivery in the past five years hitherto the 2014 GDHS to limit recall bias. The coding structure for the outcome variable has been detailed in Table</w:t>
      </w:r>
      <w:r>
        <w:rPr>
          <w:rFonts w:ascii="Times New Roman" w:hAnsi="Times New Roman" w:cs="Times New Roman"/>
          <w:sz w:val="24"/>
          <w:szCs w:val="24"/>
        </w:rPr>
        <w:t xml:space="preserve"> </w:t>
      </w:r>
      <w:r w:rsidRPr="00544695">
        <w:rPr>
          <w:rFonts w:ascii="Times New Roman" w:hAnsi="Times New Roman" w:cs="Times New Roman"/>
          <w:sz w:val="24"/>
          <w:szCs w:val="24"/>
        </w:rPr>
        <w:t>1.</w:t>
      </w:r>
    </w:p>
    <w:p w14:paraId="1ED6FEEF" w14:textId="77777777" w:rsidR="00D44452" w:rsidRPr="00544695" w:rsidRDefault="00D44452" w:rsidP="00D44452">
      <w:pPr>
        <w:autoSpaceDE w:val="0"/>
        <w:autoSpaceDN w:val="0"/>
        <w:adjustRightInd w:val="0"/>
        <w:spacing w:after="0" w:line="480" w:lineRule="auto"/>
        <w:ind w:firstLine="720"/>
        <w:rPr>
          <w:rFonts w:ascii="Times New Roman" w:eastAsia="Times New Roman" w:hAnsi="Times New Roman" w:cs="Times New Roman"/>
          <w:sz w:val="24"/>
          <w:szCs w:val="24"/>
          <w:lang w:val="en-GB" w:eastAsia="en-GB"/>
        </w:rPr>
      </w:pPr>
      <w:r w:rsidRPr="00544695">
        <w:rPr>
          <w:rFonts w:ascii="Times New Roman" w:hAnsi="Times New Roman" w:cs="Times New Roman"/>
          <w:sz w:val="24"/>
          <w:szCs w:val="24"/>
        </w:rPr>
        <w:t xml:space="preserve">The community-level and individual-level factors employed in this study were chosen using the Andersen health utilization model as displayed in Figure 3. </w:t>
      </w:r>
      <w:r>
        <w:rPr>
          <w:rFonts w:ascii="Times New Roman" w:hAnsi="Times New Roman" w:cs="Times New Roman"/>
          <w:sz w:val="24"/>
          <w:szCs w:val="24"/>
        </w:rPr>
        <w:t xml:space="preserve">Community-level factors describe the characteristics of the community while the individual-level factors focus on </w:t>
      </w:r>
      <w:r>
        <w:rPr>
          <w:rFonts w:ascii="Times New Roman" w:hAnsi="Times New Roman" w:cs="Times New Roman"/>
          <w:sz w:val="24"/>
          <w:szCs w:val="24"/>
        </w:rPr>
        <w:lastRenderedPageBreak/>
        <w:t xml:space="preserve">women’s attributes. </w:t>
      </w:r>
      <w:r w:rsidRPr="00544695">
        <w:rPr>
          <w:rFonts w:ascii="Times New Roman" w:hAnsi="Times New Roman" w:cs="Times New Roman"/>
          <w:sz w:val="24"/>
          <w:szCs w:val="24"/>
        </w:rPr>
        <w:t xml:space="preserve">Andersen’s behavioral model highlights the health system and community characteristics as well as predisposing and enabling factors as facilitating and inhibitory factors for health care utilization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&lt;EndNote&gt;&lt;Cite&gt;&lt;Author&gt;Andersen&lt;/Author&gt;&lt;Year&gt;1973&lt;/Year&gt;&lt;RecNum&gt;205&lt;/RecNum&gt;&lt;DisplayText&gt;[31, 32]&lt;/DisplayText&gt;&lt;record&gt;&lt;rec-number&gt;205&lt;/rec-number&gt;&lt;foreign-keys&gt;&lt;key app="EN" db-id="zdefw9a9xs00rperzxjxxe5pxedfe9zwepvw" timestamp="1550088697"&gt;205&lt;/key&gt;&lt;/foreign-keys&gt;&lt;ref-type name="Journal Article"&gt;17&lt;/ref-type&gt;&lt;contributors&gt;&lt;authors&gt;&lt;author&gt;Andersen, Ronald&lt;/author&gt;&lt;author&gt;Newman, John F&lt;/author&gt;&lt;/authors&gt;&lt;/contributors&gt;&lt;titles&gt;&lt;title&gt;Societal and individual determinants of medical care utilization in the United States&lt;/title&gt;&lt;secondary-title&gt;The Milbank Memorial Fund Quarterly. Health and Society&lt;/secondary-title&gt;&lt;/titles&gt;&lt;periodical&gt;&lt;full-title&gt;The Milbank Memorial Fund Quarterly. Health and Society&lt;/full-title&gt;&lt;/periodical&gt;&lt;pages&gt;95-124&lt;/pages&gt;&lt;dates&gt;&lt;year&gt;1973&lt;/year&gt;&lt;/dates&gt;&lt;isbn&gt;0160-1997&lt;/isbn&gt;&lt;urls&gt;&lt;/urls&gt;&lt;/record&gt;&lt;/Cite&gt;&lt;Cite&gt;&lt;Author&gt;Andersen&lt;/Author&gt;&lt;Year&gt;1995&lt;/Year&gt;&lt;RecNum&gt;142&lt;/RecNum&gt;&lt;record&gt;&lt;rec-number&gt;142&lt;/rec-number&gt;&lt;foreign-keys&gt;&lt;key app="EN" db-id="zdefw9a9xs00rperzxjxxe5pxedfe9zwepvw" timestamp="1544130096"&gt;142&lt;/key&gt;&lt;/foreign-keys&gt;&lt;ref-type name="Journal Article"&gt;17&lt;/ref-type&gt;&lt;contributors&gt;&lt;authors&gt;&lt;author&gt;Andersen, Ronald M&lt;/author&gt;&lt;/authors&gt;&lt;/contributors&gt;&lt;titles&gt;&lt;title&gt;Revisiting the behavioral model and access to medical care: does it matter?&lt;/title&gt;&lt;secondary-title&gt;Journal of health and social behavior&lt;/secondary-title&gt;&lt;/titles&gt;&lt;periodical&gt;&lt;full-title&gt;Journal of health and social behavior&lt;/full-title&gt;&lt;/periodical&gt;&lt;pages&gt;1-10&lt;/pages&gt;&lt;dates&gt;&lt;year&gt;1995&lt;/year&gt;&lt;/dates&gt;&lt;isbn&gt;0022-1465&lt;/isbn&gt;&lt;urls&gt;&lt;/urls&gt;&lt;/record&gt;&lt;/Cite&gt;&lt;/EndNote&gt;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1" w:tooltip="Andersen, 1973 #205" w:history="1">
        <w:r>
          <w:rPr>
            <w:rFonts w:ascii="Times New Roman" w:hAnsi="Times New Roman" w:cs="Times New Roman"/>
            <w:noProof/>
            <w:sz w:val="24"/>
            <w:szCs w:val="24"/>
          </w:rPr>
          <w:t>31</w:t>
        </w:r>
      </w:hyperlink>
      <w:r>
        <w:rPr>
          <w:rFonts w:ascii="Times New Roman" w:hAnsi="Times New Roman" w:cs="Times New Roman"/>
          <w:noProof/>
          <w:sz w:val="24"/>
          <w:szCs w:val="24"/>
        </w:rPr>
        <w:t xml:space="preserve">, </w:t>
      </w:r>
      <w:hyperlink w:anchor="_ENREF_32" w:tooltip="Andersen, 1995 #142" w:history="1">
        <w:r>
          <w:rPr>
            <w:rFonts w:ascii="Times New Roman" w:hAnsi="Times New Roman" w:cs="Times New Roman"/>
            <w:noProof/>
            <w:sz w:val="24"/>
            <w:szCs w:val="24"/>
          </w:rPr>
          <w:t>32</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w:t>
      </w:r>
    </w:p>
    <w:p w14:paraId="38FEC714"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According to the 2014 GDHS, information about </w:t>
      </w:r>
      <w:r w:rsidRPr="00544695">
        <w:rPr>
          <w:rFonts w:ascii="Times New Roman" w:hAnsi="Times New Roman" w:cs="Times New Roman"/>
          <w:sz w:val="24"/>
          <w:szCs w:val="24"/>
        </w:rPr>
        <w:t>the usual community the women lived in, whether rural or urban</w:t>
      </w:r>
      <w:r>
        <w:rPr>
          <w:rFonts w:ascii="Times New Roman" w:hAnsi="Times New Roman" w:cs="Times New Roman"/>
          <w:sz w:val="24"/>
          <w:szCs w:val="24"/>
        </w:rPr>
        <w:t xml:space="preserve"> was captured and was termed as area of residence in this study</w:t>
      </w:r>
      <w:r w:rsidRPr="00544695">
        <w:rPr>
          <w:rFonts w:ascii="Times New Roman" w:hAnsi="Times New Roman" w:cs="Times New Roman"/>
          <w:sz w:val="24"/>
          <w:szCs w:val="24"/>
        </w:rPr>
        <w:t xml:space="preserve">. </w:t>
      </w:r>
      <w:r>
        <w:rPr>
          <w:rFonts w:ascii="Times New Roman" w:hAnsi="Times New Roman" w:cs="Times New Roman"/>
          <w:sz w:val="24"/>
          <w:szCs w:val="24"/>
        </w:rPr>
        <w:t xml:space="preserve">Also, the 2014 </w:t>
      </w:r>
      <w:proofErr w:type="gramStart"/>
      <w:r>
        <w:rPr>
          <w:rFonts w:ascii="Times New Roman" w:hAnsi="Times New Roman" w:cs="Times New Roman"/>
          <w:sz w:val="24"/>
          <w:szCs w:val="24"/>
        </w:rPr>
        <w:t>GDHS  collected</w:t>
      </w:r>
      <w:proofErr w:type="gramEnd"/>
      <w:r>
        <w:rPr>
          <w:rFonts w:ascii="Times New Roman" w:hAnsi="Times New Roman" w:cs="Times New Roman"/>
          <w:sz w:val="24"/>
          <w:szCs w:val="24"/>
        </w:rPr>
        <w:t xml:space="preserve"> information  about </w:t>
      </w:r>
      <w:r w:rsidRPr="00544695">
        <w:rPr>
          <w:rFonts w:ascii="Times New Roman" w:hAnsi="Times New Roman" w:cs="Times New Roman"/>
          <w:sz w:val="24"/>
          <w:szCs w:val="24"/>
        </w:rPr>
        <w:t>whether women had an issue with distance to a health facility when seeking medical attention</w:t>
      </w:r>
      <w:r>
        <w:rPr>
          <w:rFonts w:ascii="Times New Roman" w:hAnsi="Times New Roman" w:cs="Times New Roman"/>
          <w:sz w:val="24"/>
          <w:szCs w:val="24"/>
        </w:rPr>
        <w:t xml:space="preserve"> and was referred hereinafter in this study as community-level problem with distance to a health facility</w:t>
      </w:r>
      <w:r w:rsidRPr="00544695">
        <w:rPr>
          <w:rFonts w:ascii="Times New Roman" w:hAnsi="Times New Roman" w:cs="Times New Roman"/>
          <w:sz w:val="24"/>
          <w:szCs w:val="24"/>
        </w:rPr>
        <w:t>. This variable was used as a proxy to measure the effect of proximity to a health facility on the dependent variable. The survey created two dummy variables for distance to health facility: a big problem and not a big problem.</w:t>
      </w:r>
      <w:r w:rsidRPr="00544695">
        <w:rPr>
          <w:rFonts w:ascii="Times New Roman" w:hAnsi="Times New Roman" w:cs="Times New Roman"/>
          <w:strike/>
          <w:sz w:val="24"/>
          <w:szCs w:val="24"/>
        </w:rPr>
        <w:t xml:space="preserve"> </w:t>
      </w:r>
    </w:p>
    <w:p w14:paraId="21282335"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trike/>
          <w:sz w:val="24"/>
          <w:szCs w:val="24"/>
        </w:rPr>
      </w:pPr>
      <w:r w:rsidRPr="00544695">
        <w:rPr>
          <w:rFonts w:ascii="Times New Roman" w:hAnsi="Times New Roman" w:cs="Times New Roman"/>
          <w:sz w:val="24"/>
          <w:szCs w:val="24"/>
        </w:rPr>
        <w:t xml:space="preserve">On the other hand, the community poverty level was categorized into two groups as reported in a similar study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&lt;EndNote&gt;&lt;Cite&gt;&lt;Author&gt;Huda&lt;/Author&gt;&lt;Year&gt;2019&lt;/Year&gt;&lt;RecNum&gt;480&lt;/RecNum&gt;&lt;DisplayText&gt;[33]&lt;/DisplayText&gt;&lt;record&gt;&lt;rec-number&gt;480&lt;/rec-number&gt;&lt;foreign-keys&gt;&lt;key app="EN" db-id="zdefw9a9xs00rperzxjxxe5pxedfe9zwepvw" timestamp="1573848999"&gt;480&lt;/key&gt;&lt;/foreign-keys&gt;&lt;ref-type name="Journal Article"&gt;17&lt;/ref-type&gt;&lt;contributors&gt;&lt;authors&gt;&lt;author&gt;Huda, Tanvir M&lt;/author&gt;&lt;author&gt;Chowdhury, Morseda&lt;/author&gt;&lt;author&gt;El Arifeen, Shams&lt;/author&gt;&lt;author&gt;Dibley, Michael J&lt;/author&gt;&lt;/authors&gt;&lt;/contributors&gt;&lt;titles&gt;&lt;title&gt;Individual and community level factors associated with health facility delivery: A cross sectional multilevel analysis in Bangladesh&lt;/title&gt;&lt;secondary-title&gt;PloS one&lt;/secondary-title&gt;&lt;/titles&gt;&lt;periodical&gt;&lt;full-title&gt;PLoS One&lt;/full-title&gt;&lt;/periodical&gt;&lt;pages&gt;e0211113&lt;/pages&gt;&lt;volume&gt;14&lt;/volume&gt;&lt;number&gt;2&lt;/number&gt;&lt;dates&gt;&lt;year&gt;2019&lt;/year&gt;&lt;/dates&gt;&lt;isbn&gt;1932-6203&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3" w:tooltip="Huda, 2019 #480" w:history="1">
        <w:r>
          <w:rPr>
            <w:rFonts w:ascii="Times New Roman" w:hAnsi="Times New Roman" w:cs="Times New Roman"/>
            <w:noProof/>
            <w:sz w:val="24"/>
            <w:szCs w:val="24"/>
          </w:rPr>
          <w:t>33</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The community poverty level variable was created from the wealth index in the survey data. The GDHS wealth index was made from information on possession of household assets and dwelling factors including means of transport, refrigerator, toilet facilities among others [24]. The survey employed Principal component analysis to create wealth index [24] that was categorized into quintiles: poorest, poorer, middle, </w:t>
      </w:r>
      <w:proofErr w:type="gramStart"/>
      <w:r w:rsidRPr="00544695">
        <w:rPr>
          <w:rFonts w:ascii="Times New Roman" w:hAnsi="Times New Roman" w:cs="Times New Roman"/>
          <w:sz w:val="24"/>
          <w:szCs w:val="24"/>
        </w:rPr>
        <w:t>richer</w:t>
      </w:r>
      <w:proofErr w:type="gramEnd"/>
      <w:r w:rsidRPr="00544695">
        <w:rPr>
          <w:rFonts w:ascii="Times New Roman" w:hAnsi="Times New Roman" w:cs="Times New Roman"/>
          <w:sz w:val="24"/>
          <w:szCs w:val="24"/>
        </w:rPr>
        <w:t xml:space="preserve"> and richest. In this study, the poorest and poorer groups were merged to represent the poor category. The percentage of women who were poor per community was estimated.  Community’s level of poverty was coded as high ‘1’ when above 50</w:t>
      </w:r>
      <w:proofErr w:type="gramStart"/>
      <w:r w:rsidRPr="00544695">
        <w:rPr>
          <w:rFonts w:ascii="Times New Roman" w:hAnsi="Times New Roman" w:cs="Times New Roman"/>
          <w:sz w:val="24"/>
          <w:szCs w:val="24"/>
        </w:rPr>
        <w:t>%  otherwise</w:t>
      </w:r>
      <w:proofErr w:type="gramEnd"/>
      <w:r w:rsidRPr="00544695">
        <w:rPr>
          <w:rFonts w:ascii="Times New Roman" w:hAnsi="Times New Roman" w:cs="Times New Roman"/>
          <w:sz w:val="24"/>
          <w:szCs w:val="24"/>
        </w:rPr>
        <w:t xml:space="preserve"> was coded low ‘0’ (Table 1). </w:t>
      </w:r>
    </w:p>
    <w:p w14:paraId="1BDB7309"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 xml:space="preserve">The community level of education was generated from women’s responses to the question “highest education attended” in the survey. The survey data categorized the highest education attended into 4 groups namely no education, primary (1-6 years), Secondary (7-12 years) and higher. For this study, the higher education attended variable was created by </w:t>
      </w:r>
      <w:r w:rsidRPr="00544695">
        <w:rPr>
          <w:rFonts w:ascii="Times New Roman" w:hAnsi="Times New Roman" w:cs="Times New Roman"/>
          <w:sz w:val="24"/>
          <w:szCs w:val="24"/>
        </w:rPr>
        <w:lastRenderedPageBreak/>
        <w:t xml:space="preserve">combining secondary and higher education. The percentage of women with at least secondary education was computed for each community.  Also, the community unemployment level was generated from the responses of women on either they were working or not. The survey data created two dummy variables of employment: working ‘1’ and not working ‘0’. The percentage of unemployment per community was calculated. The study variables such as community level of education (p-value=0.67) and community unemployment level (p-value= 0.29) did not fail the linearity test and were examined as a continuous variable. The community-level factors that were analyzed to explain the discrepancies in the utilization of  PNC services include the area of </w:t>
      </w:r>
      <w:r w:rsidRPr="00FC1AC1">
        <w:rPr>
          <w:rFonts w:ascii="Times New Roman" w:hAnsi="Times New Roman" w:cs="Times New Roman"/>
          <w:sz w:val="24"/>
          <w:szCs w:val="24"/>
        </w:rPr>
        <w:t>residence, community-level problem with distance to a health facility, community poverty level, community education level, and community unemployment level.</w:t>
      </w:r>
    </w:p>
    <w:p w14:paraId="4CD8DE62"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 xml:space="preserve">Individual-level variables that were studied in this research were maternal age, marital status, religion, ethnicity, parity, education, wealth status, and employment status. As exhibited in Table 1 of this study, maternal age was examined as a continuous variable. Marital status was grouped as single, cohabitating, widow/divorced/separated and married. In terms of religion, this study classified women into traditionalist or other, Muslim, and Christian. Also, ethnicity was classified as Akan, Northern tribes, Ewe, Ga, and other groupings. For this research, the parity of the women was grouped into 1 birth, 2 births, and ≤ 3 births. Women’s highest education level was classified into no education, primary, </w:t>
      </w:r>
      <w:proofErr w:type="gramStart"/>
      <w:r w:rsidRPr="00544695">
        <w:rPr>
          <w:rFonts w:ascii="Times New Roman" w:hAnsi="Times New Roman" w:cs="Times New Roman"/>
          <w:sz w:val="24"/>
          <w:szCs w:val="24"/>
        </w:rPr>
        <w:t>secondary</w:t>
      </w:r>
      <w:proofErr w:type="gramEnd"/>
      <w:r w:rsidRPr="00544695">
        <w:rPr>
          <w:rFonts w:ascii="Times New Roman" w:hAnsi="Times New Roman" w:cs="Times New Roman"/>
          <w:sz w:val="24"/>
          <w:szCs w:val="24"/>
        </w:rPr>
        <w:t xml:space="preserve"> or higher. This study grouped women’s wealth status into poor, middle, and rich classifications. Finally, women’s employment status was grouped into not working and working.  The categorizations of the study predictors were adopted from the literature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&lt;EndNote&gt;&lt;Cite&gt;&lt;Author&gt;Dankwah&lt;/Author&gt;&lt;Year&gt;2019&lt;/Year&gt;&lt;RecNum&gt;497&lt;/RecNum&gt;&lt;DisplayText&gt;[34, 35]&lt;/DisplayText&gt;&lt;record&gt;&lt;rec-number&gt;497&lt;/rec-number&gt;&lt;foreign-keys&gt;&lt;key app="EN" db-id="zdefw9a9xs00rperzxjxxe5pxedfe9zwepvw" timestamp="1584376695"&gt;497&lt;/key&gt;&lt;/foreign-keys&gt;&lt;ref-type name="Journal Article"&gt;17&lt;/ref-type&gt;&lt;contributors&gt;&lt;authors&gt;&lt;author&gt;Dankwah, Emmanuel&lt;/author&gt;&lt;author&gt;Kirychuk, Shelley&lt;/author&gt;&lt;author&gt;Zeng, Wu&lt;/author&gt;&lt;author&gt;Feng, Cindy&lt;/author&gt;&lt;author&gt;Farag, Marwa&lt;/author&gt;&lt;/authors&gt;&lt;/contributors&gt;&lt;titles&gt;&lt;title&gt;Socioeconomic inequalities in the use of caesarean section delivery in Ghana: a cross-sectional study using nationally representative data&lt;/title&gt;&lt;secondary-title&gt;International journal for equity in health&lt;/secondary-title&gt;&lt;/titles&gt;&lt;periodical&gt;&lt;full-title&gt;International journal for equity in health&lt;/full-title&gt;&lt;/periodical&gt;&lt;pages&gt;162&lt;/pages&gt;&lt;volume&gt;18&lt;/volume&gt;&lt;number&gt;1&lt;/number&gt;&lt;dates&gt;&lt;year&gt;2019&lt;/year&gt;&lt;/dates&gt;&lt;isbn&gt;1475-9276&lt;/isbn&gt;&lt;urls&gt;&lt;/urls&gt;&lt;/record&gt;&lt;/Cite&gt;&lt;Cite&gt;&lt;Author&gt;Dankwah&lt;/Author&gt;&lt;Year&gt;2019&lt;/Year&gt;&lt;RecNum&gt;496&lt;/RecNum&gt;&lt;record&gt;&lt;rec-number&gt;496&lt;/rec-number&gt;&lt;foreign-keys&gt;&lt;key app="EN" db-id="zdefw9a9xs00rperzxjxxe5pxedfe9zwepvw" timestamp="1584376610"&gt;496&lt;/key&gt;&lt;/foreign-keys&gt;&lt;ref-type name="Journal Article"&gt;17&lt;/ref-type&gt;&lt;contributors&gt;&lt;authors&gt;&lt;author&gt;Dankwah, Emmanuel&lt;/author&gt;&lt;author&gt;Zeng, Wu&lt;/author&gt;&lt;author&gt;Feng, Cindy&lt;/author&gt;&lt;author&gt;Kirychuk, Shelley&lt;/author&gt;&lt;author&gt;Farag, Marwa&lt;/author&gt;&lt;/authors&gt;&lt;/contributors&gt;&lt;titles&gt;&lt;title&gt;The social determinants of health facility delivery in Ghana&lt;/title&gt;&lt;secondary-title&gt;Reproductive health&lt;/secondary-title&gt;&lt;/titles&gt;&lt;periodical&gt;&lt;full-title&gt;Reproductive health&lt;/full-title&gt;&lt;/periodical&gt;&lt;pages&gt;101&lt;/pages&gt;&lt;volume&gt;16&lt;/volume&gt;&lt;number&gt;1&lt;/number&gt;&lt;dates&gt;&lt;year&gt;2019&lt;/year&gt;&lt;/dates&gt;&lt;isbn&gt;1742-4755&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4" w:tooltip="Dankwah, 2019 #497" w:history="1">
        <w:r>
          <w:rPr>
            <w:rFonts w:ascii="Times New Roman" w:hAnsi="Times New Roman" w:cs="Times New Roman"/>
            <w:noProof/>
            <w:sz w:val="24"/>
            <w:szCs w:val="24"/>
          </w:rPr>
          <w:t>34</w:t>
        </w:r>
      </w:hyperlink>
      <w:r>
        <w:rPr>
          <w:rFonts w:ascii="Times New Roman" w:hAnsi="Times New Roman" w:cs="Times New Roman"/>
          <w:noProof/>
          <w:sz w:val="24"/>
          <w:szCs w:val="24"/>
        </w:rPr>
        <w:t xml:space="preserve">, </w:t>
      </w:r>
      <w:hyperlink w:anchor="_ENREF_35" w:tooltip="Dankwah, 2019 #496" w:history="1">
        <w:r>
          <w:rPr>
            <w:rFonts w:ascii="Times New Roman" w:hAnsi="Times New Roman" w:cs="Times New Roman"/>
            <w:noProof/>
            <w:sz w:val="24"/>
            <w:szCs w:val="24"/>
          </w:rPr>
          <w:t>35</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w:t>
      </w:r>
    </w:p>
    <w:p w14:paraId="36D845B2" w14:textId="77777777" w:rsidR="00D44452" w:rsidRPr="00544695" w:rsidRDefault="00D44452" w:rsidP="00D44452"/>
    <w:p w14:paraId="21F68D51" w14:textId="77777777" w:rsidR="00D44452" w:rsidRPr="00544695" w:rsidRDefault="00D44452" w:rsidP="00D44452">
      <w:pPr>
        <w:autoSpaceDE w:val="0"/>
        <w:autoSpaceDN w:val="0"/>
        <w:adjustRightInd w:val="0"/>
        <w:spacing w:after="0" w:line="480" w:lineRule="auto"/>
        <w:rPr>
          <w:rFonts w:ascii="Times New Roman" w:hAnsi="Times New Roman" w:cs="Times New Roman"/>
          <w:b/>
          <w:sz w:val="24"/>
          <w:szCs w:val="24"/>
        </w:rPr>
      </w:pPr>
      <w:r w:rsidRPr="00544695">
        <w:rPr>
          <w:rFonts w:ascii="Times New Roman" w:hAnsi="Times New Roman" w:cs="Times New Roman"/>
          <w:b/>
          <w:sz w:val="24"/>
          <w:szCs w:val="24"/>
        </w:rPr>
        <w:t>Descriptive statistics</w:t>
      </w:r>
    </w:p>
    <w:p w14:paraId="0A981321"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lastRenderedPageBreak/>
        <w:t>This research employed Chi-square tests to ascertain the differences in the distribution of women across all the categories of the explanatory variables. In this study, proportions and frequencies of postnatal care services use were tabulated according to the hypothesized socio-demographic and economic predictors for women of child-bearing age. Mean and standard deviation were used for continuous variables.</w:t>
      </w:r>
    </w:p>
    <w:p w14:paraId="07227D08" w14:textId="77777777" w:rsidR="00D44452" w:rsidRPr="00544695" w:rsidRDefault="00D44452" w:rsidP="00D44452">
      <w:pPr>
        <w:keepNext/>
        <w:keepLines/>
        <w:spacing w:before="40" w:after="0"/>
        <w:outlineLvl w:val="2"/>
        <w:rPr>
          <w:rFonts w:ascii="Times New Roman" w:eastAsiaTheme="majorEastAsia" w:hAnsi="Times New Roman" w:cs="Times New Roman"/>
          <w:b/>
          <w:bCs/>
          <w:sz w:val="24"/>
          <w:szCs w:val="24"/>
        </w:rPr>
      </w:pPr>
      <w:bookmarkStart w:id="4" w:name="_Toc25717579"/>
      <w:bookmarkStart w:id="5" w:name="_Toc35478718"/>
      <w:r w:rsidRPr="00544695">
        <w:rPr>
          <w:rFonts w:ascii="Times New Roman" w:eastAsiaTheme="majorEastAsia" w:hAnsi="Times New Roman" w:cs="Times New Roman"/>
          <w:b/>
          <w:bCs/>
          <w:sz w:val="24"/>
          <w:szCs w:val="24"/>
        </w:rPr>
        <w:t>Spatial Clustering</w:t>
      </w:r>
      <w:bookmarkEnd w:id="4"/>
      <w:bookmarkEnd w:id="5"/>
    </w:p>
    <w:p w14:paraId="51235D8B" w14:textId="77777777" w:rsidR="00D44452" w:rsidRPr="00544695" w:rsidRDefault="00D44452" w:rsidP="00D44452"/>
    <w:p w14:paraId="54C87BD4" w14:textId="77777777" w:rsidR="00D44452" w:rsidRPr="00544695" w:rsidRDefault="00D44452" w:rsidP="00D44452">
      <w:pPr>
        <w:spacing w:line="480" w:lineRule="auto"/>
        <w:ind w:firstLine="720"/>
        <w:rPr>
          <w:rFonts w:ascii="Times New Roman" w:hAnsi="Times New Roman" w:cs="Times New Roman"/>
          <w:b/>
          <w:sz w:val="24"/>
          <w:szCs w:val="24"/>
        </w:rPr>
      </w:pPr>
      <w:r w:rsidRPr="00544695">
        <w:rPr>
          <w:rFonts w:ascii="Times New Roman" w:hAnsi="Times New Roman" w:cs="Times New Roman"/>
          <w:sz w:val="24"/>
          <w:szCs w:val="24"/>
        </w:rPr>
        <w:t xml:space="preserve">This study hypothesized that spatial autocorrelations exist in the use of PNC services across communities. </w:t>
      </w:r>
      <w:proofErr w:type="spellStart"/>
      <w:r w:rsidRPr="00544695">
        <w:rPr>
          <w:rFonts w:ascii="Times New Roman" w:hAnsi="Times New Roman" w:cs="Times New Roman"/>
          <w:sz w:val="24"/>
          <w:szCs w:val="24"/>
        </w:rPr>
        <w:t>Kulldorff’s</w:t>
      </w:r>
      <w:proofErr w:type="spellEnd"/>
      <w:r w:rsidRPr="00544695">
        <w:rPr>
          <w:rFonts w:ascii="Times New Roman" w:hAnsi="Times New Roman" w:cs="Times New Roman"/>
          <w:sz w:val="24"/>
          <w:szCs w:val="24"/>
        </w:rPr>
        <w:t xml:space="preserve"> spatial scan statistics is a powerful tool to detect spatial autocorrelations based on geographic positioning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&lt;EndNote&gt;&lt;Cite&gt;&lt;Author&gt;Kulldorff&lt;/Author&gt;&lt;Year&gt;1995&lt;/Year&gt;&lt;RecNum&gt;294&lt;/RecNum&gt;&lt;DisplayText&gt;[36]&lt;/DisplayText&gt;&lt;record&gt;&lt;rec-number&gt;294&lt;/rec-number&gt;&lt;foreign-keys&gt;&lt;key app="EN" db-id="zdefw9a9xs00rperzxjxxe5pxedfe9zwepvw" timestamp="1560280260"&gt;294&lt;/key&gt;&lt;/foreign-keys&gt;&lt;ref-type name="Journal Article"&gt;17&lt;/ref-type&gt;&lt;contributors&gt;&lt;authors&gt;&lt;author&gt;Kulldorff, Martin&lt;/author&gt;&lt;author&gt;Nagarwalla, Neville&lt;/author&gt;&lt;/authors&gt;&lt;/contributors&gt;&lt;titles&gt;&lt;title&gt;Spatial disease clusters: detection and inference&lt;/title&gt;&lt;secondary-title&gt;Statistics in medicine&lt;/secondary-title&gt;&lt;/titles&gt;&lt;periodical&gt;&lt;full-title&gt;Statistics in medicine&lt;/full-title&gt;&lt;/periodical&gt;&lt;pages&gt;799-810&lt;/pages&gt;&lt;volume&gt;14&lt;/volume&gt;&lt;number&gt;8&lt;/number&gt;&lt;dates&gt;&lt;year&gt;1995&lt;/year&gt;&lt;/dates&gt;&lt;isbn&gt;0277-6715&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6" w:tooltip="Kulldorff, 1995 #294" w:history="1">
        <w:r>
          <w:rPr>
            <w:rFonts w:ascii="Times New Roman" w:hAnsi="Times New Roman" w:cs="Times New Roman"/>
            <w:noProof/>
            <w:sz w:val="24"/>
            <w:szCs w:val="24"/>
          </w:rPr>
          <w:t>36</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This technique was employed in this study to identify local clusters of PNC services across the communities. For analyses, this study used the GDHS spatial data that only allows a set of coordinates per community. A purely spatial analysis was conducted using a discrete binomial model to scan for communities with high rates of non-utilization of PNC services in Ghana. </w:t>
      </w:r>
      <w:proofErr w:type="spellStart"/>
      <w:r w:rsidRPr="00544695">
        <w:rPr>
          <w:rFonts w:ascii="Times New Roman" w:hAnsi="Times New Roman" w:cs="Times New Roman"/>
          <w:sz w:val="24"/>
          <w:szCs w:val="24"/>
        </w:rPr>
        <w:t>SaTScan</w:t>
      </w:r>
      <w:proofErr w:type="spellEnd"/>
      <w:r w:rsidRPr="00544695">
        <w:rPr>
          <w:rFonts w:ascii="Times New Roman" w:hAnsi="Times New Roman" w:cs="Times New Roman"/>
          <w:sz w:val="24"/>
          <w:szCs w:val="24"/>
        </w:rPr>
        <w:t xml:space="preserve"> technique used in this study hypothesized that the risk of non-use of PNC services was likely different between the inner and outer parts of a circular window. The circular- shape spatial window scan communities to identify areas with a maximum spatial cluster size of 50 percent of the population at risk. The probability model relied on Monte Carlo simulation with replication of 999 and 50 percent of the population at risk was considered the maximum size of a spatial cluster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&lt;EndNote&gt;&lt;Cite&gt;&lt;Author&gt;Kulldorff&lt;/Author&gt;&lt;Year&gt;1999&lt;/Year&gt;&lt;RecNum&gt;295&lt;/RecNum&gt;&lt;DisplayText&gt;[37]&lt;/DisplayText&gt;&lt;record&gt;&lt;rec-number&gt;295&lt;/rec-number&gt;&lt;foreign-keys&gt;&lt;key app="EN" db-id="zdefw9a9xs00rperzxjxxe5pxedfe9zwepvw" timestamp="1560280381"&gt;295&lt;/key&gt;&lt;/foreign-keys&gt;&lt;ref-type name="Journal Article"&gt;17&lt;/ref-type&gt;&lt;contributors&gt;&lt;authors&gt;&lt;author&gt;Kulldorff, Martin&lt;/author&gt;&lt;/authors&gt;&lt;/contributors&gt;&lt;titles&gt;&lt;title&gt;Geographic information systems (GIS) and community health: some statistical issues&lt;/title&gt;&lt;secondary-title&gt;Journal of Public Health Management and Practice&lt;/secondary-title&gt;&lt;/titles&gt;&lt;periodical&gt;&lt;full-title&gt;Journal of Public Health Management and Practice&lt;/full-title&gt;&lt;/periodical&gt;&lt;pages&gt;100-106&lt;/pages&gt;&lt;volume&gt;5&lt;/volume&gt;&lt;number&gt;2&lt;/number&gt;&lt;dates&gt;&lt;year&gt;1999&lt;/year&gt;&lt;/dates&gt;&lt;isbn&gt;1078-4659&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7" w:tooltip="Kulldorff, 1999 #295" w:history="1">
        <w:r>
          <w:rPr>
            <w:rFonts w:ascii="Times New Roman" w:hAnsi="Times New Roman" w:cs="Times New Roman"/>
            <w:noProof/>
            <w:sz w:val="24"/>
            <w:szCs w:val="24"/>
          </w:rPr>
          <w:t>37</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The analyses were conducted using </w:t>
      </w:r>
      <w:proofErr w:type="spellStart"/>
      <w:r w:rsidRPr="00544695">
        <w:rPr>
          <w:rFonts w:ascii="Times New Roman" w:hAnsi="Times New Roman" w:cs="Times New Roman"/>
          <w:sz w:val="24"/>
          <w:szCs w:val="24"/>
        </w:rPr>
        <w:t>SaTScan</w:t>
      </w:r>
      <w:proofErr w:type="spellEnd"/>
      <w:r w:rsidRPr="00544695">
        <w:rPr>
          <w:rFonts w:ascii="Times New Roman" w:hAnsi="Times New Roman" w:cs="Times New Roman"/>
          <w:sz w:val="24"/>
          <w:szCs w:val="24"/>
        </w:rPr>
        <w:t xml:space="preserve"> software, version 9.6.0. The outputs generated from </w:t>
      </w:r>
      <w:proofErr w:type="spellStart"/>
      <w:r w:rsidRPr="00544695">
        <w:rPr>
          <w:rFonts w:ascii="Times New Roman" w:hAnsi="Times New Roman" w:cs="Times New Roman"/>
          <w:sz w:val="24"/>
          <w:szCs w:val="24"/>
        </w:rPr>
        <w:t>SaTScan</w:t>
      </w:r>
      <w:proofErr w:type="spellEnd"/>
      <w:r w:rsidRPr="00544695">
        <w:rPr>
          <w:rFonts w:ascii="Times New Roman" w:hAnsi="Times New Roman" w:cs="Times New Roman"/>
          <w:sz w:val="24"/>
          <w:szCs w:val="24"/>
        </w:rPr>
        <w:t xml:space="preserve"> analyses were displayed on Google Maps to highlight the spatial patterns of non-use of PNC services.</w:t>
      </w:r>
    </w:p>
    <w:p w14:paraId="2A436828" w14:textId="77777777" w:rsidR="00D44452" w:rsidRPr="00544695" w:rsidRDefault="00D44452" w:rsidP="00D44452">
      <w:pPr>
        <w:autoSpaceDE w:val="0"/>
        <w:autoSpaceDN w:val="0"/>
        <w:adjustRightInd w:val="0"/>
        <w:spacing w:after="0" w:line="480" w:lineRule="auto"/>
        <w:rPr>
          <w:rFonts w:ascii="Times New Roman" w:hAnsi="Times New Roman" w:cs="Times New Roman"/>
          <w:b/>
          <w:sz w:val="24"/>
          <w:szCs w:val="24"/>
        </w:rPr>
      </w:pPr>
      <w:r w:rsidRPr="00544695">
        <w:rPr>
          <w:rFonts w:ascii="Times New Roman" w:hAnsi="Times New Roman" w:cs="Times New Roman"/>
          <w:b/>
          <w:sz w:val="24"/>
          <w:szCs w:val="24"/>
        </w:rPr>
        <w:t>Multilevel regression model</w:t>
      </w:r>
    </w:p>
    <w:p w14:paraId="76FF8ED6"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iCs/>
          <w:sz w:val="24"/>
          <w:szCs w:val="24"/>
        </w:rPr>
      </w:pPr>
      <w:r w:rsidRPr="00544695">
        <w:rPr>
          <w:rFonts w:ascii="Times New Roman" w:hAnsi="Times New Roman" w:cs="Times New Roman"/>
          <w:sz w:val="24"/>
          <w:szCs w:val="24"/>
        </w:rPr>
        <w:t xml:space="preserve">Given the sampling technique and the hierarchical nature of the weighted 2014 GDHS data, a 2-level mixed logistic regression model was specified for the dichotomous outcome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&lt;EndNote&gt;&lt;Cite&gt;&lt;Author&gt;Ononokpono&lt;/Author&gt;&lt;Year&gt;2014&lt;/Year&gt;&lt;RecNum&gt;256&lt;/RecNum&gt;&lt;DisplayText&gt;[20, 38]&lt;/DisplayText&gt;&lt;record&gt;&lt;rec-number&gt;256&lt;/rec-number&gt;&lt;foreign-keys&gt;&lt;key app="EN" db-id="zdefw9a9xs00rperzxjxxe5pxedfe9zwepvw" timestamp="1551719501"&gt;256&lt;/key&gt;&lt;/foreign-keys&gt;&lt;ref-type name="Journal Article"&gt;17&lt;/ref-type&gt;&lt;contributors&gt;&lt;authors&gt;&lt;author&gt;Ononokpono, Dorothy N&lt;/author&gt;&lt;author&gt;Odimegwu, Clifford O&lt;/author&gt;&lt;author&gt;Imasiku, Eunice NS&lt;/author&gt;&lt;author&gt;Adedini, Sunday A&lt;/author&gt;&lt;/authors&gt;&lt;/contributors&gt;&lt;titles&gt;&lt;title&gt;Does it really matter where women live? A multilevel analysis of the determinants of postnatal care in Nigeria&lt;/title&gt;&lt;secondary-title&gt;Maternal and child health journal&lt;/secondary-title&gt;&lt;/titles&gt;&lt;periodical&gt;&lt;full-title&gt;Maternal and Child Health Journal&lt;/full-title&gt;&lt;/periodical&gt;&lt;pages&gt;950-959&lt;/pages&gt;&lt;volume&gt;18&lt;/volume&gt;&lt;number&gt;4&lt;/number&gt;&lt;dates&gt;&lt;year&gt;2014&lt;/year&gt;&lt;/dates&gt;&lt;isbn&gt;1092-7875&lt;/isbn&gt;&lt;urls&gt;&lt;/urls&gt;&lt;/record&gt;&lt;/Cite&gt;&lt;Cite&gt;&lt;Author&gt;Aremu&lt;/Author&gt;&lt;Year&gt;2011&lt;/Year&gt;&lt;RecNum&gt;226&lt;/RecNum&gt;&lt;record&gt;&lt;rec-number&gt;226&lt;/rec-number&gt;&lt;foreign-keys&gt;&lt;key app="EN" db-id="zdefw9a9xs00rperzxjxxe5pxedfe9zwepvw" timestamp="1551235206"&gt;226&lt;/key&gt;&lt;/foreign-keys&gt;&lt;ref-type name="Journal Article"&gt;17&lt;/ref-type&gt;&lt;contributors&gt;&lt;authors&gt;&lt;author&gt;Aremu, Olatunde&lt;/author&gt;&lt;author&gt;Lawoko, Stephen&lt;/author&gt;&lt;author&gt;Dalal, Koustuv&lt;/author&gt;&lt;/authors&gt;&lt;/contributors&gt;&lt;titles&gt;&lt;title&gt;Neighborhood socioeconomic disadvantage, individual wealth status and patterns of delivery care utilization in Nigeria: a multilevel discrete choice analysis&lt;/title&gt;&lt;secondary-title&gt;International journal of women&amp;apos;s health&lt;/secondary-title&gt;&lt;/titles&gt;&lt;periodical&gt;&lt;full-title&gt;International journal of women&amp;apos;s health&lt;/full-title&gt;&lt;/periodical&gt;&lt;pages&gt;167&lt;/pages&gt;&lt;volume&gt;3&lt;/volume&gt;&lt;dates&gt;&lt;year&gt;2011&lt;/year&gt;&lt;/dates&gt;&lt;urls&gt;&lt;/urls&gt;&lt;/record&gt;&lt;/Cite&gt;&lt;/EndNote&gt;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0" w:tooltip="Ononokpono, 2014 #256" w:history="1">
        <w:r>
          <w:rPr>
            <w:rFonts w:ascii="Times New Roman" w:hAnsi="Times New Roman" w:cs="Times New Roman"/>
            <w:noProof/>
            <w:sz w:val="24"/>
            <w:szCs w:val="24"/>
          </w:rPr>
          <w:t>20</w:t>
        </w:r>
      </w:hyperlink>
      <w:r>
        <w:rPr>
          <w:rFonts w:ascii="Times New Roman" w:hAnsi="Times New Roman" w:cs="Times New Roman"/>
          <w:noProof/>
          <w:sz w:val="24"/>
          <w:szCs w:val="24"/>
        </w:rPr>
        <w:t xml:space="preserve">, </w:t>
      </w:r>
      <w:hyperlink w:anchor="_ENREF_38" w:tooltip="Aremu, 2011 #226" w:history="1">
        <w:r>
          <w:rPr>
            <w:rFonts w:ascii="Times New Roman" w:hAnsi="Times New Roman" w:cs="Times New Roman"/>
            <w:noProof/>
            <w:sz w:val="24"/>
            <w:szCs w:val="24"/>
          </w:rPr>
          <w:t>38</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using mean-variance adaptive Gauss–Hermite quadrature at an integration point of 12. The components of the model were level one (individuals) nested in level two</w:t>
      </w:r>
      <w:r w:rsidRPr="00544695">
        <w:t xml:space="preserve"> (</w:t>
      </w:r>
      <w:r w:rsidRPr="00544695">
        <w:rPr>
          <w:rFonts w:ascii="Times New Roman" w:hAnsi="Times New Roman" w:cs="Times New Roman"/>
          <w:sz w:val="24"/>
          <w:szCs w:val="24"/>
        </w:rPr>
        <w:t xml:space="preserve">communities). This study considers the error in the second level as a random effect to check for disparities in the likelihood of PNC services usage across the communities. </w:t>
      </w:r>
      <w:r w:rsidRPr="00544695">
        <w:rPr>
          <w:rFonts w:ascii="Times New Roman" w:hAnsi="Times New Roman" w:cs="Times New Roman"/>
          <w:iCs/>
          <w:sz w:val="24"/>
          <w:szCs w:val="24"/>
        </w:rPr>
        <w:t>The two-level mixed model used is stated below.</w:t>
      </w:r>
    </w:p>
    <w:p w14:paraId="45178C72" w14:textId="77777777" w:rsidR="00D44452" w:rsidRPr="00544695" w:rsidRDefault="00D44452" w:rsidP="00D44452">
      <w:pPr>
        <w:tabs>
          <w:tab w:val="center" w:pos="4253"/>
          <w:tab w:val="right" w:pos="8222"/>
        </w:tabs>
        <w:spacing w:before="240" w:after="240" w:line="480" w:lineRule="auto"/>
        <w:rPr>
          <w:rFonts w:ascii="Times New Roman" w:eastAsia="Times New Roman" w:hAnsi="Times New Roman" w:cs="Times New Roman"/>
          <w:sz w:val="24"/>
          <w:szCs w:val="24"/>
          <w:lang w:val="en-GB" w:eastAsia="en-GB"/>
        </w:rPr>
      </w:pPr>
      <w:bookmarkStart w:id="6" w:name="_Toc35478159"/>
      <w:r w:rsidRPr="00544695">
        <w:rPr>
          <w:rFonts w:ascii="Times New Roman" w:eastAsia="Times New Roman" w:hAnsi="Times New Roman" w:cs="Times New Roman"/>
          <w:sz w:val="24"/>
          <w:szCs w:val="24"/>
          <w:lang w:val="en-GB" w:eastAsia="en-GB"/>
        </w:rPr>
        <w:t>Equation 1: Multilevel logistic regression model</w:t>
      </w:r>
      <w:bookmarkEnd w:id="6"/>
    </w:p>
    <w:p w14:paraId="3373D00D"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i/>
          <w:iCs/>
          <w:sz w:val="24"/>
          <w:szCs w:val="24"/>
        </w:rPr>
        <w:t xml:space="preserve">p (Yi = </w:t>
      </w:r>
      <w:r w:rsidRPr="00544695">
        <w:rPr>
          <w:rFonts w:ascii="Times New Roman" w:hAnsi="Times New Roman" w:cs="Times New Roman"/>
          <w:sz w:val="24"/>
          <w:szCs w:val="24"/>
        </w:rPr>
        <w:t>1</w:t>
      </w:r>
      <w:r w:rsidRPr="00544695">
        <w:rPr>
          <w:rFonts w:ascii="Times New Roman" w:hAnsi="Times New Roman" w:cs="Times New Roman"/>
          <w:i/>
          <w:iCs/>
          <w:sz w:val="24"/>
          <w:szCs w:val="24"/>
        </w:rPr>
        <w:t>) = pi</w:t>
      </w:r>
    </w:p>
    <w:p w14:paraId="7D014601"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Logit (pi) = β</w:t>
      </w:r>
      <w:r w:rsidRPr="00544695">
        <w:rPr>
          <w:rFonts w:ascii="Times New Roman" w:hAnsi="Times New Roman" w:cs="Times New Roman"/>
          <w:sz w:val="24"/>
          <w:szCs w:val="24"/>
          <w:vertAlign w:val="subscript"/>
        </w:rPr>
        <w:t>0</w:t>
      </w:r>
      <w:r w:rsidRPr="00544695">
        <w:rPr>
          <w:rFonts w:ascii="Times New Roman" w:hAnsi="Times New Roman" w:cs="Times New Roman"/>
          <w:sz w:val="24"/>
          <w:szCs w:val="24"/>
        </w:rPr>
        <w:t xml:space="preserve"> + β</w:t>
      </w:r>
      <w:r w:rsidRPr="00544695">
        <w:rPr>
          <w:rFonts w:ascii="Times New Roman" w:hAnsi="Times New Roman" w:cs="Times New Roman"/>
          <w:sz w:val="24"/>
          <w:szCs w:val="24"/>
          <w:vertAlign w:val="subscript"/>
        </w:rPr>
        <w:t>1</w:t>
      </w:r>
      <w:r w:rsidRPr="00544695">
        <w:rPr>
          <w:rFonts w:ascii="Times New Roman" w:hAnsi="Times New Roman" w:cs="Times New Roman"/>
          <w:sz w:val="24"/>
          <w:szCs w:val="24"/>
        </w:rPr>
        <w:t>X</w:t>
      </w:r>
      <w:r w:rsidRPr="00544695">
        <w:rPr>
          <w:rFonts w:ascii="Times New Roman" w:hAnsi="Times New Roman" w:cs="Times New Roman"/>
          <w:sz w:val="24"/>
          <w:szCs w:val="24"/>
          <w:vertAlign w:val="subscript"/>
        </w:rPr>
        <w:t>1</w:t>
      </w:r>
      <w:r w:rsidRPr="00544695">
        <w:rPr>
          <w:rFonts w:ascii="Times New Roman" w:hAnsi="Times New Roman" w:cs="Times New Roman"/>
          <w:sz w:val="24"/>
          <w:szCs w:val="24"/>
        </w:rPr>
        <w:t xml:space="preserve"> + β</w:t>
      </w:r>
      <w:r w:rsidRPr="00544695">
        <w:rPr>
          <w:rFonts w:ascii="Times New Roman" w:hAnsi="Times New Roman" w:cs="Times New Roman"/>
          <w:sz w:val="24"/>
          <w:szCs w:val="24"/>
          <w:vertAlign w:val="subscript"/>
        </w:rPr>
        <w:t>2</w:t>
      </w:r>
      <w:r w:rsidRPr="00544695">
        <w:rPr>
          <w:rFonts w:ascii="Times New Roman" w:hAnsi="Times New Roman" w:cs="Times New Roman"/>
          <w:sz w:val="24"/>
          <w:szCs w:val="24"/>
        </w:rPr>
        <w:t>X</w:t>
      </w:r>
      <w:r w:rsidRPr="00544695">
        <w:rPr>
          <w:rFonts w:ascii="Times New Roman" w:hAnsi="Times New Roman" w:cs="Times New Roman"/>
          <w:sz w:val="24"/>
          <w:szCs w:val="24"/>
          <w:vertAlign w:val="subscript"/>
        </w:rPr>
        <w:t>2</w:t>
      </w:r>
      <w:r w:rsidRPr="00544695">
        <w:rPr>
          <w:rFonts w:ascii="Times New Roman" w:hAnsi="Times New Roman" w:cs="Times New Roman"/>
          <w:sz w:val="24"/>
          <w:szCs w:val="24"/>
        </w:rPr>
        <w:t xml:space="preserve"> …+ β</w:t>
      </w:r>
      <w:proofErr w:type="spellStart"/>
      <w:r w:rsidRPr="00544695">
        <w:rPr>
          <w:rFonts w:ascii="Times New Roman" w:hAnsi="Times New Roman" w:cs="Times New Roman"/>
          <w:sz w:val="24"/>
          <w:szCs w:val="24"/>
          <w:vertAlign w:val="subscript"/>
        </w:rPr>
        <w:t>k</w:t>
      </w:r>
      <w:r w:rsidRPr="00544695">
        <w:rPr>
          <w:rFonts w:ascii="Times New Roman" w:hAnsi="Times New Roman" w:cs="Times New Roman"/>
          <w:sz w:val="24"/>
          <w:szCs w:val="24"/>
        </w:rPr>
        <w:t>X</w:t>
      </w:r>
      <w:r w:rsidRPr="00544695">
        <w:rPr>
          <w:rFonts w:ascii="Times New Roman" w:hAnsi="Times New Roman" w:cs="Times New Roman"/>
          <w:sz w:val="24"/>
          <w:szCs w:val="24"/>
          <w:vertAlign w:val="subscript"/>
        </w:rPr>
        <w:t>ki</w:t>
      </w:r>
      <w:proofErr w:type="spellEnd"/>
      <w:r w:rsidRPr="00544695">
        <w:rPr>
          <w:rFonts w:ascii="Times New Roman" w:hAnsi="Times New Roman" w:cs="Times New Roman"/>
          <w:sz w:val="24"/>
          <w:szCs w:val="24"/>
          <w:vertAlign w:val="subscript"/>
        </w:rPr>
        <w:t xml:space="preserve"> </w:t>
      </w:r>
      <w:r w:rsidRPr="00544695">
        <w:rPr>
          <w:rFonts w:ascii="Times New Roman" w:hAnsi="Times New Roman" w:cs="Times New Roman"/>
          <w:sz w:val="24"/>
          <w:szCs w:val="24"/>
        </w:rPr>
        <w:t xml:space="preserve">+ </w:t>
      </w:r>
      <w:proofErr w:type="spellStart"/>
      <w:r w:rsidRPr="00544695">
        <w:rPr>
          <w:rFonts w:ascii="Times New Roman" w:hAnsi="Times New Roman" w:cs="Times New Roman"/>
          <w:sz w:val="24"/>
          <w:szCs w:val="24"/>
        </w:rPr>
        <w:t>μ</w:t>
      </w:r>
      <w:r w:rsidRPr="00544695">
        <w:rPr>
          <w:rFonts w:ascii="Times New Roman" w:hAnsi="Times New Roman" w:cs="Times New Roman"/>
          <w:sz w:val="24"/>
          <w:szCs w:val="24"/>
          <w:vertAlign w:val="subscript"/>
        </w:rPr>
        <w:t>group</w:t>
      </w:r>
      <w:proofErr w:type="spellEnd"/>
      <w:r w:rsidRPr="00544695">
        <w:rPr>
          <w:rFonts w:ascii="Times New Roman" w:hAnsi="Times New Roman" w:cs="Times New Roman"/>
          <w:sz w:val="24"/>
          <w:szCs w:val="24"/>
          <w:vertAlign w:val="subscript"/>
        </w:rPr>
        <w:t>(</w:t>
      </w:r>
      <w:proofErr w:type="spellStart"/>
      <w:r w:rsidRPr="00544695">
        <w:rPr>
          <w:rFonts w:ascii="Times New Roman" w:hAnsi="Times New Roman" w:cs="Times New Roman"/>
          <w:sz w:val="24"/>
          <w:szCs w:val="24"/>
          <w:vertAlign w:val="subscript"/>
        </w:rPr>
        <w:t>i</w:t>
      </w:r>
      <w:proofErr w:type="spellEnd"/>
      <w:r w:rsidRPr="00544695">
        <w:rPr>
          <w:rFonts w:ascii="Times New Roman" w:hAnsi="Times New Roman" w:cs="Times New Roman"/>
          <w:sz w:val="24"/>
          <w:szCs w:val="24"/>
          <w:vertAlign w:val="subscript"/>
        </w:rPr>
        <w:t>)</w:t>
      </w:r>
      <w:r w:rsidRPr="00544695">
        <w:rPr>
          <w:rFonts w:ascii="Times New Roman" w:hAnsi="Times New Roman" w:cs="Times New Roman"/>
          <w:sz w:val="24"/>
          <w:szCs w:val="24"/>
          <w:vertAlign w:val="subscript"/>
        </w:rPr>
        <w:tab/>
      </w:r>
      <w:r w:rsidRPr="00544695">
        <w:rPr>
          <w:rFonts w:ascii="Times New Roman" w:hAnsi="Times New Roman" w:cs="Times New Roman"/>
          <w:sz w:val="24"/>
          <w:szCs w:val="24"/>
          <w:vertAlign w:val="subscript"/>
        </w:rPr>
        <w:tab/>
      </w:r>
      <w:r w:rsidRPr="00544695">
        <w:rPr>
          <w:rFonts w:ascii="Times New Roman" w:hAnsi="Times New Roman" w:cs="Times New Roman"/>
          <w:sz w:val="24"/>
          <w:szCs w:val="24"/>
          <w:vertAlign w:val="subscript"/>
        </w:rPr>
        <w:tab/>
      </w:r>
      <w:r w:rsidRPr="00544695">
        <w:rPr>
          <w:rFonts w:ascii="Times New Roman" w:hAnsi="Times New Roman" w:cs="Times New Roman"/>
          <w:sz w:val="24"/>
          <w:szCs w:val="24"/>
          <w:vertAlign w:val="subscript"/>
        </w:rPr>
        <w:tab/>
      </w:r>
    </w:p>
    <w:p w14:paraId="34E798EA" w14:textId="77777777" w:rsidR="00D44452" w:rsidRPr="00544695" w:rsidRDefault="00D44452" w:rsidP="00D44452">
      <w:pPr>
        <w:autoSpaceDE w:val="0"/>
        <w:autoSpaceDN w:val="0"/>
        <w:adjustRightInd w:val="0"/>
        <w:spacing w:after="0" w:line="480" w:lineRule="auto"/>
        <w:ind w:left="720"/>
        <w:rPr>
          <w:rFonts w:ascii="Times New Roman" w:hAnsi="Times New Roman" w:cs="Times New Roman"/>
          <w:sz w:val="24"/>
          <w:szCs w:val="24"/>
        </w:rPr>
      </w:pPr>
      <w:r w:rsidRPr="00544695">
        <w:rPr>
          <w:rFonts w:ascii="Times New Roman" w:hAnsi="Times New Roman" w:cs="Times New Roman"/>
          <w:sz w:val="24"/>
          <w:szCs w:val="24"/>
        </w:rPr>
        <w:t xml:space="preserve">where </w:t>
      </w:r>
      <w:proofErr w:type="spellStart"/>
      <w:r w:rsidRPr="00544695">
        <w:rPr>
          <w:rFonts w:ascii="Times New Roman" w:hAnsi="Times New Roman" w:cs="Times New Roman"/>
          <w:sz w:val="24"/>
          <w:szCs w:val="24"/>
        </w:rPr>
        <w:t>μj</w:t>
      </w:r>
      <w:proofErr w:type="spellEnd"/>
      <w:r w:rsidRPr="00544695">
        <w:rPr>
          <w:rFonts w:ascii="Times New Roman" w:hAnsi="Times New Roman" w:cs="Times New Roman"/>
          <w:sz w:val="24"/>
          <w:szCs w:val="24"/>
        </w:rPr>
        <w:t xml:space="preserve"> ~ N (0, </w:t>
      </w:r>
      <w:bookmarkStart w:id="7" w:name="_Hlk32606520"/>
      <w:r w:rsidRPr="00544695">
        <w:rPr>
          <w:rFonts w:ascii="Times New Roman" w:hAnsi="Times New Roman" w:cs="Times New Roman"/>
          <w:sz w:val="24"/>
          <w:szCs w:val="24"/>
        </w:rPr>
        <w:t>σ</w:t>
      </w:r>
      <w:r w:rsidRPr="00544695">
        <w:rPr>
          <w:rFonts w:ascii="Times New Roman" w:hAnsi="Times New Roman" w:cs="Times New Roman"/>
          <w:sz w:val="24"/>
          <w:szCs w:val="24"/>
          <w:vertAlign w:val="superscript"/>
        </w:rPr>
        <w:t>2</w:t>
      </w:r>
      <w:r w:rsidRPr="00544695">
        <w:rPr>
          <w:rFonts w:ascii="Times New Roman" w:hAnsi="Times New Roman" w:cs="Times New Roman"/>
          <w:sz w:val="24"/>
          <w:szCs w:val="24"/>
        </w:rPr>
        <w:t xml:space="preserve"> </w:t>
      </w:r>
      <w:r w:rsidRPr="00544695">
        <w:rPr>
          <w:rFonts w:ascii="Times New Roman" w:hAnsi="Times New Roman" w:cs="Times New Roman"/>
          <w:sz w:val="24"/>
          <w:szCs w:val="24"/>
          <w:vertAlign w:val="subscript"/>
        </w:rPr>
        <w:t>group</w:t>
      </w:r>
      <w:bookmarkEnd w:id="7"/>
      <w:r w:rsidRPr="00544695">
        <w:rPr>
          <w:rFonts w:ascii="Times New Roman" w:hAnsi="Times New Roman" w:cs="Times New Roman"/>
          <w:sz w:val="24"/>
          <w:szCs w:val="24"/>
        </w:rPr>
        <w:t>); β</w:t>
      </w:r>
      <w:r w:rsidRPr="00544695">
        <w:rPr>
          <w:rFonts w:ascii="Times New Roman" w:hAnsi="Times New Roman" w:cs="Times New Roman"/>
          <w:sz w:val="24"/>
          <w:szCs w:val="24"/>
          <w:vertAlign w:val="subscript"/>
        </w:rPr>
        <w:t xml:space="preserve">0, </w:t>
      </w:r>
      <w:r w:rsidRPr="00544695">
        <w:rPr>
          <w:rFonts w:ascii="Times New Roman" w:hAnsi="Times New Roman" w:cs="Times New Roman"/>
          <w:sz w:val="24"/>
          <w:szCs w:val="24"/>
        </w:rPr>
        <w:t>intercept; β</w:t>
      </w:r>
      <w:r w:rsidRPr="00544695">
        <w:rPr>
          <w:rFonts w:ascii="Times New Roman" w:hAnsi="Times New Roman" w:cs="Times New Roman"/>
          <w:sz w:val="24"/>
          <w:szCs w:val="24"/>
          <w:vertAlign w:val="subscript"/>
        </w:rPr>
        <w:t xml:space="preserve">k, </w:t>
      </w:r>
      <w:r w:rsidRPr="00544695">
        <w:rPr>
          <w:rFonts w:ascii="Times New Roman" w:hAnsi="Times New Roman" w:cs="Times New Roman"/>
          <w:sz w:val="24"/>
          <w:szCs w:val="24"/>
        </w:rPr>
        <w:t xml:space="preserve">regression coefficient of the variables; </w:t>
      </w:r>
      <w:proofErr w:type="spellStart"/>
      <w:r w:rsidRPr="00544695">
        <w:rPr>
          <w:rFonts w:ascii="Times New Roman" w:hAnsi="Times New Roman" w:cs="Times New Roman"/>
          <w:sz w:val="24"/>
          <w:szCs w:val="24"/>
        </w:rPr>
        <w:t>X</w:t>
      </w:r>
      <w:r w:rsidRPr="00544695">
        <w:rPr>
          <w:rFonts w:ascii="Times New Roman" w:hAnsi="Times New Roman" w:cs="Times New Roman"/>
          <w:sz w:val="24"/>
          <w:szCs w:val="24"/>
          <w:vertAlign w:val="subscript"/>
        </w:rPr>
        <w:t>ki</w:t>
      </w:r>
      <w:proofErr w:type="spellEnd"/>
      <w:r w:rsidRPr="00544695">
        <w:rPr>
          <w:rFonts w:ascii="Times New Roman" w:hAnsi="Times New Roman" w:cs="Times New Roman"/>
          <w:sz w:val="24"/>
          <w:szCs w:val="24"/>
          <w:vertAlign w:val="subscript"/>
        </w:rPr>
        <w:t xml:space="preserve">, </w:t>
      </w:r>
      <w:r w:rsidRPr="00544695">
        <w:rPr>
          <w:rFonts w:ascii="Times New Roman" w:hAnsi="Times New Roman" w:cs="Times New Roman"/>
          <w:sz w:val="24"/>
          <w:szCs w:val="24"/>
        </w:rPr>
        <w:t>study predictors; σ</w:t>
      </w:r>
      <w:r w:rsidRPr="00544695">
        <w:rPr>
          <w:rFonts w:ascii="Times New Roman" w:hAnsi="Times New Roman" w:cs="Times New Roman"/>
          <w:sz w:val="24"/>
          <w:szCs w:val="24"/>
          <w:vertAlign w:val="superscript"/>
        </w:rPr>
        <w:t>2</w:t>
      </w:r>
      <w:r w:rsidRPr="00544695">
        <w:rPr>
          <w:rFonts w:ascii="Times New Roman" w:hAnsi="Times New Roman" w:cs="Times New Roman"/>
          <w:sz w:val="24"/>
          <w:szCs w:val="24"/>
        </w:rPr>
        <w:t xml:space="preserve"> </w:t>
      </w:r>
      <w:r w:rsidRPr="00544695">
        <w:rPr>
          <w:rFonts w:ascii="Times New Roman" w:hAnsi="Times New Roman" w:cs="Times New Roman"/>
          <w:sz w:val="24"/>
          <w:szCs w:val="24"/>
          <w:vertAlign w:val="subscript"/>
        </w:rPr>
        <w:t>group</w:t>
      </w:r>
      <w:r w:rsidRPr="00544695">
        <w:rPr>
          <w:rFonts w:ascii="Times New Roman" w:hAnsi="Times New Roman" w:cs="Times New Roman"/>
          <w:sz w:val="24"/>
          <w:szCs w:val="24"/>
        </w:rPr>
        <w:t>, community-level variance</w:t>
      </w:r>
    </w:p>
    <w:p w14:paraId="33E208EC"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p>
    <w:p w14:paraId="017D1D41"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Three models were estimated in this study. A null model was first fitted with no covariates. Second, unconditional mixed logistic regression analyses were conducted between the use of PNC services and each individual-level as well as community-level predictor</w:t>
      </w:r>
      <w:r>
        <w:rPr>
          <w:rFonts w:ascii="Times New Roman" w:hAnsi="Times New Roman" w:cs="Times New Roman"/>
          <w:sz w:val="24"/>
          <w:szCs w:val="24"/>
        </w:rPr>
        <w:t>s</w:t>
      </w:r>
      <w:r w:rsidRPr="00544695">
        <w:rPr>
          <w:rFonts w:ascii="Times New Roman" w:hAnsi="Times New Roman" w:cs="Times New Roman"/>
          <w:sz w:val="24"/>
          <w:szCs w:val="24"/>
        </w:rPr>
        <w:t xml:space="preserve">. Unadjusted odds ratios were generated and correlations with liberal p-values of 0.25 or less were selected as candidates for the multivariate 2-level mixed modeling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&lt;EndNote&gt;&lt;Cite&gt;&lt;Author&gt;Bursac&lt;/Author&gt;&lt;Year&gt;2008&lt;/Year&gt;&lt;RecNum&gt;152&lt;/RecNum&gt;&lt;DisplayText&gt;[39]&lt;/DisplayText&gt;&lt;record&gt;&lt;rec-number&gt;152&lt;/rec-number&gt;&lt;foreign-keys&gt;&lt;key app="EN" db-id="zdefw9a9xs00rperzxjxxe5pxedfe9zwepvw" timestamp="1544131134"&gt;152&lt;/key&gt;&lt;/foreign-keys&gt;&lt;ref-type name="Journal Article"&gt;17&lt;/ref-type&gt;&lt;contributors&gt;&lt;authors&gt;&lt;author&gt;Bursac, Zoran&lt;/author&gt;&lt;author&gt;Gauss, C Heath&lt;/author&gt;&lt;author&gt;Williams, David Keith&lt;/author&gt;&lt;author&gt;Hosmer, David W&lt;/author&gt;&lt;/authors&gt;&lt;/contributors&gt;&lt;titles&gt;&lt;title&gt;Purposeful selection of variables in logistic regression&lt;/title&gt;&lt;secondary-title&gt;Source code for biology and medicine&lt;/secondary-title&gt;&lt;/titles&gt;&lt;periodical&gt;&lt;full-title&gt;Source code for biology and medicine&lt;/full-title&gt;&lt;/periodical&gt;&lt;pages&gt;17&lt;/pages&gt;&lt;volume&gt;3&lt;/volume&gt;&lt;number&gt;1&lt;/number&gt;&lt;dates&gt;&lt;year&gt;2008&lt;/year&gt;&lt;/dates&gt;&lt;isbn&gt;1751-0473&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9" w:tooltip="Bursac, 2008 #152" w:history="1">
        <w:r>
          <w:rPr>
            <w:rFonts w:ascii="Times New Roman" w:hAnsi="Times New Roman" w:cs="Times New Roman"/>
            <w:noProof/>
            <w:sz w:val="24"/>
            <w:szCs w:val="24"/>
          </w:rPr>
          <w:t>39</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This unconventional cut-off was used to avoid the elimination of important predictors that could be masked or suppressed by other control variables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&lt;EndNote&gt;&lt;Cite&gt;&lt;Author&gt;Bursac&lt;/Author&gt;&lt;Year&gt;2008&lt;/Year&gt;&lt;RecNum&gt;230&lt;/RecNum&gt;&lt;DisplayText&gt;[39, 40]&lt;/DisplayText&gt;&lt;record&gt;&lt;rec-number&gt;230&lt;/rec-number&gt;&lt;foreign-keys&gt;&lt;key app="EN" db-id="zdefw9a9xs00rperzxjxxe5pxedfe9zwepvw" timestamp="1551235719"&gt;230&lt;/key&gt;&lt;/foreign-keys&gt;&lt;ref-type name="Journal Article"&gt;17&lt;/ref-type&gt;&lt;contributors&gt;&lt;authors&gt;&lt;author&gt;Bursac, Zoran&lt;/author&gt;&lt;author&gt;Gauss, C Heath&lt;/author&gt;&lt;author&gt;Williams, David Keith&lt;/author&gt;&lt;author&gt;Hosmer, David W&lt;/author&gt;&lt;/authors&gt;&lt;/contributors&gt;&lt;titles&gt;&lt;title&gt;Purposeful selection of variables in logistic regression&lt;/title&gt;&lt;secondary-title&gt;Source code for biology and medicine&lt;/secondary-title&gt;&lt;/titles&gt;&lt;periodical&gt;&lt;full-title&gt;Source code for biology and medicine&lt;/full-title&gt;&lt;/periodical&gt;&lt;pages&gt;17&lt;/pages&gt;&lt;volume&gt;3&lt;/volume&gt;&lt;number&gt;1&lt;/number&gt;&lt;dates&gt;&lt;year&gt;2008&lt;/year&gt;&lt;/dates&gt;&lt;isbn&gt;1751-0473&lt;/isbn&gt;&lt;urls&gt;&lt;/urls&gt;&lt;/record&gt;&lt;/Cite&gt;&lt;Cite&gt;&lt;Author&gt;Hosmer DW&lt;/Author&gt;&lt;Year&gt;2000&lt;/Year&gt;&lt;RecNum&gt;162&lt;/RecNum&gt;&lt;record&gt;&lt;rec-number&gt;162&lt;/rec-number&gt;&lt;foreign-keys&gt;&lt;key app="EN" db-id="zdefw9a9xs00rperzxjxxe5pxedfe9zwepvw" timestamp="1544205756"&gt;162&lt;/key&gt;&lt;/foreign-keys&gt;&lt;ref-type name="Book"&gt;6&lt;/ref-type&gt;&lt;contributors&gt;&lt;authors&gt;&lt;author&gt;Hosmer DW, Lemeshow S. &lt;/author&gt;&lt;/authors&gt;&lt;/contributors&gt;&lt;titles&gt;&lt;title&gt;Applied logistic regression &lt;/title&gt;&lt;/titles&gt;&lt;dates&gt;&lt;year&gt;2000&lt;/year&gt;&lt;/dates&gt;&lt;pub-location&gt;New York&lt;/pub-location&gt;&lt;publisher&gt;Wiley&lt;/publisher&gt;&lt;urls&gt;&lt;/urls&gt;&lt;/record&gt;&lt;/Cite&gt;&lt;/EndNote&gt;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9" w:tooltip="Bursac, 2008 #152" w:history="1">
        <w:r>
          <w:rPr>
            <w:rFonts w:ascii="Times New Roman" w:hAnsi="Times New Roman" w:cs="Times New Roman"/>
            <w:noProof/>
            <w:sz w:val="24"/>
            <w:szCs w:val="24"/>
          </w:rPr>
          <w:t>39</w:t>
        </w:r>
      </w:hyperlink>
      <w:r>
        <w:rPr>
          <w:rFonts w:ascii="Times New Roman" w:hAnsi="Times New Roman" w:cs="Times New Roman"/>
          <w:noProof/>
          <w:sz w:val="24"/>
          <w:szCs w:val="24"/>
        </w:rPr>
        <w:t xml:space="preserve">, </w:t>
      </w:r>
      <w:hyperlink w:anchor="_ENREF_40" w:tooltip="Hosmer DW, 2000 #162" w:history="1">
        <w:r>
          <w:rPr>
            <w:rFonts w:ascii="Times New Roman" w:hAnsi="Times New Roman" w:cs="Times New Roman"/>
            <w:noProof/>
            <w:sz w:val="24"/>
            <w:szCs w:val="24"/>
          </w:rPr>
          <w:t>40</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Lastly, as proposed by Hosmer and </w:t>
      </w:r>
      <w:proofErr w:type="spellStart"/>
      <w:r w:rsidRPr="00544695">
        <w:rPr>
          <w:rFonts w:ascii="Times New Roman" w:hAnsi="Times New Roman" w:cs="Times New Roman"/>
          <w:sz w:val="24"/>
          <w:szCs w:val="24"/>
        </w:rPr>
        <w:t>Lemeshow</w:t>
      </w:r>
      <w:proofErr w:type="spellEnd"/>
      <w:r w:rsidRPr="00544695">
        <w:rPr>
          <w:rFonts w:ascii="Times New Roman" w:hAnsi="Times New Roman" w:cs="Times New Roman"/>
          <w:sz w:val="24"/>
          <w:szCs w:val="24"/>
        </w:rPr>
        <w:t xml:space="preserve">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&lt;EndNote&gt;&lt;Cite&gt;&lt;Author&gt;Hosmer DW&lt;/Author&gt;&lt;Year&gt;2000&lt;/Year&gt;&lt;RecNum&gt;162&lt;/RecNum&gt;&lt;DisplayText&gt;[40]&lt;/DisplayText&gt;&lt;record&gt;&lt;rec-number&gt;162&lt;/rec-number&gt;&lt;foreign-keys&gt;&lt;key app="EN" db-id="zdefw9a9xs00rperzxjxxe5pxedfe9zwepvw" timestamp="1544205756"&gt;162&lt;/key&gt;&lt;/foreign-keys&gt;&lt;ref-type name="Book"&gt;6&lt;/ref-type&gt;&lt;contributors&gt;&lt;authors&gt;&lt;author&gt;Hosmer DW, Lemeshow S. &lt;/author&gt;&lt;/authors&gt;&lt;/contributors&gt;&lt;titles&gt;&lt;title&gt;Applied logistic regression &lt;/title&gt;&lt;/titles&gt;&lt;dates&gt;&lt;year&gt;2000&lt;/year&gt;&lt;/dates&gt;&lt;pub-location&gt;New York&lt;/pub-location&gt;&lt;publisher&gt;Wiley&lt;/publisher&gt;&lt;urls&gt;&lt;/urls&gt;&lt;/record&gt;&lt;/Cite&gt;&lt;/EndNote&gt;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40" w:tooltip="Hosmer DW, 2000 #162" w:history="1">
        <w:r>
          <w:rPr>
            <w:rFonts w:ascii="Times New Roman" w:hAnsi="Times New Roman" w:cs="Times New Roman"/>
            <w:noProof/>
            <w:sz w:val="24"/>
            <w:szCs w:val="24"/>
          </w:rPr>
          <w:t>40</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a selection method that manually eliminates insignificant factors was utilized in the final model. This backward technique sequentially removes less relevant characteristics, beginning with the highest p-value and eventually retaining just significant predictors with a p-value less than or equal to 0.05.</w:t>
      </w:r>
    </w:p>
    <w:p w14:paraId="37D80016"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lastRenderedPageBreak/>
        <w:t>A complete case analysis was used in this study to remove subjects with missing values. A polynomial model was used to test the assumption of linearity for age by introducing a quadratic term. Multicollinearity test for selected individual-level predictors was done to ensure inflated standard errors due to many predictors measuring the same characteristics are controlled. In this research</w:t>
      </w:r>
      <w:r>
        <w:rPr>
          <w:rFonts w:ascii="Times New Roman" w:hAnsi="Times New Roman" w:cs="Times New Roman"/>
          <w:sz w:val="24"/>
          <w:szCs w:val="24"/>
        </w:rPr>
        <w:t>, the parameters for</w:t>
      </w:r>
      <w:r w:rsidRPr="00544695">
        <w:rPr>
          <w:rFonts w:ascii="Times New Roman" w:hAnsi="Times New Roman" w:cs="Times New Roman"/>
          <w:sz w:val="24"/>
          <w:szCs w:val="24"/>
        </w:rPr>
        <w:t xml:space="preserve"> variance inflation factor (VIF) ≤ 2.5 and tolerance ≥ 0.4 were </w:t>
      </w:r>
      <w:r>
        <w:rPr>
          <w:rFonts w:ascii="Times New Roman" w:hAnsi="Times New Roman" w:cs="Times New Roman"/>
          <w:sz w:val="24"/>
          <w:szCs w:val="24"/>
        </w:rPr>
        <w:t>set</w:t>
      </w:r>
      <w:r w:rsidRPr="00544695">
        <w:rPr>
          <w:rFonts w:ascii="Times New Roman" w:hAnsi="Times New Roman" w:cs="Times New Roman"/>
          <w:sz w:val="24"/>
          <w:szCs w:val="24"/>
        </w:rPr>
        <w:t xml:space="preserve"> as recommended by </w:t>
      </w:r>
      <w:r w:rsidRPr="00544695">
        <w:rPr>
          <w:rFonts w:ascii="Times New Roman" w:hAnsi="Times New Roman" w:cs="Times New Roman"/>
          <w:iCs/>
          <w:color w:val="000000"/>
          <w:sz w:val="24"/>
          <w:szCs w:val="24"/>
          <w:lang w:val="en-GB"/>
        </w:rPr>
        <w:t xml:space="preserve">Johnston et al </w:t>
      </w:r>
      <w:r w:rsidRPr="00544695">
        <w:rPr>
          <w:rFonts w:ascii="Times New Roman" w:hAnsi="Times New Roman" w:cs="Times New Roman"/>
          <w:iCs/>
          <w:color w:val="000000"/>
          <w:sz w:val="24"/>
          <w:szCs w:val="24"/>
          <w:lang w:val="en-GB"/>
        </w:rPr>
        <w:fldChar w:fldCharType="begin"/>
      </w:r>
      <w:r>
        <w:rPr>
          <w:rFonts w:ascii="Times New Roman" w:hAnsi="Times New Roman" w:cs="Times New Roman"/>
          <w:iCs/>
          <w:color w:val="000000"/>
          <w:sz w:val="24"/>
          <w:szCs w:val="24"/>
          <w:lang w:val="en-GB"/>
        </w:rPr>
        <w:instrText xml:space="preserve"> ADDIN EN.CITE &lt;EndNote&gt;&lt;Cite&gt;&lt;Author&gt;Johnston&lt;/Author&gt;&lt;Year&gt;2018&lt;/Year&gt;&lt;RecNum&gt;503&lt;/RecNum&gt;&lt;DisplayText&gt;[41]&lt;/DisplayText&gt;&lt;record&gt;&lt;rec-number&gt;503&lt;/rec-number&gt;&lt;foreign-keys&gt;&lt;key app="EN" db-id="zdefw9a9xs00rperzxjxxe5pxedfe9zwepvw" timestamp="1584377976"&gt;503&lt;/key&gt;&lt;/foreign-keys&gt;&lt;ref-type name="Journal Article"&gt;17&lt;/ref-type&gt;&lt;contributors&gt;&lt;authors&gt;&lt;author&gt;Johnston, Ron&lt;/author&gt;&lt;author&gt;Jones, Kelvyn&lt;/author&gt;&lt;author&gt;Manley, David&lt;/author&gt;&lt;/authors&gt;&lt;/contributors&gt;&lt;titles&gt;&lt;title&gt;Confounding and collinearity in regression analysis: a cautionary tale and an alternative procedure, illustrated by studies of British voting behaviour&lt;/title&gt;&lt;secondary-title&gt;Quality &amp;amp; quantity&lt;/secondary-title&gt;&lt;/titles&gt;&lt;periodical&gt;&lt;full-title&gt;Quality &amp;amp; quantity&lt;/full-title&gt;&lt;/periodical&gt;&lt;pages&gt;1957-1976&lt;/pages&gt;&lt;volume&gt;52&lt;/volume&gt;&lt;number&gt;4&lt;/number&gt;&lt;dates&gt;&lt;year&gt;2018&lt;/year&gt;&lt;/dates&gt;&lt;isbn&gt;0033-5177&lt;/isbn&gt;&lt;urls&gt;&lt;/urls&gt;&lt;/record&gt;&lt;/Cite&gt;&lt;/EndNote&gt;</w:instrText>
      </w:r>
      <w:r w:rsidRPr="00544695">
        <w:rPr>
          <w:rFonts w:ascii="Times New Roman" w:hAnsi="Times New Roman" w:cs="Times New Roman"/>
          <w:iCs/>
          <w:color w:val="000000"/>
          <w:sz w:val="24"/>
          <w:szCs w:val="24"/>
          <w:lang w:val="en-GB"/>
        </w:rPr>
        <w:fldChar w:fldCharType="separate"/>
      </w:r>
      <w:r>
        <w:rPr>
          <w:rFonts w:ascii="Times New Roman" w:hAnsi="Times New Roman" w:cs="Times New Roman"/>
          <w:iCs/>
          <w:noProof/>
          <w:color w:val="000000"/>
          <w:sz w:val="24"/>
          <w:szCs w:val="24"/>
          <w:lang w:val="en-GB"/>
        </w:rPr>
        <w:t>[</w:t>
      </w:r>
      <w:hyperlink w:anchor="_ENREF_41" w:tooltip="Johnston, 2018 #503" w:history="1">
        <w:r>
          <w:rPr>
            <w:rFonts w:ascii="Times New Roman" w:hAnsi="Times New Roman" w:cs="Times New Roman"/>
            <w:iCs/>
            <w:noProof/>
            <w:color w:val="000000"/>
            <w:sz w:val="24"/>
            <w:szCs w:val="24"/>
            <w:lang w:val="en-GB"/>
          </w:rPr>
          <w:t>41</w:t>
        </w:r>
      </w:hyperlink>
      <w:r>
        <w:rPr>
          <w:rFonts w:ascii="Times New Roman" w:hAnsi="Times New Roman" w:cs="Times New Roman"/>
          <w:iCs/>
          <w:noProof/>
          <w:color w:val="000000"/>
          <w:sz w:val="24"/>
          <w:szCs w:val="24"/>
          <w:lang w:val="en-GB"/>
        </w:rPr>
        <w:t>]</w:t>
      </w:r>
      <w:r w:rsidRPr="00544695">
        <w:rPr>
          <w:rFonts w:ascii="Times New Roman" w:hAnsi="Times New Roman" w:cs="Times New Roman"/>
          <w:iCs/>
          <w:color w:val="000000"/>
          <w:sz w:val="24"/>
          <w:szCs w:val="24"/>
          <w:lang w:val="en-GB"/>
        </w:rPr>
        <w:fldChar w:fldCharType="end"/>
      </w:r>
      <w:r w:rsidRPr="00544695">
        <w:rPr>
          <w:rFonts w:ascii="Times New Roman" w:hAnsi="Times New Roman" w:cs="Times New Roman"/>
          <w:iCs/>
          <w:color w:val="000000"/>
          <w:sz w:val="24"/>
          <w:szCs w:val="24"/>
          <w:lang w:val="en-GB"/>
        </w:rPr>
        <w:t>for the logistic regression model to identify potentially redundant variables due to collinearity</w:t>
      </w:r>
      <w:r w:rsidRPr="00544695">
        <w:rPr>
          <w:rFonts w:ascii="Times New Roman" w:hAnsi="Times New Roman" w:cs="Times New Roman"/>
          <w:sz w:val="24"/>
          <w:szCs w:val="24"/>
        </w:rPr>
        <w:t xml:space="preserve">. </w:t>
      </w:r>
    </w:p>
    <w:p w14:paraId="74880BAE"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 xml:space="preserve">Type-3 likelihood ratio test was used to examine categorical explanatory variables that have classifications greater than two. Predictors were considered confounders if the difference in the regression coefficient in the unconditional and conditional model was &gt; 20%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&lt;EndNote&gt;&lt;Cite&gt;&lt;Author&gt;Bursac&lt;/Author&gt;&lt;Year&gt;2008&lt;/Year&gt;&lt;RecNum&gt;152&lt;/RecNum&gt;&lt;DisplayText&gt;[39]&lt;/DisplayText&gt;&lt;record&gt;&lt;rec-number&gt;152&lt;/rec-number&gt;&lt;foreign-keys&gt;&lt;key app="EN" db-id="zdefw9a9xs00rperzxjxxe5pxedfe9zwepvw" timestamp="1544131134"&gt;152&lt;/key&gt;&lt;/foreign-keys&gt;&lt;ref-type name="Journal Article"&gt;17&lt;/ref-type&gt;&lt;contributors&gt;&lt;authors&gt;&lt;author&gt;Bursac, Zoran&lt;/author&gt;&lt;author&gt;Gauss, C Heath&lt;/author&gt;&lt;author&gt;Williams, David Keith&lt;/author&gt;&lt;author&gt;Hosmer, David W&lt;/author&gt;&lt;/authors&gt;&lt;/contributors&gt;&lt;titles&gt;&lt;title&gt;Purposeful selection of variables in logistic regression&lt;/title&gt;&lt;secondary-title&gt;Source code for biology and medicine&lt;/secondary-title&gt;&lt;/titles&gt;&lt;periodical&gt;&lt;full-title&gt;Source code for biology and medicine&lt;/full-title&gt;&lt;/periodical&gt;&lt;pages&gt;17&lt;/pages&gt;&lt;volume&gt;3&lt;/volume&gt;&lt;number&gt;1&lt;/number&gt;&lt;dates&gt;&lt;year&gt;2008&lt;/year&gt;&lt;/dates&gt;&lt;isbn&gt;1751-0473&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9" w:tooltip="Bursac, 2008 #152" w:history="1">
        <w:r>
          <w:rPr>
            <w:rFonts w:ascii="Times New Roman" w:hAnsi="Times New Roman" w:cs="Times New Roman"/>
            <w:noProof/>
            <w:sz w:val="24"/>
            <w:szCs w:val="24"/>
          </w:rPr>
          <w:t>39</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This study tested interactions among predictors that were significant in the multivariable model.</w:t>
      </w:r>
    </w:p>
    <w:p w14:paraId="223506A7" w14:textId="77777777" w:rsidR="00D44452" w:rsidRPr="00544695" w:rsidRDefault="00D44452" w:rsidP="00D44452">
      <w:pPr>
        <w:autoSpaceDE w:val="0"/>
        <w:autoSpaceDN w:val="0"/>
        <w:adjustRightInd w:val="0"/>
        <w:spacing w:after="0" w:line="480" w:lineRule="auto"/>
        <w:rPr>
          <w:rFonts w:ascii="Times New Roman" w:hAnsi="Times New Roman" w:cs="Times New Roman"/>
          <w:color w:val="000000"/>
          <w:sz w:val="24"/>
          <w:szCs w:val="24"/>
        </w:rPr>
      </w:pPr>
      <w:r w:rsidRPr="00544695">
        <w:rPr>
          <w:rFonts w:ascii="Times New Roman" w:hAnsi="Times New Roman" w:cs="Times New Roman"/>
          <w:color w:val="000000"/>
          <w:sz w:val="24"/>
          <w:szCs w:val="24"/>
        </w:rPr>
        <w:t xml:space="preserve"> </w:t>
      </w:r>
      <w:r w:rsidRPr="00544695">
        <w:rPr>
          <w:rFonts w:ascii="Times New Roman" w:hAnsi="Times New Roman" w:cs="Times New Roman"/>
          <w:color w:val="000000"/>
          <w:sz w:val="24"/>
          <w:szCs w:val="24"/>
        </w:rPr>
        <w:tab/>
      </w:r>
      <w:r w:rsidRPr="00544695">
        <w:rPr>
          <w:rFonts w:ascii="Times New Roman" w:hAnsi="Times New Roman" w:cs="Times New Roman"/>
          <w:sz w:val="24"/>
          <w:szCs w:val="24"/>
        </w:rPr>
        <w:t>The final model had both fixed and random effects, which were reported as odds ratios and intraclass correlation coefficient</w:t>
      </w:r>
      <w:r>
        <w:rPr>
          <w:rFonts w:ascii="Times New Roman" w:hAnsi="Times New Roman" w:cs="Times New Roman"/>
          <w:sz w:val="24"/>
          <w:szCs w:val="24"/>
        </w:rPr>
        <w:t>s</w:t>
      </w:r>
      <w:r w:rsidRPr="00544695">
        <w:rPr>
          <w:rFonts w:ascii="Times New Roman" w:hAnsi="Times New Roman" w:cs="Times New Roman"/>
          <w:sz w:val="24"/>
          <w:szCs w:val="24"/>
        </w:rPr>
        <w:t xml:space="preserve"> (ICC) respectively. To compare the effect on individuals across the communities, this study manually calculated population-averaged odds ratios (ORs) and 95% confidence interval</w:t>
      </w:r>
      <w:r>
        <w:rPr>
          <w:rFonts w:ascii="Times New Roman" w:hAnsi="Times New Roman" w:cs="Times New Roman"/>
          <w:sz w:val="24"/>
          <w:szCs w:val="24"/>
        </w:rPr>
        <w:t>s</w:t>
      </w:r>
      <w:r w:rsidRPr="00544695">
        <w:rPr>
          <w:rFonts w:ascii="Times New Roman" w:hAnsi="Times New Roman" w:cs="Times New Roman"/>
          <w:sz w:val="24"/>
          <w:szCs w:val="24"/>
        </w:rPr>
        <w:t xml:space="preserve"> from the subject-specific coefficients from the final model using the following equation: </w:t>
      </w:r>
    </w:p>
    <w:p w14:paraId="674CF2A2" w14:textId="77777777" w:rsidR="00D44452" w:rsidRDefault="00D44452" w:rsidP="00D44452">
      <w:pPr>
        <w:tabs>
          <w:tab w:val="center" w:pos="4253"/>
          <w:tab w:val="right" w:pos="8222"/>
        </w:tabs>
        <w:spacing w:before="240" w:after="240" w:line="480" w:lineRule="auto"/>
        <w:rPr>
          <w:rFonts w:ascii="Times New Roman" w:eastAsia="Times New Roman" w:hAnsi="Times New Roman" w:cs="Times New Roman"/>
          <w:sz w:val="24"/>
          <w:szCs w:val="24"/>
          <w:lang w:val="en-GB" w:eastAsia="en-GB"/>
        </w:rPr>
      </w:pPr>
      <w:bookmarkStart w:id="8" w:name="_Toc35478160"/>
      <w:r w:rsidRPr="00544695">
        <w:rPr>
          <w:rFonts w:ascii="Times New Roman" w:eastAsia="Times New Roman" w:hAnsi="Times New Roman" w:cs="Times New Roman"/>
          <w:sz w:val="24"/>
          <w:szCs w:val="24"/>
          <w:lang w:val="en-GB" w:eastAsia="en-GB"/>
        </w:rPr>
        <w:t>Equation 2: Population-averaged Odds Ratios</w:t>
      </w:r>
      <w:bookmarkEnd w:id="8"/>
    </w:p>
    <w:p w14:paraId="0E051303" w14:textId="77777777" w:rsidR="00D44452" w:rsidRPr="008041BD" w:rsidRDefault="00D44452" w:rsidP="00D44452">
      <w:pPr>
        <w:tabs>
          <w:tab w:val="center" w:pos="4253"/>
          <w:tab w:val="right" w:pos="8222"/>
        </w:tabs>
        <w:spacing w:before="240" w:after="240" w:line="48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ab/>
      </w:r>
      <w:r w:rsidRPr="008041BD">
        <w:rPr>
          <w:rFonts w:ascii="Times New Roman" w:eastAsia="Times New Roman" w:hAnsi="Times New Roman" w:cs="Times New Roman"/>
          <w:sz w:val="24"/>
          <w:szCs w:val="24"/>
          <w:lang w:val="en-GB" w:eastAsia="en-GB"/>
        </w:rPr>
        <w:t>β</w:t>
      </w:r>
      <w:r w:rsidRPr="00FC1AC1">
        <w:rPr>
          <w:rFonts w:ascii="Times New Roman" w:eastAsia="Times New Roman" w:hAnsi="Times New Roman" w:cs="Times New Roman"/>
          <w:sz w:val="24"/>
          <w:szCs w:val="24"/>
          <w:vertAlign w:val="subscript"/>
          <w:lang w:val="en-GB" w:eastAsia="en-GB"/>
        </w:rPr>
        <w:t>PA</w:t>
      </w:r>
      <w:r w:rsidRPr="008041BD">
        <w:rPr>
          <w:rFonts w:ascii="Times New Roman" w:eastAsia="Times New Roman" w:hAnsi="Times New Roman" w:cs="Times New Roman"/>
          <w:sz w:val="24"/>
          <w:szCs w:val="24"/>
          <w:lang w:val="en-GB" w:eastAsia="en-GB"/>
        </w:rPr>
        <w:t xml:space="preserve"> =β</w:t>
      </w:r>
      <w:proofErr w:type="gramStart"/>
      <w:r w:rsidRPr="008041BD">
        <w:rPr>
          <w:rFonts w:ascii="Times New Roman" w:eastAsia="Times New Roman" w:hAnsi="Times New Roman" w:cs="Times New Roman"/>
          <w:sz w:val="24"/>
          <w:szCs w:val="24"/>
          <w:lang w:val="en-GB" w:eastAsia="en-GB"/>
        </w:rPr>
        <w:t>/(</w:t>
      </w:r>
      <w:proofErr w:type="gramEnd"/>
      <w:r w:rsidRPr="008041BD">
        <w:rPr>
          <w:rFonts w:ascii="Times New Roman" w:eastAsia="Times New Roman" w:hAnsi="Times New Roman" w:cs="Times New Roman"/>
          <w:sz w:val="24"/>
          <w:szCs w:val="24"/>
          <w:lang w:val="en-GB" w:eastAsia="en-GB"/>
        </w:rPr>
        <w:t>√ (1 + 0.346σ</w:t>
      </w:r>
      <w:r w:rsidRPr="00FC1AC1">
        <w:rPr>
          <w:rFonts w:ascii="Times New Roman" w:eastAsia="Times New Roman" w:hAnsi="Times New Roman" w:cs="Times New Roman"/>
          <w:sz w:val="24"/>
          <w:szCs w:val="24"/>
          <w:vertAlign w:val="superscript"/>
          <w:lang w:val="en-GB" w:eastAsia="en-GB"/>
        </w:rPr>
        <w:t>2</w:t>
      </w:r>
      <w:r w:rsidRPr="008041BD">
        <w:rPr>
          <w:rFonts w:ascii="Times New Roman" w:eastAsia="Times New Roman" w:hAnsi="Times New Roman" w:cs="Times New Roman"/>
          <w:sz w:val="24"/>
          <w:szCs w:val="24"/>
          <w:lang w:val="en-GB" w:eastAsia="en-GB"/>
        </w:rPr>
        <w:t>group) )</w:t>
      </w:r>
    </w:p>
    <w:p w14:paraId="73B70B9D" w14:textId="77777777" w:rsidR="00D44452" w:rsidRPr="00544695" w:rsidRDefault="00D44452" w:rsidP="00D44452">
      <w:pPr>
        <w:autoSpaceDE w:val="0"/>
        <w:autoSpaceDN w:val="0"/>
        <w:adjustRightInd w:val="0"/>
        <w:spacing w:after="0" w:line="480" w:lineRule="auto"/>
        <w:rPr>
          <w:rFonts w:ascii="Cambria Math" w:hAnsi="Cambria Math" w:cs="Cambria Math"/>
          <w:sz w:val="24"/>
          <w:szCs w:val="24"/>
        </w:rPr>
      </w:pPr>
    </w:p>
    <w:p w14:paraId="504588B6" w14:textId="77777777" w:rsidR="00D44452" w:rsidRPr="00544695" w:rsidRDefault="00D44452" w:rsidP="00D44452">
      <w:pPr>
        <w:autoSpaceDE w:val="0"/>
        <w:autoSpaceDN w:val="0"/>
        <w:adjustRightInd w:val="0"/>
        <w:spacing w:after="0" w:line="480" w:lineRule="auto"/>
        <w:ind w:left="720"/>
        <w:rPr>
          <w:rFonts w:ascii="Times New Roman" w:eastAsia="SymbolMT" w:hAnsi="Times New Roman" w:cs="Times New Roman"/>
          <w:sz w:val="24"/>
          <w:szCs w:val="24"/>
        </w:rPr>
      </w:pPr>
      <w:r w:rsidRPr="00544695">
        <w:rPr>
          <w:rFonts w:ascii="Times New Roman" w:eastAsia="SymbolMT" w:hAnsi="Times New Roman" w:cs="Times New Roman"/>
          <w:sz w:val="24"/>
          <w:szCs w:val="24"/>
        </w:rPr>
        <w:t xml:space="preserve">where </w:t>
      </w:r>
      <w:r w:rsidRPr="00544695">
        <w:rPr>
          <w:rFonts w:ascii="Cambria Math" w:hAnsi="Cambria Math" w:cs="Cambria Math"/>
          <w:sz w:val="24"/>
          <w:szCs w:val="24"/>
        </w:rPr>
        <w:t>𝜎</w:t>
      </w:r>
      <w:r w:rsidRPr="00544695">
        <w:rPr>
          <w:rFonts w:ascii="Times New Roman" w:eastAsia="SymbolMT" w:hAnsi="Times New Roman" w:cs="Times New Roman"/>
          <w:sz w:val="24"/>
          <w:szCs w:val="24"/>
          <w:vertAlign w:val="superscript"/>
        </w:rPr>
        <w:t>2</w:t>
      </w:r>
      <w:r w:rsidRPr="00544695">
        <w:rPr>
          <w:rFonts w:ascii="Times New Roman" w:eastAsia="SymbolMT" w:hAnsi="Times New Roman" w:cs="Times New Roman"/>
          <w:sz w:val="24"/>
          <w:szCs w:val="24"/>
          <w:vertAlign w:val="subscript"/>
        </w:rPr>
        <w:t>group</w:t>
      </w:r>
      <w:r w:rsidRPr="00544695">
        <w:rPr>
          <w:rFonts w:ascii="Times New Roman" w:eastAsia="SymbolMT" w:hAnsi="Times New Roman" w:cs="Times New Roman"/>
          <w:sz w:val="24"/>
          <w:szCs w:val="24"/>
        </w:rPr>
        <w:t xml:space="preserve"> is community-level variance, β is the subject-specific regression coefficient.</w:t>
      </w:r>
      <w:r w:rsidRPr="00544695">
        <w:rPr>
          <w:rFonts w:ascii="Times New Roman" w:eastAsia="SymbolMT" w:hAnsi="Times New Roman" w:cs="Times New Roman"/>
          <w:sz w:val="24"/>
          <w:szCs w:val="24"/>
        </w:rPr>
        <w:tab/>
      </w:r>
    </w:p>
    <w:p w14:paraId="169A7F91" w14:textId="77777777" w:rsidR="00D44452" w:rsidRPr="00544695" w:rsidRDefault="00D44452" w:rsidP="00D44452">
      <w:pPr>
        <w:autoSpaceDE w:val="0"/>
        <w:autoSpaceDN w:val="0"/>
        <w:adjustRightInd w:val="0"/>
        <w:spacing w:after="0" w:line="480" w:lineRule="auto"/>
        <w:rPr>
          <w:rFonts w:ascii="Times New Roman" w:hAnsi="Times New Roman" w:cs="Times New Roman"/>
          <w:sz w:val="24"/>
          <w:szCs w:val="24"/>
        </w:rPr>
      </w:pPr>
    </w:p>
    <w:p w14:paraId="401CA229"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lastRenderedPageBreak/>
        <w:t xml:space="preserve">Based on the latent response variable approach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&lt;EndNote&gt;&lt;Cite&gt;&lt;Author&gt;Browne&lt;/Author&gt;&lt;Year&gt;2005&lt;/Year&gt;&lt;RecNum&gt;229&lt;/RecNum&gt;&lt;DisplayText&gt;[42]&lt;/DisplayText&gt;&lt;record&gt;&lt;rec-number&gt;229&lt;/rec-number&gt;&lt;foreign-keys&gt;&lt;key app="EN" db-id="zdefw9a9xs00rperzxjxxe5pxedfe9zwepvw" timestamp="1551235573"&gt;229&lt;/key&gt;&lt;/foreign-keys&gt;&lt;ref-type name="Journal Article"&gt;17&lt;/ref-type&gt;&lt;contributors&gt;&lt;authors&gt;&lt;author&gt;Browne, William J&lt;/author&gt;&lt;author&gt;Subramanian, Swamy V&lt;/author&gt;&lt;author&gt;Jones, Kelvyn&lt;/author&gt;&lt;author&gt;Goldstein, Harvey&lt;/author&gt;&lt;/authors&gt;&lt;/contributors&gt;&lt;titles&gt;&lt;title&gt;Variance partitioning in multilevel logistic models that exhibit overdispersion&lt;/title&gt;&lt;secondary-title&gt;Journal of the Royal Statistical Society: Series A (Statistics in Society)&lt;/secondary-title&gt;&lt;/titles&gt;&lt;periodical&gt;&lt;full-title&gt;Journal of the Royal Statistical Society: Series A (Statistics in Society)&lt;/full-title&gt;&lt;/periodical&gt;&lt;pages&gt;599-613&lt;/pages&gt;&lt;volume&gt;168&lt;/volume&gt;&lt;number&gt;3&lt;/number&gt;&lt;dates&gt;&lt;year&gt;2005&lt;/year&gt;&lt;/dates&gt;&lt;isbn&gt;1467-985X&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42" w:tooltip="Browne, 2005 #229" w:history="1">
        <w:r>
          <w:rPr>
            <w:rFonts w:ascii="Times New Roman" w:hAnsi="Times New Roman" w:cs="Times New Roman"/>
            <w:noProof/>
            <w:sz w:val="24"/>
            <w:szCs w:val="24"/>
          </w:rPr>
          <w:t>42</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the variance partition coefficient (VPC) which is also referred to as Intraclass Correlation Coefficient (ICC) was calculated for the community in both the null and final model</w:t>
      </w:r>
      <w:r>
        <w:rPr>
          <w:rFonts w:ascii="Times New Roman" w:hAnsi="Times New Roman" w:cs="Times New Roman"/>
          <w:sz w:val="24"/>
          <w:szCs w:val="24"/>
        </w:rPr>
        <w:t>, which</w:t>
      </w:r>
      <w:r w:rsidRPr="00544695">
        <w:rPr>
          <w:rFonts w:ascii="Times New Roman" w:hAnsi="Times New Roman" w:cs="Times New Roman"/>
          <w:sz w:val="24"/>
          <w:szCs w:val="24"/>
        </w:rPr>
        <w:t xml:space="preserve"> measures the variability in the dependent variable attributable to the contextual level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&lt;EndNote&gt;&lt;Cite&gt;&lt;Author&gt;Merlo&lt;/Author&gt;&lt;Year&gt;2006&lt;/Year&gt;&lt;RecNum&gt;244&lt;/RecNum&gt;&lt;DisplayText&gt;[43]&lt;/DisplayText&gt;&lt;record&gt;&lt;rec-number&gt;244&lt;/rec-number&gt;&lt;foreign-keys&gt;&lt;key app="EN" db-id="zdefw9a9xs00rperzxjxxe5pxedfe9zwepvw" timestamp="1551237105"&gt;244&lt;/key&gt;&lt;/foreign-keys&gt;&lt;ref-type name="Journal Article"&gt;17&lt;/ref-type&gt;&lt;contributors&gt;&lt;authors&gt;&lt;author&gt;Merlo, Juan&lt;/author&gt;&lt;author&gt;Chaix, Basile&lt;/author&gt;&lt;author&gt;Ohlsson, Henrik&lt;/author&gt;&lt;author&gt;Beckman, Anders&lt;/author&gt;&lt;author&gt;Johnell, Kristina&lt;/author&gt;&lt;author&gt;Hjerpe, Per&lt;/author&gt;&lt;author&gt;Råstam, Lennart&lt;/author&gt;&lt;author&gt;Larsen, Klaus&lt;/author&gt;&lt;/authors&gt;&lt;/contributors&gt;&lt;titles&gt;&lt;title&gt;A brief conceptual tutorial of multilevel analysis in social epidemiology: using measures of clustering in multilevel logistic regression to investigate contextual phenomena&lt;/title&gt;&lt;secondary-title&gt;Journal of Epidemiology &amp;amp; Community Health&lt;/secondary-title&gt;&lt;/titles&gt;&lt;periodical&gt;&lt;full-title&gt;Journal of Epidemiology &amp;amp; Community Health&lt;/full-title&gt;&lt;/periodical&gt;&lt;pages&gt;290-297&lt;/pages&gt;&lt;volume&gt;60&lt;/volume&gt;&lt;number&gt;4&lt;/number&gt;&lt;dates&gt;&lt;year&gt;2006&lt;/year&gt;&lt;/dates&gt;&lt;isbn&gt;0143-005X&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43" w:tooltip="Merlo, 2006 #244" w:history="1">
        <w:r>
          <w:rPr>
            <w:rFonts w:ascii="Times New Roman" w:hAnsi="Times New Roman" w:cs="Times New Roman"/>
            <w:noProof/>
            <w:sz w:val="24"/>
            <w:szCs w:val="24"/>
          </w:rPr>
          <w:t>43</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xml:space="preserve">. The VPC was computed from this formula below. </w:t>
      </w:r>
    </w:p>
    <w:p w14:paraId="2585D97C" w14:textId="77777777" w:rsidR="00D44452" w:rsidRDefault="00D44452" w:rsidP="00D44452">
      <w:pPr>
        <w:tabs>
          <w:tab w:val="center" w:pos="4253"/>
          <w:tab w:val="right" w:pos="8222"/>
        </w:tabs>
        <w:spacing w:before="240" w:after="240" w:line="480" w:lineRule="auto"/>
        <w:rPr>
          <w:rFonts w:ascii="Times New Roman" w:eastAsia="Times New Roman" w:hAnsi="Times New Roman" w:cs="Times New Roman"/>
          <w:sz w:val="24"/>
          <w:szCs w:val="24"/>
          <w:lang w:val="en-GB" w:eastAsia="en-GB"/>
        </w:rPr>
      </w:pPr>
      <w:bookmarkStart w:id="9" w:name="_Toc35478161"/>
      <w:bookmarkStart w:id="10" w:name="_Hlk25101325"/>
      <w:r w:rsidRPr="00544695">
        <w:rPr>
          <w:rFonts w:ascii="Times New Roman" w:eastAsia="Times New Roman" w:hAnsi="Times New Roman" w:cs="Times New Roman"/>
          <w:sz w:val="24"/>
          <w:szCs w:val="24"/>
          <w:lang w:val="en-GB" w:eastAsia="en-GB"/>
        </w:rPr>
        <w:t>Equation 3: Variance Partition Coefficient (VPC)</w:t>
      </w:r>
      <w:bookmarkEnd w:id="9"/>
    </w:p>
    <w:p w14:paraId="1AF534AE" w14:textId="77777777" w:rsidR="00D44452" w:rsidRPr="00544695" w:rsidRDefault="00D44452" w:rsidP="00D44452">
      <w:pPr>
        <w:tabs>
          <w:tab w:val="center" w:pos="4253"/>
          <w:tab w:val="right" w:pos="8222"/>
        </w:tabs>
        <w:spacing w:before="240" w:after="240" w:line="480" w:lineRule="auto"/>
        <w:rPr>
          <w:rFonts w:ascii="Times New Roman" w:hAnsi="Times New Roman" w:cs="Times New Roman"/>
          <w:sz w:val="24"/>
          <w:szCs w:val="24"/>
        </w:rPr>
      </w:pPr>
      <w:r>
        <w:rPr>
          <w:rFonts w:ascii="Times New Roman" w:eastAsia="Times New Roman" w:hAnsi="Times New Roman" w:cs="Times New Roman"/>
          <w:sz w:val="24"/>
          <w:szCs w:val="24"/>
          <w:lang w:val="en-GB" w:eastAsia="en-GB"/>
        </w:rPr>
        <w:tab/>
      </w:r>
      <w:r w:rsidRPr="008041BD">
        <w:rPr>
          <w:rFonts w:ascii="Times New Roman" w:eastAsia="Times New Roman" w:hAnsi="Times New Roman" w:cs="Times New Roman"/>
          <w:sz w:val="24"/>
          <w:szCs w:val="24"/>
          <w:lang w:val="en-GB" w:eastAsia="en-GB"/>
        </w:rPr>
        <w:t>VPC =σ</w:t>
      </w:r>
      <w:r w:rsidRPr="00FC1AC1">
        <w:rPr>
          <w:rFonts w:ascii="Times New Roman" w:eastAsia="Times New Roman" w:hAnsi="Times New Roman" w:cs="Times New Roman"/>
          <w:sz w:val="24"/>
          <w:szCs w:val="24"/>
          <w:vertAlign w:val="superscript"/>
          <w:lang w:val="en-GB" w:eastAsia="en-GB"/>
        </w:rPr>
        <w:t>2</w:t>
      </w:r>
      <w:r w:rsidRPr="008041BD">
        <w:rPr>
          <w:rFonts w:ascii="Times New Roman" w:eastAsia="Times New Roman" w:hAnsi="Times New Roman" w:cs="Times New Roman"/>
          <w:sz w:val="24"/>
          <w:szCs w:val="24"/>
          <w:lang w:val="en-GB" w:eastAsia="en-GB"/>
        </w:rPr>
        <w:t>group/((σ</w:t>
      </w:r>
      <w:r w:rsidRPr="00FC1AC1">
        <w:rPr>
          <w:rFonts w:ascii="Times New Roman" w:eastAsia="Times New Roman" w:hAnsi="Times New Roman" w:cs="Times New Roman"/>
          <w:sz w:val="24"/>
          <w:szCs w:val="24"/>
          <w:vertAlign w:val="superscript"/>
          <w:lang w:val="en-GB" w:eastAsia="en-GB"/>
        </w:rPr>
        <w:t>2</w:t>
      </w:r>
      <w:r w:rsidRPr="008041BD">
        <w:rPr>
          <w:rFonts w:ascii="Times New Roman" w:eastAsia="Times New Roman" w:hAnsi="Times New Roman" w:cs="Times New Roman"/>
          <w:sz w:val="24"/>
          <w:szCs w:val="24"/>
          <w:lang w:val="en-GB" w:eastAsia="en-GB"/>
        </w:rPr>
        <w:t>group+π</w:t>
      </w:r>
      <w:r w:rsidRPr="00FC1AC1">
        <w:rPr>
          <w:rFonts w:ascii="Times New Roman" w:eastAsia="Times New Roman" w:hAnsi="Times New Roman" w:cs="Times New Roman"/>
          <w:sz w:val="24"/>
          <w:szCs w:val="24"/>
          <w:vertAlign w:val="superscript"/>
          <w:lang w:val="en-GB" w:eastAsia="en-GB"/>
        </w:rPr>
        <w:t>2</w:t>
      </w:r>
      <w:r w:rsidRPr="008041BD">
        <w:rPr>
          <w:rFonts w:ascii="Times New Roman" w:eastAsia="Times New Roman" w:hAnsi="Times New Roman" w:cs="Times New Roman"/>
          <w:sz w:val="24"/>
          <w:szCs w:val="24"/>
          <w:lang w:val="en-GB" w:eastAsia="en-GB"/>
        </w:rPr>
        <w:t>/3)</w:t>
      </w:r>
      <w:bookmarkEnd w:id="10"/>
      <w:r>
        <w:rPr>
          <w:rFonts w:ascii="Times New Roman" w:eastAsia="Times New Roman" w:hAnsi="Times New Roman" w:cs="Times New Roman"/>
          <w:sz w:val="24"/>
          <w:szCs w:val="24"/>
          <w:lang w:val="en-GB" w:eastAsia="en-GB"/>
        </w:rPr>
        <w:t xml:space="preserve"> </w:t>
      </w:r>
      <w:r w:rsidRPr="00544695">
        <w:rPr>
          <w:rFonts w:ascii="Times New Roman" w:eastAsia="SymbolMT" w:hAnsi="Times New Roman" w:cs="Times New Roman"/>
          <w:sz w:val="24"/>
          <w:szCs w:val="24"/>
        </w:rPr>
        <w:t xml:space="preserve">where </w:t>
      </w:r>
      <w:r w:rsidRPr="00544695">
        <w:rPr>
          <w:rFonts w:ascii="Cambria Math" w:hAnsi="Cambria Math" w:cs="Cambria Math"/>
          <w:sz w:val="24"/>
          <w:szCs w:val="24"/>
        </w:rPr>
        <w:t>𝜎</w:t>
      </w:r>
      <w:r w:rsidRPr="00544695">
        <w:rPr>
          <w:rFonts w:ascii="Times New Roman" w:eastAsia="SymbolMT" w:hAnsi="Times New Roman" w:cs="Times New Roman"/>
          <w:sz w:val="24"/>
          <w:szCs w:val="24"/>
          <w:vertAlign w:val="superscript"/>
        </w:rPr>
        <w:t>2</w:t>
      </w:r>
      <w:r w:rsidRPr="00544695">
        <w:rPr>
          <w:rFonts w:ascii="Times New Roman" w:eastAsia="SymbolMT" w:hAnsi="Times New Roman" w:cs="Times New Roman"/>
          <w:sz w:val="24"/>
          <w:szCs w:val="24"/>
          <w:vertAlign w:val="subscript"/>
        </w:rPr>
        <w:t>group</w:t>
      </w:r>
      <w:r w:rsidRPr="00544695">
        <w:rPr>
          <w:rFonts w:ascii="Times New Roman" w:eastAsia="SymbolMT" w:hAnsi="Times New Roman" w:cs="Times New Roman"/>
          <w:sz w:val="24"/>
          <w:szCs w:val="24"/>
        </w:rPr>
        <w:t xml:space="preserve"> is community-level variance.</w:t>
      </w:r>
      <w:r w:rsidRPr="00544695">
        <w:rPr>
          <w:rFonts w:ascii="Times New Roman" w:eastAsia="SymbolMT" w:hAnsi="Times New Roman" w:cs="Times New Roman"/>
          <w:sz w:val="24"/>
          <w:szCs w:val="24"/>
        </w:rPr>
        <w:tab/>
      </w:r>
    </w:p>
    <w:p w14:paraId="4BF2A764"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p>
    <w:p w14:paraId="370C794D"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This study computed “design effect (</w:t>
      </w:r>
      <w:proofErr w:type="spellStart"/>
      <w:r w:rsidRPr="00544695">
        <w:rPr>
          <w:rFonts w:ascii="Times New Roman" w:hAnsi="Times New Roman" w:cs="Times New Roman"/>
          <w:sz w:val="24"/>
          <w:szCs w:val="24"/>
        </w:rPr>
        <w:t>deff</w:t>
      </w:r>
      <w:proofErr w:type="spellEnd"/>
      <w:r w:rsidRPr="00544695">
        <w:rPr>
          <w:rFonts w:ascii="Times New Roman" w:hAnsi="Times New Roman" w:cs="Times New Roman"/>
          <w:sz w:val="24"/>
          <w:szCs w:val="24"/>
        </w:rPr>
        <w:t xml:space="preserve">)”, the quotient of the variance in a clustered data structure relative to that in an independent structure. Due to the fact that the variation within or between clusters for discrete data is not always constant, </w:t>
      </w:r>
      <w:proofErr w:type="spellStart"/>
      <w:r w:rsidRPr="00544695">
        <w:rPr>
          <w:rFonts w:ascii="Times New Roman" w:hAnsi="Times New Roman" w:cs="Times New Roman"/>
          <w:sz w:val="24"/>
          <w:szCs w:val="24"/>
        </w:rPr>
        <w:t>deff</w:t>
      </w:r>
      <w:proofErr w:type="spellEnd"/>
      <w:r w:rsidRPr="00544695">
        <w:rPr>
          <w:rFonts w:ascii="Times New Roman" w:hAnsi="Times New Roman" w:cs="Times New Roman"/>
          <w:sz w:val="24"/>
          <w:szCs w:val="24"/>
        </w:rPr>
        <w:t xml:space="preserve"> is an approximation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&lt;EndNote&gt;&lt;Cite&gt;&lt;Author&gt;Maas&lt;/Author&gt;&lt;Year&gt;2005&lt;/Year&gt;&lt;RecNum&gt;243&lt;/RecNum&gt;&lt;DisplayText&gt;[44]&lt;/DisplayText&gt;&lt;record&gt;&lt;rec-number&gt;243&lt;/rec-number&gt;&lt;foreign-keys&gt;&lt;key app="EN" db-id="zdefw9a9xs00rperzxjxxe5pxedfe9zwepvw" timestamp="1551237032"&gt;243&lt;/key&gt;&lt;/foreign-keys&gt;&lt;ref-type name="Journal Article"&gt;17&lt;/ref-type&gt;&lt;contributors&gt;&lt;authors&gt;&lt;author&gt;Maas, Cora JM&lt;/author&gt;&lt;author&gt;Hox, Joop J&lt;/author&gt;&lt;/authors&gt;&lt;/contributors&gt;&lt;titles&gt;&lt;title&gt;Sufficient sample sizes for multilevel modeling&lt;/title&gt;&lt;secondary-title&gt;Methodology&lt;/secondary-title&gt;&lt;/titles&gt;&lt;periodical&gt;&lt;full-title&gt;Methodology&lt;/full-title&gt;&lt;/periodical&gt;&lt;pages&gt;86-92&lt;/pages&gt;&lt;volume&gt;1&lt;/volume&gt;&lt;number&gt;3&lt;/number&gt;&lt;dates&gt;&lt;year&gt;2005&lt;/year&gt;&lt;/dates&gt;&lt;isbn&gt;1614-1881&lt;/isbn&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44" w:tooltip="Maas, 2005 #243" w:history="1">
        <w:r>
          <w:rPr>
            <w:rFonts w:ascii="Times New Roman" w:hAnsi="Times New Roman" w:cs="Times New Roman"/>
            <w:noProof/>
            <w:sz w:val="24"/>
            <w:szCs w:val="24"/>
          </w:rPr>
          <w:t>44</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w:t>
      </w:r>
    </w:p>
    <w:p w14:paraId="74964DDF" w14:textId="77777777" w:rsidR="00D44452" w:rsidRPr="00544695" w:rsidRDefault="00D44452" w:rsidP="00D44452">
      <w:pPr>
        <w:tabs>
          <w:tab w:val="center" w:pos="4253"/>
          <w:tab w:val="right" w:pos="8222"/>
        </w:tabs>
        <w:spacing w:before="240" w:after="240" w:line="480" w:lineRule="auto"/>
        <w:rPr>
          <w:rFonts w:ascii="Times New Roman" w:eastAsia="Times New Roman" w:hAnsi="Times New Roman" w:cs="Times New Roman"/>
          <w:sz w:val="24"/>
          <w:szCs w:val="24"/>
          <w:lang w:val="en-GB" w:eastAsia="en-GB"/>
        </w:rPr>
      </w:pPr>
      <w:bookmarkStart w:id="11" w:name="_Toc35478162"/>
      <w:r w:rsidRPr="00544695">
        <w:rPr>
          <w:rFonts w:ascii="Times New Roman" w:eastAsia="Times New Roman" w:hAnsi="Times New Roman" w:cs="Times New Roman"/>
          <w:sz w:val="24"/>
          <w:szCs w:val="24"/>
          <w:lang w:val="en-GB" w:eastAsia="en-GB"/>
        </w:rPr>
        <w:t>Equation 4: Design effect</w:t>
      </w:r>
      <w:bookmarkEnd w:id="11"/>
    </w:p>
    <w:p w14:paraId="4536481E"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proofErr w:type="spellStart"/>
      <w:r w:rsidRPr="00544695">
        <w:rPr>
          <w:rFonts w:ascii="Times New Roman" w:hAnsi="Times New Roman" w:cs="Times New Roman"/>
          <w:sz w:val="24"/>
          <w:szCs w:val="24"/>
        </w:rPr>
        <w:t>deff</w:t>
      </w:r>
      <w:proofErr w:type="spellEnd"/>
      <w:r w:rsidRPr="00544695">
        <w:rPr>
          <w:rFonts w:ascii="Times New Roman" w:hAnsi="Times New Roman" w:cs="Times New Roman"/>
          <w:sz w:val="24"/>
          <w:szCs w:val="24"/>
        </w:rPr>
        <w:t xml:space="preserve"> ≈ 1 + (C - 1) x ICC, </w:t>
      </w:r>
    </w:p>
    <w:p w14:paraId="4E797426" w14:textId="77777777" w:rsidR="00D44452" w:rsidRPr="00544695" w:rsidRDefault="00D44452" w:rsidP="00D44452">
      <w:pPr>
        <w:autoSpaceDE w:val="0"/>
        <w:autoSpaceDN w:val="0"/>
        <w:adjustRightInd w:val="0"/>
        <w:spacing w:after="0" w:line="480" w:lineRule="auto"/>
        <w:rPr>
          <w:rFonts w:ascii="Times New Roman" w:hAnsi="Times New Roman" w:cs="Times New Roman"/>
          <w:sz w:val="24"/>
          <w:szCs w:val="24"/>
        </w:rPr>
      </w:pPr>
      <w:r w:rsidRPr="00544695">
        <w:rPr>
          <w:rFonts w:ascii="Times New Roman" w:hAnsi="Times New Roman" w:cs="Times New Roman"/>
          <w:sz w:val="24"/>
          <w:szCs w:val="24"/>
        </w:rPr>
        <w:t>where C is average cluster size and ICC represents intraclass correlation coefficient.</w:t>
      </w:r>
    </w:p>
    <w:p w14:paraId="2469BA10" w14:textId="77777777" w:rsidR="00D44452" w:rsidRPr="00544695" w:rsidRDefault="00D44452" w:rsidP="00D44452">
      <w:pPr>
        <w:autoSpaceDE w:val="0"/>
        <w:autoSpaceDN w:val="0"/>
        <w:adjustRightInd w:val="0"/>
        <w:spacing w:after="0" w:line="480" w:lineRule="auto"/>
        <w:ind w:firstLine="720"/>
        <w:rPr>
          <w:rFonts w:ascii="Times New Roman" w:hAnsi="Times New Roman" w:cs="Times New Roman"/>
          <w:sz w:val="24"/>
          <w:szCs w:val="24"/>
        </w:rPr>
      </w:pPr>
      <w:r w:rsidRPr="00544695">
        <w:rPr>
          <w:rFonts w:ascii="Times New Roman" w:hAnsi="Times New Roman" w:cs="Times New Roman"/>
          <w:sz w:val="24"/>
          <w:szCs w:val="24"/>
        </w:rPr>
        <w:t xml:space="preserve">The final model in this study was compared with the null model, and a smaller value of Akaike’s Information Criterion (AIC) and Bayesian Information Criterion (BIC)  was regarded as a  parsimonious model </w:t>
      </w:r>
      <w:r w:rsidRPr="0054469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&lt;EndNote&gt;&lt;Cite&gt;&lt;Author&gt;Akaike&lt;/Author&gt;&lt;Year&gt;1974&lt;/Year&gt;&lt;RecNum&gt;315&lt;/RecNum&gt;&lt;DisplayText&gt;[45]&lt;/DisplayText&gt;&lt;record&gt;&lt;rec-number&gt;315&lt;/rec-number&gt;&lt;foreign-keys&gt;&lt;key app="EN" db-id="zdefw9a9xs00rperzxjxxe5pxedfe9zwepvw" timestamp="1563310045"&gt;315&lt;/key&gt;&lt;/foreign-keys&gt;&lt;ref-type name="Book Section"&gt;5&lt;/ref-type&gt;&lt;contributors&gt;&lt;authors&gt;&lt;author&gt;Akaike, Hirotugu&lt;/author&gt;&lt;/authors&gt;&lt;/contributors&gt;&lt;titles&gt;&lt;title&gt;A new look at the statistical model identification&lt;/title&gt;&lt;secondary-title&gt;Selected Papers of Hirotugu Akaike&lt;/secondary-title&gt;&lt;/titles&gt;&lt;pages&gt;215-222&lt;/pages&gt;&lt;dates&gt;&lt;year&gt;1974&lt;/year&gt;&lt;/dates&gt;&lt;publisher&gt;Springer&lt;/publisher&gt;&lt;urls&gt;&lt;/urls&gt;&lt;/record&gt;&lt;/Cite&gt;&lt;/EndNote&gt;</w:instrText>
      </w:r>
      <w:r w:rsidRPr="0054469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45" w:tooltip="Akaike, 1974 #315" w:history="1">
        <w:r>
          <w:rPr>
            <w:rFonts w:ascii="Times New Roman" w:hAnsi="Times New Roman" w:cs="Times New Roman"/>
            <w:noProof/>
            <w:sz w:val="24"/>
            <w:szCs w:val="24"/>
          </w:rPr>
          <w:t>45</w:t>
        </w:r>
      </w:hyperlink>
      <w:r>
        <w:rPr>
          <w:rFonts w:ascii="Times New Roman" w:hAnsi="Times New Roman" w:cs="Times New Roman"/>
          <w:noProof/>
          <w:sz w:val="24"/>
          <w:szCs w:val="24"/>
        </w:rPr>
        <w:t>]</w:t>
      </w:r>
      <w:r w:rsidRPr="00544695">
        <w:rPr>
          <w:rFonts w:ascii="Times New Roman" w:hAnsi="Times New Roman" w:cs="Times New Roman"/>
          <w:sz w:val="24"/>
          <w:szCs w:val="24"/>
        </w:rPr>
        <w:fldChar w:fldCharType="end"/>
      </w:r>
      <w:r w:rsidRPr="00544695">
        <w:rPr>
          <w:rFonts w:ascii="Times New Roman" w:hAnsi="Times New Roman" w:cs="Times New Roman"/>
          <w:sz w:val="24"/>
          <w:szCs w:val="24"/>
        </w:rPr>
        <w:t>. Also, model diagnostics was done using the area under the curve (AUC) of the receiver-operating characteristic (ROC). Alpha level of 0.05 was used to gauge the association that was statistically significant in this current research. STATA 14 (Stata Corp. Inc., TX, USA) was employed in this study.</w:t>
      </w:r>
    </w:p>
    <w:p w14:paraId="01BB9B03"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452"/>
    <w:rsid w:val="00D44452"/>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673F2"/>
  <w15:chartTrackingRefBased/>
  <w15:docId w15:val="{1103956A-F998-444A-8F3B-49E742FFA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4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4707</Words>
  <Characters>26834</Characters>
  <Application>Microsoft Office Word</Application>
  <DocSecurity>0</DocSecurity>
  <Lines>223</Lines>
  <Paragraphs>62</Paragraphs>
  <ScaleCrop>false</ScaleCrop>
  <Company/>
  <LinksUpToDate>false</LinksUpToDate>
  <CharactersWithSpaces>31479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2020-06-08T18:48:00Z</dcterms:created>
  <dcterms:modified xsi:type="dcterms:W3CDTF">2020-06-08T18:48:00Z</dcterms:modified>
</cp:coreProperties>
</file>