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75B75" w14:textId="77777777" w:rsidR="00301FEE" w:rsidRPr="00A45E91" w:rsidRDefault="00301FEE" w:rsidP="00F96F52">
      <w:pPr>
        <w:spacing w:after="240"/>
        <w:rPr>
          <w:rFonts w:asciiTheme="minorHAnsi" w:hAnsiTheme="minorHAnsi" w:cstheme="minorHAnsi"/>
          <w:b/>
          <w:bCs/>
        </w:rPr>
      </w:pPr>
      <w:r w:rsidRPr="00A45E91">
        <w:rPr>
          <w:rFonts w:asciiTheme="minorHAnsi" w:hAnsiTheme="minorHAnsi" w:cstheme="minorHAnsi"/>
          <w:b/>
          <w:bCs/>
        </w:rPr>
        <w:t>Supplementary material B</w:t>
      </w:r>
      <w:r>
        <w:rPr>
          <w:rFonts w:asciiTheme="minorHAnsi" w:hAnsiTheme="minorHAnsi" w:cstheme="minorHAnsi"/>
          <w:b/>
          <w:bCs/>
        </w:rPr>
        <w:t>.</w:t>
      </w:r>
      <w:r w:rsidRPr="00A45E91">
        <w:rPr>
          <w:rFonts w:asciiTheme="minorHAnsi" w:hAnsiTheme="minorHAnsi" w:cstheme="minorHAnsi"/>
          <w:b/>
          <w:bCs/>
        </w:rPr>
        <w:t xml:space="preserve"> Validated measures included in survey, including description, number of items, response format and </w:t>
      </w:r>
      <w:proofErr w:type="gramStart"/>
      <w:r w:rsidRPr="00A45E91">
        <w:rPr>
          <w:rFonts w:asciiTheme="minorHAnsi" w:hAnsiTheme="minorHAnsi" w:cstheme="minorHAnsi"/>
          <w:b/>
          <w:bCs/>
        </w:rPr>
        <w:t>scoring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3"/>
        <w:gridCol w:w="1373"/>
        <w:gridCol w:w="3413"/>
        <w:gridCol w:w="682"/>
        <w:gridCol w:w="3180"/>
      </w:tblGrid>
      <w:tr w:rsidR="00301FEE" w:rsidRPr="00913FBC" w14:paraId="61D005DB" w14:textId="77777777" w:rsidTr="00A257D2">
        <w:tc>
          <w:tcPr>
            <w:tcW w:w="542" w:type="pct"/>
          </w:tcPr>
          <w:p w14:paraId="5FEC85A6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Concept</w:t>
            </w:r>
          </w:p>
        </w:tc>
        <w:tc>
          <w:tcPr>
            <w:tcW w:w="715" w:type="pct"/>
          </w:tcPr>
          <w:p w14:paraId="0FD00BBF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Measure</w:t>
            </w:r>
          </w:p>
        </w:tc>
        <w:tc>
          <w:tcPr>
            <w:tcW w:w="1916" w:type="pct"/>
          </w:tcPr>
          <w:p w14:paraId="3B5F5B14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Description</w:t>
            </w:r>
          </w:p>
        </w:tc>
        <w:tc>
          <w:tcPr>
            <w:tcW w:w="109" w:type="pct"/>
          </w:tcPr>
          <w:p w14:paraId="5435ED0D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Items</w:t>
            </w:r>
          </w:p>
        </w:tc>
        <w:tc>
          <w:tcPr>
            <w:tcW w:w="1718" w:type="pct"/>
          </w:tcPr>
          <w:p w14:paraId="33D3DCF2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Response format and scoring</w:t>
            </w:r>
          </w:p>
        </w:tc>
      </w:tr>
      <w:tr w:rsidR="00301FEE" w:rsidRPr="00913FBC" w14:paraId="4A561151" w14:textId="77777777" w:rsidTr="00A257D2">
        <w:tc>
          <w:tcPr>
            <w:tcW w:w="542" w:type="pct"/>
          </w:tcPr>
          <w:p w14:paraId="047D8984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Personality</w:t>
            </w:r>
          </w:p>
        </w:tc>
        <w:tc>
          <w:tcPr>
            <w:tcW w:w="715" w:type="pct"/>
          </w:tcPr>
          <w:p w14:paraId="5F113018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HEXACO-Personality Inventory-Revised</w:t>
            </w:r>
          </w:p>
        </w:tc>
        <w:tc>
          <w:tcPr>
            <w:tcW w:w="1916" w:type="pct"/>
          </w:tcPr>
          <w:p w14:paraId="316EE9D4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6 broad personality domains (honesty-humility, emotionality, extraversion, agreeableness, conscientiousness, openness) and 25 narrow personality facets. In comparison to the Big Five structure, there is a slight reorganizing of neuroticism (and renaming to emotionality) and extraversion.</w:t>
            </w:r>
          </w:p>
        </w:tc>
        <w:tc>
          <w:tcPr>
            <w:tcW w:w="109" w:type="pct"/>
          </w:tcPr>
          <w:p w14:paraId="070D2D15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100</w:t>
            </w:r>
          </w:p>
        </w:tc>
        <w:tc>
          <w:tcPr>
            <w:tcW w:w="1718" w:type="pct"/>
          </w:tcPr>
          <w:p w14:paraId="1F87218C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5-point scale from 1 = Strongly disagree to 5 = Strongly agree. </w:t>
            </w:r>
          </w:p>
          <w:p w14:paraId="1E1EC410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Mean domain/facet scores (range: 1-5). </w:t>
            </w:r>
          </w:p>
          <w:p w14:paraId="1D54693D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Higher scores reflect higher levels of that domain. </w:t>
            </w:r>
          </w:p>
        </w:tc>
      </w:tr>
      <w:tr w:rsidR="00301FEE" w:rsidRPr="00913FBC" w14:paraId="555AA2A1" w14:textId="77777777" w:rsidTr="00A257D2">
        <w:tc>
          <w:tcPr>
            <w:tcW w:w="542" w:type="pct"/>
          </w:tcPr>
          <w:p w14:paraId="62E32731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General emotional well-being</w:t>
            </w:r>
          </w:p>
        </w:tc>
        <w:tc>
          <w:tcPr>
            <w:tcW w:w="715" w:type="pct"/>
          </w:tcPr>
          <w:p w14:paraId="3F6369AD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WHO Well-Being Index (WHO-5) </w:t>
            </w:r>
          </w:p>
        </w:tc>
        <w:tc>
          <w:tcPr>
            <w:tcW w:w="1916" w:type="pct"/>
          </w:tcPr>
          <w:p w14:paraId="63D9FABF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Interest,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engagement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and mood over the preceding seven days</w:t>
            </w:r>
          </w:p>
        </w:tc>
        <w:tc>
          <w:tcPr>
            <w:tcW w:w="109" w:type="pct"/>
          </w:tcPr>
          <w:p w14:paraId="3C75569E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5</w:t>
            </w:r>
          </w:p>
        </w:tc>
        <w:tc>
          <w:tcPr>
            <w:tcW w:w="1718" w:type="pct"/>
          </w:tcPr>
          <w:p w14:paraId="7C88AE15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6-point scale from 0 = At no time to 5 =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All of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the time.</w:t>
            </w:r>
          </w:p>
          <w:p w14:paraId="228B4ECC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Total score (range: 0-25). Higher scores indicate better general emotional well-being. Scores &lt;13 indicate depressive symptoms (likely depression) </w:t>
            </w:r>
          </w:p>
        </w:tc>
      </w:tr>
      <w:tr w:rsidR="00301FEE" w:rsidRPr="00913FBC" w14:paraId="44475AF8" w14:textId="77777777" w:rsidTr="00A257D2">
        <w:tc>
          <w:tcPr>
            <w:tcW w:w="542" w:type="pct"/>
          </w:tcPr>
          <w:p w14:paraId="111DCF03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Diabetes distress</w:t>
            </w:r>
          </w:p>
        </w:tc>
        <w:tc>
          <w:tcPr>
            <w:tcW w:w="715" w:type="pct"/>
          </w:tcPr>
          <w:p w14:paraId="3F9B555F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Diabetes Distress Scale (DDS) </w:t>
            </w:r>
          </w:p>
        </w:tc>
        <w:tc>
          <w:tcPr>
            <w:tcW w:w="1916" w:type="pct"/>
          </w:tcPr>
          <w:p w14:paraId="4526E897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Extent to which aspects of diabetes have been experienced as distressing over the preceding month, rated across</w:t>
            </w:r>
          </w:p>
          <w:p w14:paraId="00B5C2D9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4 subscales: Emotional burden, Physician-related distress, Regimen-related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distress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and Interpersonal distress.</w:t>
            </w:r>
          </w:p>
        </w:tc>
        <w:tc>
          <w:tcPr>
            <w:tcW w:w="109" w:type="pct"/>
          </w:tcPr>
          <w:p w14:paraId="5800B813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17</w:t>
            </w:r>
          </w:p>
        </w:tc>
        <w:tc>
          <w:tcPr>
            <w:tcW w:w="1718" w:type="pct"/>
          </w:tcPr>
          <w:p w14:paraId="2EA2A86A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6-point scale from 1 = Not a problem to 6 = A very serious problem.</w:t>
            </w:r>
          </w:p>
          <w:p w14:paraId="3123C4F3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Mean score (range: 1-6). Higher scores indicate greater diabetes distress.</w:t>
            </w:r>
          </w:p>
        </w:tc>
      </w:tr>
      <w:tr w:rsidR="00301FEE" w:rsidRPr="00913FBC" w14:paraId="48AE358B" w14:textId="77777777" w:rsidTr="00A257D2">
        <w:tc>
          <w:tcPr>
            <w:tcW w:w="542" w:type="pct"/>
          </w:tcPr>
          <w:p w14:paraId="0079BAE2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General self-efficacy</w:t>
            </w:r>
          </w:p>
        </w:tc>
        <w:tc>
          <w:tcPr>
            <w:tcW w:w="715" w:type="pct"/>
          </w:tcPr>
          <w:p w14:paraId="59031AF6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General Self-Efficacy Scale (GSE) </w:t>
            </w:r>
          </w:p>
        </w:tc>
        <w:tc>
          <w:tcPr>
            <w:tcW w:w="1916" w:type="pct"/>
          </w:tcPr>
          <w:p w14:paraId="672E254F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Self-belief to cope with various difficult demands of life provided an overall score of general self-efficacy</w:t>
            </w:r>
          </w:p>
        </w:tc>
        <w:tc>
          <w:tcPr>
            <w:tcW w:w="109" w:type="pct"/>
          </w:tcPr>
          <w:p w14:paraId="705A3A1D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10</w:t>
            </w:r>
          </w:p>
        </w:tc>
        <w:tc>
          <w:tcPr>
            <w:tcW w:w="1718" w:type="pct"/>
          </w:tcPr>
          <w:p w14:paraId="50745263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4-point scale from 1 = Not at all true to 4 = Exactly true.</w:t>
            </w:r>
          </w:p>
          <w:p w14:paraId="19897084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Total score (range: 10-40). Higher scores indicate greater general self-efficacy.</w:t>
            </w:r>
          </w:p>
        </w:tc>
      </w:tr>
      <w:tr w:rsidR="00301FEE" w:rsidRPr="00913FBC" w14:paraId="79E7BFEA" w14:textId="77777777" w:rsidTr="00A257D2">
        <w:tc>
          <w:tcPr>
            <w:tcW w:w="542" w:type="pct"/>
          </w:tcPr>
          <w:p w14:paraId="5E48FB2C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Diabetes self-efficacy</w:t>
            </w:r>
          </w:p>
        </w:tc>
        <w:tc>
          <w:tcPr>
            <w:tcW w:w="715" w:type="pct"/>
          </w:tcPr>
          <w:p w14:paraId="30D8B37B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Diabetes Management Self-Efficacy Scale (DMSES) </w:t>
            </w:r>
          </w:p>
        </w:tc>
        <w:tc>
          <w:tcPr>
            <w:tcW w:w="1916" w:type="pct"/>
          </w:tcPr>
          <w:p w14:paraId="046A5020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Confidence to perform functional diabetes management </w:t>
            </w:r>
            <w:proofErr w:type="spellStart"/>
            <w:r w:rsidRPr="00913FBC">
              <w:rPr>
                <w:rFonts w:cstheme="minorHAnsi"/>
                <w:sz w:val="20"/>
                <w:szCs w:val="20"/>
                <w:lang w:val="en-AU"/>
              </w:rPr>
              <w:t>behaviors</w:t>
            </w:r>
            <w:proofErr w:type="spell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across 4 subscales: Nutrition specific and weight, Nutrition general and medical treatment, Physical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activity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and Blood sugar.</w:t>
            </w:r>
          </w:p>
        </w:tc>
        <w:tc>
          <w:tcPr>
            <w:tcW w:w="109" w:type="pct"/>
          </w:tcPr>
          <w:p w14:paraId="7D909850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20</w:t>
            </w:r>
          </w:p>
        </w:tc>
        <w:tc>
          <w:tcPr>
            <w:tcW w:w="1718" w:type="pct"/>
          </w:tcPr>
          <w:p w14:paraId="2F303A36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11-point scale, where 0 = “Cannot do at all”, 5 = “Maybe yes, maybe no” and 10 = “Certainly can do”.</w:t>
            </w:r>
          </w:p>
          <w:p w14:paraId="6835FAEA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Total score (range: 20-200). Higher scores indicate greater self-efficacy in managing diabetes.</w:t>
            </w:r>
          </w:p>
        </w:tc>
      </w:tr>
      <w:tr w:rsidR="00301FEE" w:rsidRPr="00913FBC" w14:paraId="7F223AEB" w14:textId="77777777" w:rsidTr="00A257D2">
        <w:tc>
          <w:tcPr>
            <w:tcW w:w="542" w:type="pct"/>
          </w:tcPr>
          <w:p w14:paraId="4ABA7D34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Body Mass Index (BMI)</w:t>
            </w:r>
          </w:p>
        </w:tc>
        <w:tc>
          <w:tcPr>
            <w:tcW w:w="715" w:type="pct"/>
          </w:tcPr>
          <w:p w14:paraId="6F61FDD8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Single items: height and weight</w:t>
            </w:r>
          </w:p>
        </w:tc>
        <w:tc>
          <w:tcPr>
            <w:tcW w:w="1916" w:type="pct"/>
          </w:tcPr>
          <w:p w14:paraId="1D542C06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Body composition assessed as a ratio of weight to height to standardize weight class,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e.g.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obesity</w:t>
            </w:r>
          </w:p>
        </w:tc>
        <w:tc>
          <w:tcPr>
            <w:tcW w:w="109" w:type="pct"/>
          </w:tcPr>
          <w:p w14:paraId="4129B307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2</w:t>
            </w:r>
          </w:p>
        </w:tc>
        <w:tc>
          <w:tcPr>
            <w:tcW w:w="1718" w:type="pct"/>
          </w:tcPr>
          <w:p w14:paraId="77C5ED01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Self-report weight (kg) and height (m) (formula: Weight / Height2)</w:t>
            </w:r>
          </w:p>
        </w:tc>
      </w:tr>
      <w:tr w:rsidR="00301FEE" w:rsidRPr="00913FBC" w14:paraId="708C4520" w14:textId="77777777" w:rsidTr="00A257D2">
        <w:tc>
          <w:tcPr>
            <w:tcW w:w="542" w:type="pct"/>
          </w:tcPr>
          <w:p w14:paraId="5F3B3770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Physical activity</w:t>
            </w:r>
          </w:p>
        </w:tc>
        <w:tc>
          <w:tcPr>
            <w:tcW w:w="715" w:type="pct"/>
          </w:tcPr>
          <w:p w14:paraId="7DCABD71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International Physical Activity Questionnaire – Short Form (IPAQ-SF) </w:t>
            </w:r>
          </w:p>
        </w:tc>
        <w:tc>
          <w:tcPr>
            <w:tcW w:w="1916" w:type="pct"/>
          </w:tcPr>
          <w:p w14:paraId="65D29E9F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Total physical activity (vigorous,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moderate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and walking activity) over the preceding week in MET-minutes (multiples of the resting metabolic rate). </w:t>
            </w:r>
          </w:p>
        </w:tc>
        <w:tc>
          <w:tcPr>
            <w:tcW w:w="109" w:type="pct"/>
          </w:tcPr>
          <w:p w14:paraId="5C1C1C4B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3</w:t>
            </w:r>
          </w:p>
        </w:tc>
        <w:tc>
          <w:tcPr>
            <w:tcW w:w="1718" w:type="pct"/>
          </w:tcPr>
          <w:p w14:paraId="3D763D9E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Self-report of 10+ minutes of weekly vigorous, </w:t>
            </w:r>
            <w:proofErr w:type="gramStart"/>
            <w:r w:rsidRPr="00913FBC">
              <w:rPr>
                <w:rFonts w:cstheme="minorHAnsi"/>
                <w:sz w:val="20"/>
                <w:szCs w:val="20"/>
                <w:lang w:val="en-AU"/>
              </w:rPr>
              <w:t>moderate</w:t>
            </w:r>
            <w:proofErr w:type="gramEnd"/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 and walking activity </w:t>
            </w:r>
          </w:p>
          <w:p w14:paraId="7C269E1A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Measured in MET-minutes. Higher scores reflect greater physical activity.</w:t>
            </w:r>
          </w:p>
        </w:tc>
      </w:tr>
      <w:tr w:rsidR="00301FEE" w:rsidRPr="00913FBC" w14:paraId="4B5BA952" w14:textId="77777777" w:rsidTr="00A257D2">
        <w:tc>
          <w:tcPr>
            <w:tcW w:w="542" w:type="pct"/>
          </w:tcPr>
          <w:p w14:paraId="5044DC3A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Healthy diet</w:t>
            </w:r>
          </w:p>
        </w:tc>
        <w:tc>
          <w:tcPr>
            <w:tcW w:w="715" w:type="pct"/>
          </w:tcPr>
          <w:p w14:paraId="7CC183CB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 xml:space="preserve">UK Diabetes Diet Questionnaire (UKDDQ) </w:t>
            </w:r>
          </w:p>
        </w:tc>
        <w:tc>
          <w:tcPr>
            <w:tcW w:w="1916" w:type="pct"/>
          </w:tcPr>
          <w:p w14:paraId="26EA0413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Healthfulness of food consumed over the preceding month, across 3 subscales: Fibre, Saturated fat and Added sugar.</w:t>
            </w:r>
          </w:p>
        </w:tc>
        <w:tc>
          <w:tcPr>
            <w:tcW w:w="109" w:type="pct"/>
          </w:tcPr>
          <w:p w14:paraId="7AAB1428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24</w:t>
            </w:r>
          </w:p>
        </w:tc>
        <w:tc>
          <w:tcPr>
            <w:tcW w:w="1718" w:type="pct"/>
          </w:tcPr>
          <w:p w14:paraId="103138C5" w14:textId="77777777" w:rsidR="00301FEE" w:rsidRPr="00913FBC" w:rsidRDefault="00301FEE" w:rsidP="00A257D2">
            <w:pPr>
              <w:pStyle w:val="BodyText"/>
              <w:ind w:firstLine="0"/>
              <w:rPr>
                <w:rFonts w:cstheme="minorHAnsi"/>
                <w:sz w:val="20"/>
                <w:szCs w:val="20"/>
                <w:lang w:val="en-AU"/>
              </w:rPr>
            </w:pPr>
            <w:r w:rsidRPr="00913FBC">
              <w:rPr>
                <w:rFonts w:cstheme="minorHAnsi"/>
                <w:sz w:val="20"/>
                <w:szCs w:val="20"/>
                <w:lang w:val="en-AU"/>
              </w:rPr>
              <w:t>6-point scale from 0 = Never or very rarely to 5 = Variable depending on food item (up to 4+ times a day.</w:t>
            </w:r>
            <w:r w:rsidRPr="00913FBC">
              <w:rPr>
                <w:rFonts w:cstheme="minorHAnsi"/>
                <w:sz w:val="20"/>
                <w:szCs w:val="20"/>
                <w:lang w:val="en-AU"/>
              </w:rPr>
              <w:br/>
              <w:t>Total score (range: 0-120). Higher scores reflect healthier dietary choices.</w:t>
            </w:r>
          </w:p>
        </w:tc>
      </w:tr>
    </w:tbl>
    <w:p w14:paraId="167B7AC5" w14:textId="77777777" w:rsidR="00301FEE" w:rsidRPr="001875FD" w:rsidRDefault="00301FEE" w:rsidP="00301FE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53E8D86E" w14:textId="77777777" w:rsidR="00E76BC3" w:rsidRDefault="00E76BC3"/>
    <w:sectPr w:rsidR="00E76BC3" w:rsidSect="0032563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849" w:bottom="1440" w:left="1276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BC45" w14:textId="77777777" w:rsidR="00000000" w:rsidRDefault="00F96F52">
      <w:r>
        <w:separator/>
      </w:r>
    </w:p>
  </w:endnote>
  <w:endnote w:type="continuationSeparator" w:id="0">
    <w:p w14:paraId="49C2C946" w14:textId="77777777" w:rsidR="00000000" w:rsidRDefault="00F9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D5BC" w14:textId="77777777" w:rsidR="00D57580" w:rsidRDefault="003256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4FC6EF" wp14:editId="7A8FA0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" name="Text Box 2" descr="Deakin - Restricted to Staff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19217" w14:textId="77777777" w:rsidR="00D57580" w:rsidRPr="00D57580" w:rsidRDefault="00325632" w:rsidP="00D5758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758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Deakin - Restricted to Staff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FC6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akin - Restricted to Staff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219217" w14:textId="77777777" w:rsidR="00D57580" w:rsidRPr="00D57580" w:rsidRDefault="00325632" w:rsidP="00D5758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758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Deakin - Restricted to Staff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68C3" w14:textId="77777777" w:rsidR="00D57580" w:rsidRDefault="00F96F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B47C" w14:textId="77777777" w:rsidR="00D57580" w:rsidRDefault="003256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1CCC34" wp14:editId="32D2E4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" name="Text Box 1" descr="Deakin - Restricted to Staff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1B93C" w14:textId="77777777" w:rsidR="00D57580" w:rsidRPr="00D57580" w:rsidRDefault="00325632" w:rsidP="00D5758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758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Deakin - Restricted to Staff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CCC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eakin - Restricted to Staff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FE1B93C" w14:textId="77777777" w:rsidR="00D57580" w:rsidRPr="00D57580" w:rsidRDefault="00325632" w:rsidP="00D5758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758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Deakin - Restricted to Staff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C89E" w14:textId="77777777" w:rsidR="00000000" w:rsidRDefault="00F96F52">
      <w:r>
        <w:separator/>
      </w:r>
    </w:p>
  </w:footnote>
  <w:footnote w:type="continuationSeparator" w:id="0">
    <w:p w14:paraId="704AE403" w14:textId="77777777" w:rsidR="00000000" w:rsidRDefault="00F96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545D" w14:textId="18F1BD55" w:rsidR="00D9768D" w:rsidRDefault="00325632" w:rsidP="007C2656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28C5366" w14:textId="77777777" w:rsidR="00D9768D" w:rsidRDefault="00F96F52" w:rsidP="006434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7915" w14:textId="77777777" w:rsidR="00D9768D" w:rsidRDefault="00325632" w:rsidP="00643479">
    <w:pPr>
      <w:pStyle w:val="Header"/>
      <w:ind w:right="360"/>
    </w:pPr>
    <w:r>
      <w:t>UNDERSTANDING PERSONALITY IN TYPE 2 DIABETES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EE"/>
    <w:rsid w:val="00301FEE"/>
    <w:rsid w:val="00325632"/>
    <w:rsid w:val="005A1F4E"/>
    <w:rsid w:val="007F3586"/>
    <w:rsid w:val="009B7F51"/>
    <w:rsid w:val="00E76BC3"/>
    <w:rsid w:val="00F9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30545"/>
  <w15:chartTrackingRefBased/>
  <w15:docId w15:val="{325A21A7-515B-4857-8940-DEC4BF9B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FEE"/>
    <w:pPr>
      <w:spacing w:after="0" w:line="240" w:lineRule="auto"/>
    </w:pPr>
    <w:rPr>
      <w:rFonts w:ascii="Times New Roman" w:hAnsi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FEE"/>
    <w:pPr>
      <w:keepNext/>
      <w:keepLines/>
      <w:spacing w:before="240" w:line="259" w:lineRule="auto"/>
      <w:jc w:val="center"/>
      <w:outlineLvl w:val="0"/>
    </w:pPr>
    <w:rPr>
      <w:rFonts w:eastAsiaTheme="majorEastAsia" w:cstheme="majorBidi"/>
      <w:b/>
      <w:color w:val="000000" w:themeColor="text1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FEE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:lang w:val="en-GB"/>
      <w14:ligatures w14:val="none"/>
    </w:rPr>
  </w:style>
  <w:style w:type="table" w:styleId="TableGrid">
    <w:name w:val="Table Grid"/>
    <w:basedOn w:val="TableNormal"/>
    <w:uiPriority w:val="59"/>
    <w:rsid w:val="00301F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1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FEE"/>
    <w:rPr>
      <w:rFonts w:ascii="Times New Roman" w:hAnsi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FEE"/>
    <w:rPr>
      <w:rFonts w:ascii="Times New Roman" w:hAnsi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01FEE"/>
  </w:style>
  <w:style w:type="paragraph" w:styleId="BodyText">
    <w:name w:val="Body Text"/>
    <w:basedOn w:val="Normal"/>
    <w:link w:val="BodyTextChar"/>
    <w:uiPriority w:val="99"/>
    <w:unhideWhenUsed/>
    <w:qFormat/>
    <w:rsid w:val="00301FEE"/>
    <w:pPr>
      <w:ind w:firstLine="720"/>
    </w:pPr>
    <w:rPr>
      <w:rFonts w:asciiTheme="minorHAnsi" w:hAnsiTheme="minorHAns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301FEE"/>
    <w:rPr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0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Geerling</dc:creator>
  <cp:keywords/>
  <dc:description/>
  <cp:lastModifiedBy>Ralph Geerling</cp:lastModifiedBy>
  <cp:revision>3</cp:revision>
  <dcterms:created xsi:type="dcterms:W3CDTF">2023-07-20T00:43:00Z</dcterms:created>
  <dcterms:modified xsi:type="dcterms:W3CDTF">2023-07-20T03:36:00Z</dcterms:modified>
</cp:coreProperties>
</file>