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F7C4E" w14:textId="412339D9" w:rsidR="000069BA" w:rsidRPr="000069BA" w:rsidRDefault="000069BA" w:rsidP="000069BA">
      <w:pPr>
        <w:spacing w:line="48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0069BA">
        <w:rPr>
          <w:rFonts w:asciiTheme="majorBidi" w:hAnsiTheme="majorBidi" w:cstheme="majorBidi"/>
          <w:b/>
          <w:bCs/>
          <w:lang w:val="en-US"/>
        </w:rPr>
        <w:t>Supplementary</w:t>
      </w:r>
    </w:p>
    <w:p w14:paraId="2B745DBE" w14:textId="465E8482" w:rsidR="009904C9" w:rsidRPr="009B2CD5" w:rsidRDefault="009904C9" w:rsidP="000069BA">
      <w:pPr>
        <w:spacing w:line="480" w:lineRule="auto"/>
        <w:ind w:firstLine="720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T</w:t>
      </w:r>
      <w:r w:rsidRPr="00964C5B">
        <w:rPr>
          <w:rFonts w:asciiTheme="majorBidi" w:hAnsiTheme="majorBidi" w:cstheme="majorBidi"/>
          <w:sz w:val="20"/>
          <w:szCs w:val="20"/>
          <w:lang w:val="en-US"/>
        </w:rPr>
        <w:t xml:space="preserve">o check the validity of the structure of the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scale and it’s </w:t>
      </w:r>
      <w:r w:rsidRPr="00E47CB0">
        <w:rPr>
          <w:rFonts w:asciiTheme="majorBidi" w:hAnsiTheme="majorBidi" w:cstheme="majorBidi"/>
          <w:sz w:val="20"/>
          <w:szCs w:val="20"/>
          <w:lang w:val="en-US"/>
        </w:rPr>
        <w:t>sufficient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for factor analysis a </w:t>
      </w:r>
      <w:r w:rsidRPr="00C8588B">
        <w:rPr>
          <w:rFonts w:asciiTheme="majorBidi" w:hAnsiTheme="majorBidi" w:cstheme="majorBidi"/>
          <w:sz w:val="20"/>
          <w:szCs w:val="20"/>
          <w:lang w:val="en-US"/>
        </w:rPr>
        <w:t>Kaiser-Meyer-Olkin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and a 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>Bartlett's test of sphericity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was performed</w:t>
      </w:r>
      <w:r w:rsidRPr="00964C5B">
        <w:rPr>
          <w:rFonts w:asciiTheme="majorBidi" w:hAnsiTheme="majorBidi" w:cstheme="majorBidi"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Results showed </w:t>
      </w:r>
      <w:r w:rsidRPr="00C8588B">
        <w:rPr>
          <w:rFonts w:asciiTheme="majorBidi" w:hAnsiTheme="majorBidi" w:cstheme="majorBidi"/>
          <w:sz w:val="20"/>
          <w:szCs w:val="20"/>
          <w:lang w:val="en-US"/>
        </w:rPr>
        <w:t>.7</w:t>
      </w:r>
      <w:r w:rsidR="002A4C4B">
        <w:rPr>
          <w:rFonts w:asciiTheme="majorBidi" w:hAnsiTheme="majorBidi" w:cstheme="majorBidi"/>
          <w:sz w:val="20"/>
          <w:szCs w:val="20"/>
          <w:lang w:val="en-US"/>
        </w:rPr>
        <w:t>24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for </w:t>
      </w:r>
      <w:r w:rsidRPr="00C8588B">
        <w:rPr>
          <w:rFonts w:asciiTheme="majorBidi" w:hAnsiTheme="majorBidi" w:cstheme="majorBidi"/>
          <w:sz w:val="20"/>
          <w:szCs w:val="20"/>
          <w:lang w:val="en-US"/>
        </w:rPr>
        <w:t>Kaiser-Meyer-Olkin Measure of Sampling Adequacy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>Bartlett's test of sphericity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was 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>significant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df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=630, P&lt;0.001). Indicating that the sample is large enough 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to perform </w:t>
      </w:r>
      <w:r>
        <w:rPr>
          <w:rFonts w:asciiTheme="majorBidi" w:hAnsiTheme="majorBidi" w:cstheme="majorBidi"/>
          <w:sz w:val="20"/>
          <w:szCs w:val="20"/>
          <w:lang w:val="en-US"/>
        </w:rPr>
        <w:t>Principal Component Analysis (</w:t>
      </w:r>
      <w:r w:rsidRPr="002654FC">
        <w:rPr>
          <w:rFonts w:asciiTheme="majorBidi" w:hAnsiTheme="majorBidi" w:cstheme="majorBidi"/>
          <w:sz w:val="20"/>
          <w:szCs w:val="20"/>
          <w:lang w:val="en-US"/>
        </w:rPr>
        <w:t>PCA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and that the correlations between the items are large enough for the analysis and that the correlation matrix is compact (convergent) and not divergent </w:t>
      </w:r>
      <w:r>
        <w:rPr>
          <w:rFonts w:asciiTheme="majorBidi" w:hAnsiTheme="majorBidi" w:cstheme="majorBidi"/>
          <w:sz w:val="20"/>
          <w:szCs w:val="20"/>
          <w:lang w:val="en-US"/>
        </w:rPr>
        <w:fldChar w:fldCharType="begin"/>
      </w:r>
      <w:r w:rsidR="0031678F">
        <w:rPr>
          <w:rFonts w:asciiTheme="majorBidi" w:hAnsiTheme="majorBidi" w:cstheme="majorBidi"/>
          <w:sz w:val="20"/>
          <w:szCs w:val="20"/>
          <w:lang w:val="en-US"/>
        </w:rPr>
        <w:instrText xml:space="preserve"> ADDIN EN.CITE &lt;EndNote&gt;&lt;Cite&gt;&lt;Author&gt;Field&lt;/Author&gt;&lt;Year&gt;2009&lt;/Year&gt;&lt;RecNum&gt;956&lt;/RecNum&gt;&lt;DisplayText&gt;[1]&lt;/DisplayText&gt;&lt;record&gt;&lt;rec-number&gt;956&lt;/rec-number&gt;&lt;foreign-keys&gt;&lt;key app="EN" db-id="txzvxr0dkpr9f9ed5wype9ztves5vff5zdf5" timestamp="1672469382"&gt;956&lt;/key&gt;&lt;/foreign-keys&gt;&lt;ref-type name="Journal Article"&gt;17&lt;/ref-type&gt;&lt;contributors&gt;&lt;authors&gt;&lt;author&gt;Field, Andy&lt;/author&gt;&lt;/authors&gt;&lt;/contributors&gt;&lt;titles&gt;&lt;title&gt;Discopering statistics using SPSS, thrid edition&lt;/title&gt;&lt;/titles&gt;&lt;dates&gt;&lt;year&gt;2009&lt;/year&gt;&lt;/dates&gt;&lt;urls&gt;&lt;/urls&gt;&lt;/record&gt;&lt;/Cite&gt;&lt;/EndNote&gt;</w:instrText>
      </w:r>
      <w:r>
        <w:rPr>
          <w:rFonts w:asciiTheme="majorBidi" w:hAnsiTheme="majorBidi" w:cstheme="majorBidi"/>
          <w:sz w:val="20"/>
          <w:szCs w:val="20"/>
          <w:lang w:val="en-US"/>
        </w:rPr>
        <w:fldChar w:fldCharType="separate"/>
      </w:r>
      <w:r w:rsidR="0031678F">
        <w:rPr>
          <w:rFonts w:asciiTheme="majorBidi" w:hAnsiTheme="majorBidi" w:cstheme="majorBidi"/>
          <w:noProof/>
          <w:sz w:val="20"/>
          <w:szCs w:val="20"/>
          <w:lang w:val="en-US"/>
        </w:rPr>
        <w:t>[1]</w:t>
      </w:r>
      <w:r>
        <w:rPr>
          <w:rFonts w:asciiTheme="majorBidi" w:hAnsiTheme="majorBidi" w:cstheme="majorBidi"/>
          <w:sz w:val="20"/>
          <w:szCs w:val="20"/>
          <w:lang w:val="en-US"/>
        </w:rPr>
        <w:fldChar w:fldCharType="end"/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>.</w:t>
      </w:r>
      <w:r w:rsidRPr="00414D72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The PCA was performed together with a rotation method that assumes dependence between the factors (direct </w:t>
      </w:r>
      <w:r>
        <w:rPr>
          <w:rFonts w:asciiTheme="majorBidi" w:hAnsiTheme="majorBidi" w:cstheme="majorBidi"/>
          <w:sz w:val="20"/>
          <w:szCs w:val="20"/>
          <w:lang w:val="en-US"/>
        </w:rPr>
        <w:t>Ob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>limin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rotation). The analysis was constrained to two components (indexes) in accordance with the division of ways of coping into two dimensions, mixed coping </w:t>
      </w:r>
      <w:r>
        <w:rPr>
          <w:rFonts w:asciiTheme="majorBidi" w:hAnsiTheme="majorBidi" w:cstheme="majorBidi"/>
          <w:sz w:val="20"/>
          <w:szCs w:val="20"/>
          <w:lang w:val="en-US"/>
        </w:rPr>
        <w:t>(coined in this study s</w:t>
      </w:r>
      <w:r w:rsidRPr="00EC35E1">
        <w:rPr>
          <w:rFonts w:asciiTheme="majorBidi" w:hAnsiTheme="majorBidi" w:cstheme="majorBidi"/>
          <w:sz w:val="20"/>
          <w:szCs w:val="20"/>
          <w:lang w:val="en-US"/>
        </w:rPr>
        <w:t>ituational approach coping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and avoidant coping proposed by Carver and Smith </w:t>
      </w:r>
      <w:r>
        <w:rPr>
          <w:rFonts w:asciiTheme="majorBidi" w:hAnsiTheme="majorBidi" w:cstheme="majorBidi"/>
          <w:sz w:val="20"/>
          <w:szCs w:val="20"/>
          <w:lang w:val="en-US"/>
        </w:rPr>
        <w:fldChar w:fldCharType="begin"/>
      </w:r>
      <w:r w:rsidR="0031678F">
        <w:rPr>
          <w:rFonts w:asciiTheme="majorBidi" w:hAnsiTheme="majorBidi" w:cstheme="majorBidi"/>
          <w:sz w:val="20"/>
          <w:szCs w:val="20"/>
          <w:lang w:val="en-US"/>
        </w:rPr>
        <w:instrText xml:space="preserve"> ADDIN EN.CITE &lt;EndNote&gt;&lt;Cite&gt;&lt;Author&gt;Carver&lt;/Author&gt;&lt;Year&gt;2010&lt;/Year&gt;&lt;RecNum&gt;957&lt;/RecNum&gt;&lt;DisplayText&gt;[2]&lt;/DisplayText&gt;&lt;record&gt;&lt;rec-number&gt;957&lt;/rec-number&gt;&lt;foreign-keys&gt;&lt;key app="EN" db-id="txzvxr0dkpr9f9ed5wype9ztves5vff5zdf5" timestamp="1672473585"&gt;957&lt;/key&gt;&lt;/foreign-keys&gt;&lt;ref-type name="Journal Article"&gt;17&lt;/ref-type&gt;&lt;contributors&gt;&lt;authors&gt;&lt;author&gt;Carver, Charles S&lt;/author&gt;&lt;author&gt;Connor-Smith, Jennifer&lt;/author&gt;&lt;/authors&gt;&lt;/contributors&gt;&lt;titles&gt;&lt;title&gt;Personality and coping&lt;/title&gt;&lt;/titles&gt;&lt;dates&gt;&lt;year&gt;2010&lt;/year&gt;&lt;/dates&gt;&lt;urls&gt;&lt;/urls&gt;&lt;/record&gt;&lt;/Cite&gt;&lt;/EndNote&gt;</w:instrText>
      </w:r>
      <w:r>
        <w:rPr>
          <w:rFonts w:asciiTheme="majorBidi" w:hAnsiTheme="majorBidi" w:cstheme="majorBidi"/>
          <w:sz w:val="20"/>
          <w:szCs w:val="20"/>
          <w:lang w:val="en-US"/>
        </w:rPr>
        <w:fldChar w:fldCharType="separate"/>
      </w:r>
      <w:r w:rsidR="0031678F">
        <w:rPr>
          <w:rFonts w:asciiTheme="majorBidi" w:hAnsiTheme="majorBidi" w:cstheme="majorBidi"/>
          <w:noProof/>
          <w:sz w:val="20"/>
          <w:szCs w:val="20"/>
          <w:lang w:val="en-US"/>
        </w:rPr>
        <w:t>[2]</w:t>
      </w:r>
      <w:r>
        <w:rPr>
          <w:rFonts w:asciiTheme="majorBidi" w:hAnsiTheme="majorBidi" w:cstheme="majorBidi"/>
          <w:sz w:val="20"/>
          <w:szCs w:val="20"/>
          <w:lang w:val="en-US"/>
        </w:rPr>
        <w:fldChar w:fldCharType="end"/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>.</w:t>
      </w:r>
      <w:r w:rsidRPr="00687B82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>Both components have a Kaiser criterion greater than 1 and both together explained 3</w:t>
      </w:r>
      <w:r w:rsidR="00C611DA">
        <w:rPr>
          <w:rFonts w:asciiTheme="majorBidi" w:hAnsiTheme="majorBidi" w:cstheme="majorBidi"/>
          <w:sz w:val="20"/>
          <w:szCs w:val="20"/>
          <w:lang w:val="en-US"/>
        </w:rPr>
        <w:t>1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>% of the variance of the items.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Table </w:t>
      </w:r>
      <w:r>
        <w:rPr>
          <w:rFonts w:asciiTheme="majorBidi" w:hAnsiTheme="majorBidi" w:cstheme="majorBidi"/>
          <w:sz w:val="20"/>
          <w:szCs w:val="20"/>
          <w:lang w:val="en-US"/>
        </w:rPr>
        <w:t>1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 below describes the convergence structure (item loadings on the indexes) along with the internal reliability coefficients of each index. According to the sample size (n=</w:t>
      </w:r>
      <w:r w:rsidR="00E859DC">
        <w:rPr>
          <w:rFonts w:asciiTheme="majorBidi" w:hAnsiTheme="majorBidi" w:cstheme="majorBidi"/>
          <w:sz w:val="20"/>
          <w:szCs w:val="20"/>
          <w:lang w:val="en-US"/>
        </w:rPr>
        <w:t>179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) an item was considered loaded on an index if the loading was greater than 0.29 </w:t>
      </w:r>
      <w:r>
        <w:rPr>
          <w:rFonts w:asciiTheme="majorBidi" w:hAnsiTheme="majorBidi" w:cstheme="majorBidi"/>
          <w:sz w:val="20"/>
          <w:szCs w:val="20"/>
          <w:lang w:val="en-US"/>
        </w:rPr>
        <w:fldChar w:fldCharType="begin"/>
      </w:r>
      <w:r w:rsidR="00331177">
        <w:instrText xml:space="preserve"> ADDIN EN.CITE &lt;EndNote&gt;&lt;Cite&gt;&lt;Author&gt;Field&lt;/Author&gt;&lt;Year&gt;2009&lt;/Year&gt;&lt;RecNum&gt;956&lt;/RecNum&gt;&lt;DisplayText&gt;[1]&lt;/DisplayText&gt;&lt;record&gt;&lt;rec-number&gt;956&lt;/rec-number&gt;&lt;foreign-keys&gt;&lt;key app="EN" db-id="txzvxr0dkpr9f9ed5wype9ztves5vff5zdf5" timestamp="1672469382"&gt;956&lt;/key&gt;&lt;/foreign-keys&gt;&lt;ref-type name="Journal Article"&gt;17&lt;/ref-type&gt;&lt;contributors&gt;&lt;authors&gt;&lt;author&gt;Field, Andy&lt;/author&gt;&lt;/authors&gt;&lt;/contributors&gt;&lt;titles&gt;&lt;title&gt;Discopering statistics using SPSS, thrid edition&lt;/title&gt;&lt;/titles&gt;&lt;dates&gt;&lt;year&gt;2009&lt;/year&gt;&lt;/dates&gt;&lt;urls&gt;&lt;/urls&gt;&lt;/record&gt;&lt;/Cite&gt;&lt;/EndNote&gt;</w:instrText>
      </w:r>
      <w:r>
        <w:rPr>
          <w:rFonts w:asciiTheme="majorBidi" w:hAnsiTheme="majorBidi" w:cstheme="majorBidi"/>
          <w:sz w:val="20"/>
          <w:szCs w:val="20"/>
          <w:lang w:val="en-US"/>
        </w:rPr>
        <w:fldChar w:fldCharType="separate"/>
      </w:r>
      <w:r w:rsidR="0031678F">
        <w:rPr>
          <w:rFonts w:asciiTheme="majorBidi" w:hAnsiTheme="majorBidi" w:cstheme="majorBidi"/>
          <w:noProof/>
          <w:sz w:val="20"/>
          <w:szCs w:val="20"/>
          <w:lang w:val="en-US"/>
        </w:rPr>
        <w:t>[1]</w:t>
      </w:r>
      <w:r>
        <w:rPr>
          <w:rFonts w:asciiTheme="majorBidi" w:hAnsiTheme="majorBidi" w:cstheme="majorBidi"/>
          <w:sz w:val="20"/>
          <w:szCs w:val="20"/>
          <w:lang w:val="en-US"/>
        </w:rPr>
        <w:fldChar w:fldCharType="end"/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. Checking the loadings of the items showed that </w:t>
      </w:r>
      <w:r>
        <w:rPr>
          <w:rFonts w:asciiTheme="majorBidi" w:hAnsiTheme="majorBidi" w:cstheme="majorBidi"/>
          <w:sz w:val="20"/>
          <w:szCs w:val="20"/>
          <w:lang w:val="en-US"/>
        </w:rPr>
        <w:t>three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 item</w:t>
      </w:r>
      <w:r>
        <w:rPr>
          <w:rFonts w:asciiTheme="majorBidi" w:hAnsiTheme="majorBidi" w:cstheme="majorBidi"/>
          <w:sz w:val="20"/>
          <w:szCs w:val="20"/>
          <w:lang w:val="en-US"/>
        </w:rPr>
        <w:t>s from the s</w:t>
      </w:r>
      <w:r w:rsidRPr="00EC35E1">
        <w:rPr>
          <w:rFonts w:asciiTheme="majorBidi" w:hAnsiTheme="majorBidi" w:cstheme="majorBidi"/>
          <w:sz w:val="20"/>
          <w:szCs w:val="20"/>
          <w:lang w:val="en-US"/>
        </w:rPr>
        <w:t>ituational approach coping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 (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cope3 - 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>"I accept the fact that it happened and that it cannot be changed"</w:t>
      </w:r>
      <w:r>
        <w:rPr>
          <w:rFonts w:asciiTheme="majorBidi" w:hAnsiTheme="majorBidi" w:cstheme="majorBidi"/>
          <w:sz w:val="20"/>
          <w:szCs w:val="20"/>
          <w:lang w:val="en-US"/>
        </w:rPr>
        <w:t>, cope13 – “</w:t>
      </w:r>
      <w:r w:rsidRPr="00EB08EF">
        <w:rPr>
          <w:rFonts w:asciiTheme="majorBidi" w:hAnsiTheme="majorBidi" w:cstheme="majorBidi"/>
          <w:sz w:val="20"/>
          <w:szCs w:val="20"/>
          <w:lang w:val="en-US"/>
        </w:rPr>
        <w:t>I take time to express my feelings</w:t>
      </w:r>
      <w:r>
        <w:rPr>
          <w:rFonts w:asciiTheme="majorBidi" w:hAnsiTheme="majorBidi" w:cstheme="majorBidi"/>
          <w:sz w:val="20"/>
          <w:szCs w:val="20"/>
          <w:lang w:val="en-US"/>
        </w:rPr>
        <w:t>” and cope36 – “</w:t>
      </w:r>
      <w:r w:rsidRPr="0053615B">
        <w:rPr>
          <w:rFonts w:asciiTheme="majorBidi" w:hAnsiTheme="majorBidi" w:cstheme="majorBidi"/>
          <w:sz w:val="20"/>
          <w:szCs w:val="20"/>
          <w:lang w:val="en-US"/>
        </w:rPr>
        <w:t>I accept that this has happened and that it can't be changed</w:t>
      </w:r>
      <w:r>
        <w:rPr>
          <w:rFonts w:asciiTheme="majorBidi" w:hAnsiTheme="majorBidi" w:cstheme="majorBidi"/>
          <w:sz w:val="20"/>
          <w:szCs w:val="20"/>
          <w:lang w:val="en-US"/>
        </w:rPr>
        <w:t>”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) had a loading lower than 0.29,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and 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>therefore</w:t>
      </w:r>
      <w:r>
        <w:rPr>
          <w:rFonts w:asciiTheme="majorBidi" w:hAnsiTheme="majorBidi" w:cstheme="majorBidi"/>
          <w:sz w:val="20"/>
          <w:szCs w:val="20"/>
          <w:lang w:val="en-US"/>
        </w:rPr>
        <w:t>, were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 dropped from further analysis. The items clustered on the first index were interpreted as components representing the dimension of </w:t>
      </w:r>
      <w:r>
        <w:rPr>
          <w:rFonts w:asciiTheme="majorBidi" w:hAnsiTheme="majorBidi" w:cstheme="majorBidi"/>
          <w:sz w:val="20"/>
          <w:szCs w:val="20"/>
          <w:lang w:val="en-US"/>
        </w:rPr>
        <w:t>s</w:t>
      </w:r>
      <w:r w:rsidRPr="00EC35E1">
        <w:rPr>
          <w:rFonts w:asciiTheme="majorBidi" w:hAnsiTheme="majorBidi" w:cstheme="majorBidi"/>
          <w:sz w:val="20"/>
          <w:szCs w:val="20"/>
          <w:lang w:val="en-US"/>
        </w:rPr>
        <w:t>ituational approach</w:t>
      </w:r>
      <w:r w:rsidR="00697A75">
        <w:rPr>
          <w:rFonts w:asciiTheme="majorBidi" w:hAnsiTheme="majorBidi" w:cstheme="majorBidi"/>
          <w:sz w:val="20"/>
          <w:szCs w:val="20"/>
          <w:lang w:val="en-US"/>
        </w:rPr>
        <w:t>-oriented</w:t>
      </w:r>
      <w:r w:rsidRPr="00EC35E1">
        <w:rPr>
          <w:rFonts w:asciiTheme="majorBidi" w:hAnsiTheme="majorBidi" w:cstheme="majorBidi"/>
          <w:sz w:val="20"/>
          <w:szCs w:val="20"/>
          <w:lang w:val="en-US"/>
        </w:rPr>
        <w:t xml:space="preserve"> coping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 xml:space="preserve"> and the items clustered on the second index were interpreted as components representing the </w:t>
      </w:r>
      <w:r>
        <w:rPr>
          <w:rFonts w:asciiTheme="majorBidi" w:hAnsiTheme="majorBidi" w:cstheme="majorBidi"/>
          <w:sz w:val="20"/>
          <w:szCs w:val="20"/>
          <w:lang w:val="en-US"/>
        </w:rPr>
        <w:t>s</w:t>
      </w:r>
      <w:r w:rsidRPr="00EC35E1">
        <w:rPr>
          <w:rFonts w:asciiTheme="majorBidi" w:hAnsiTheme="majorBidi" w:cstheme="majorBidi"/>
          <w:sz w:val="20"/>
          <w:szCs w:val="20"/>
          <w:lang w:val="en-US"/>
        </w:rPr>
        <w:t xml:space="preserve">ituational </w:t>
      </w:r>
      <w:r>
        <w:rPr>
          <w:rFonts w:asciiTheme="majorBidi" w:hAnsiTheme="majorBidi" w:cstheme="majorBidi"/>
          <w:sz w:val="20"/>
          <w:szCs w:val="20"/>
          <w:lang w:val="en-US"/>
        </w:rPr>
        <w:t>a</w:t>
      </w:r>
      <w:r w:rsidRPr="00EC35E1">
        <w:rPr>
          <w:rFonts w:asciiTheme="majorBidi" w:hAnsiTheme="majorBidi" w:cstheme="majorBidi"/>
          <w:sz w:val="20"/>
          <w:szCs w:val="20"/>
          <w:lang w:val="en-US"/>
        </w:rPr>
        <w:t>voidance</w:t>
      </w:r>
      <w:r w:rsidR="00697A75">
        <w:rPr>
          <w:rFonts w:asciiTheme="majorBidi" w:hAnsiTheme="majorBidi" w:cstheme="majorBidi"/>
          <w:sz w:val="20"/>
          <w:szCs w:val="20"/>
          <w:lang w:val="en-US"/>
        </w:rPr>
        <w:t>-oriented</w:t>
      </w:r>
      <w:r w:rsidRPr="00EC35E1">
        <w:rPr>
          <w:rFonts w:asciiTheme="majorBidi" w:hAnsiTheme="majorBidi" w:cstheme="majorBidi"/>
          <w:sz w:val="20"/>
          <w:szCs w:val="20"/>
          <w:lang w:val="en-US"/>
        </w:rPr>
        <w:t xml:space="preserve"> coping </w:t>
      </w:r>
      <w:r w:rsidR="00697A75">
        <w:rPr>
          <w:rFonts w:asciiTheme="majorBidi" w:hAnsiTheme="majorBidi" w:cstheme="majorBidi"/>
          <w:sz w:val="20"/>
          <w:szCs w:val="20"/>
          <w:lang w:val="en-US"/>
        </w:rPr>
        <w:t>scal</w:t>
      </w:r>
      <w:r w:rsidR="00004A4E">
        <w:rPr>
          <w:rFonts w:asciiTheme="majorBidi" w:hAnsiTheme="majorBidi" w:cstheme="majorBidi"/>
          <w:sz w:val="20"/>
          <w:szCs w:val="20"/>
          <w:lang w:val="en-US"/>
        </w:rPr>
        <w:t>e</w:t>
      </w:r>
      <w:r w:rsidRPr="00330F4C">
        <w:rPr>
          <w:rFonts w:asciiTheme="majorBidi" w:hAnsiTheme="majorBidi" w:cstheme="majorBidi"/>
          <w:sz w:val="20"/>
          <w:szCs w:val="20"/>
          <w:lang w:val="en-US"/>
        </w:rPr>
        <w:t>.</w:t>
      </w:r>
    </w:p>
    <w:tbl>
      <w:tblPr>
        <w:tblW w:w="4248" w:type="dxa"/>
        <w:tblLook w:val="04A0" w:firstRow="1" w:lastRow="0" w:firstColumn="1" w:lastColumn="0" w:noHBand="0" w:noVBand="1"/>
      </w:tblPr>
      <w:tblGrid>
        <w:gridCol w:w="1039"/>
        <w:gridCol w:w="2217"/>
        <w:gridCol w:w="992"/>
      </w:tblGrid>
      <w:tr w:rsidR="002A4C4B" w:rsidRPr="00004A4E" w14:paraId="6E506FA2" w14:textId="77777777" w:rsidTr="002A4C4B">
        <w:trPr>
          <w:trHeight w:val="47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950A" w14:textId="35E74F40" w:rsidR="008430EC" w:rsidRPr="00004A4E" w:rsidRDefault="008430EC" w:rsidP="008430E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en-IL"/>
              </w:rPr>
            </w:pPr>
            <w:r w:rsidRPr="00004A4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en-IL"/>
              </w:rPr>
              <w:t>Table 1</w:t>
            </w:r>
          </w:p>
          <w:p w14:paraId="7775692A" w14:textId="54394017" w:rsidR="002A4C4B" w:rsidRPr="00004A4E" w:rsidRDefault="002A4C4B" w:rsidP="002A4C4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IL"/>
              </w:rPr>
            </w:pPr>
            <w:r w:rsidRPr="00004A4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en-IL"/>
              </w:rPr>
              <w:t>KMO and Bartlett's Test</w:t>
            </w:r>
          </w:p>
        </w:tc>
      </w:tr>
      <w:tr w:rsidR="002A4C4B" w:rsidRPr="00004A4E" w14:paraId="6A990B8B" w14:textId="77777777" w:rsidTr="002A4C4B">
        <w:trPr>
          <w:trHeight w:val="29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91F7" w14:textId="77777777" w:rsidR="002A4C4B" w:rsidRPr="00004A4E" w:rsidRDefault="002A4C4B" w:rsidP="002A4C4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</w:pPr>
            <w:r w:rsidRPr="00004A4E"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  <w:t>Kaiser-Meyer-Olkin Measure of Sampling Adequacy.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76ACD" w14:textId="77777777" w:rsidR="002A4C4B" w:rsidRPr="00004A4E" w:rsidRDefault="002A4C4B" w:rsidP="002A4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</w:pPr>
            <w:r w:rsidRPr="00004A4E"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  <w:t>0.724</w:t>
            </w:r>
          </w:p>
        </w:tc>
      </w:tr>
      <w:tr w:rsidR="002A4C4B" w:rsidRPr="00004A4E" w14:paraId="68F7A5D6" w14:textId="77777777" w:rsidTr="002A4C4B">
        <w:trPr>
          <w:trHeight w:val="690"/>
        </w:trPr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CC1DE" w14:textId="77777777" w:rsidR="002A4C4B" w:rsidRPr="00004A4E" w:rsidRDefault="002A4C4B" w:rsidP="002A4C4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</w:pPr>
            <w:r w:rsidRPr="00004A4E"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  <w:t>Bartlett's Test of Sphericity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2A7A" w14:textId="77777777" w:rsidR="002A4C4B" w:rsidRPr="00004A4E" w:rsidRDefault="002A4C4B" w:rsidP="002A4C4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</w:pPr>
            <w:r w:rsidRPr="00004A4E"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  <w:t>Approx. Chi-Square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8796F" w14:textId="77777777" w:rsidR="002A4C4B" w:rsidRPr="00004A4E" w:rsidRDefault="002A4C4B" w:rsidP="002A4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</w:pPr>
            <w:r w:rsidRPr="00004A4E"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  <w:t>1862.254</w:t>
            </w:r>
          </w:p>
        </w:tc>
      </w:tr>
      <w:tr w:rsidR="002A4C4B" w:rsidRPr="00004A4E" w14:paraId="456D648A" w14:textId="77777777" w:rsidTr="002A4C4B">
        <w:trPr>
          <w:trHeight w:val="290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EF29" w14:textId="77777777" w:rsidR="002A4C4B" w:rsidRPr="00004A4E" w:rsidRDefault="002A4C4B" w:rsidP="002A4C4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0F1BB" w14:textId="77777777" w:rsidR="002A4C4B" w:rsidRPr="00004A4E" w:rsidRDefault="002A4C4B" w:rsidP="002A4C4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</w:pPr>
            <w:proofErr w:type="spellStart"/>
            <w:r w:rsidRPr="00004A4E"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  <w:t>df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653E5" w14:textId="77777777" w:rsidR="002A4C4B" w:rsidRPr="00004A4E" w:rsidRDefault="002A4C4B" w:rsidP="002A4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</w:pPr>
            <w:r w:rsidRPr="00004A4E"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  <w:t>630</w:t>
            </w:r>
          </w:p>
        </w:tc>
      </w:tr>
      <w:tr w:rsidR="002A4C4B" w:rsidRPr="00004A4E" w14:paraId="2949799F" w14:textId="77777777" w:rsidTr="002A4C4B">
        <w:trPr>
          <w:trHeight w:val="290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E5A4" w14:textId="77777777" w:rsidR="002A4C4B" w:rsidRPr="00004A4E" w:rsidRDefault="002A4C4B" w:rsidP="002A4C4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48072" w14:textId="77777777" w:rsidR="002A4C4B" w:rsidRPr="00004A4E" w:rsidRDefault="002A4C4B" w:rsidP="002A4C4B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</w:pPr>
            <w:r w:rsidRPr="00004A4E"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  <w:t>Sig.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07447" w14:textId="77777777" w:rsidR="002A4C4B" w:rsidRPr="00004A4E" w:rsidRDefault="002A4C4B" w:rsidP="002A4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</w:pPr>
            <w:r w:rsidRPr="00004A4E">
              <w:rPr>
                <w:rFonts w:asciiTheme="majorBidi" w:eastAsia="Times New Roman" w:hAnsiTheme="majorBidi" w:cstheme="majorBidi"/>
                <w:sz w:val="20"/>
                <w:szCs w:val="20"/>
                <w:lang w:eastAsia="en-IL"/>
              </w:rPr>
              <w:t>0.000</w:t>
            </w:r>
          </w:p>
        </w:tc>
      </w:tr>
    </w:tbl>
    <w:p w14:paraId="5863F5A9" w14:textId="77777777" w:rsidR="003F1A4A" w:rsidRDefault="003F1A4A"/>
    <w:p w14:paraId="5642CDA1" w14:textId="380B287C" w:rsidR="002821A2" w:rsidRDefault="00004A4E" w:rsidP="008705C1">
      <w:r>
        <w:br w:type="page"/>
      </w:r>
      <w:r w:rsidR="002821A2">
        <w:fldChar w:fldCharType="begin"/>
      </w:r>
      <w:r w:rsidR="002821A2">
        <w:instrText xml:space="preserve"> LINK Excel.Sheet.12 "</w:instrText>
      </w:r>
      <w:r w:rsidR="002821A2">
        <w:rPr>
          <w:rtl/>
        </w:rPr>
        <w:instrText>חוברת1" "גיליון1</w:instrText>
      </w:r>
      <w:r w:rsidR="002821A2">
        <w:instrText xml:space="preserve">!R1C1:R41C3" \a \f 5 \h  \* MERGEFORMAT </w:instrText>
      </w:r>
      <w:r w:rsidR="002821A2">
        <w:fldChar w:fldCharType="separate"/>
      </w:r>
    </w:p>
    <w:tbl>
      <w:tblPr>
        <w:tblStyle w:val="a6"/>
        <w:tblW w:w="28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2821A2" w:rsidRPr="008705C1" w14:paraId="57430BF0" w14:textId="77777777" w:rsidTr="006A6267">
        <w:trPr>
          <w:trHeight w:val="290"/>
        </w:trPr>
        <w:tc>
          <w:tcPr>
            <w:tcW w:w="2880" w:type="dxa"/>
            <w:gridSpan w:val="3"/>
            <w:tcBorders>
              <w:bottom w:val="single" w:sz="4" w:space="0" w:color="auto"/>
            </w:tcBorders>
            <w:hideMark/>
          </w:tcPr>
          <w:p w14:paraId="48BC4454" w14:textId="5FC6BC2F" w:rsidR="00004A4E" w:rsidRPr="008705C1" w:rsidRDefault="00004A4E" w:rsidP="008705C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8705C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Table 2</w:t>
            </w:r>
          </w:p>
          <w:p w14:paraId="0054FB8D" w14:textId="330E5AC0" w:rsidR="002821A2" w:rsidRPr="008705C1" w:rsidRDefault="002821A2" w:rsidP="00B92C2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 xml:space="preserve">Rotated Component </w:t>
            </w:r>
            <w:proofErr w:type="spellStart"/>
            <w:r w:rsidRPr="008705C1">
              <w:rPr>
                <w:rFonts w:asciiTheme="majorBidi" w:hAnsiTheme="majorBidi" w:cstheme="majorBidi"/>
                <w:sz w:val="20"/>
                <w:szCs w:val="20"/>
              </w:rPr>
              <w:t>Matrix</w:t>
            </w:r>
            <w:r w:rsidRPr="00080018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2821A2" w:rsidRPr="008705C1" w14:paraId="42DB8392" w14:textId="77777777" w:rsidTr="000F0FF0">
        <w:trPr>
          <w:trHeight w:val="290"/>
        </w:trPr>
        <w:tc>
          <w:tcPr>
            <w:tcW w:w="960" w:type="dxa"/>
            <w:vMerge w:val="restart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422DED7A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</w:tcBorders>
            <w:hideMark/>
          </w:tcPr>
          <w:p w14:paraId="76FC29C6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Component</w:t>
            </w:r>
          </w:p>
        </w:tc>
      </w:tr>
      <w:tr w:rsidR="002821A2" w:rsidRPr="008705C1" w14:paraId="492093D0" w14:textId="77777777" w:rsidTr="000F0FF0">
        <w:trPr>
          <w:trHeight w:val="290"/>
        </w:trPr>
        <w:tc>
          <w:tcPr>
            <w:tcW w:w="960" w:type="dxa"/>
            <w:vMerge/>
            <w:tcBorders>
              <w:right w:val="single" w:sz="4" w:space="0" w:color="auto"/>
            </w:tcBorders>
            <w:hideMark/>
          </w:tcPr>
          <w:p w14:paraId="7A534E94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8FA7C19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C77C07E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2821A2" w:rsidRPr="008705C1" w14:paraId="433DD878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01D37E17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998DE92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0.681</w:t>
            </w:r>
          </w:p>
        </w:tc>
        <w:tc>
          <w:tcPr>
            <w:tcW w:w="960" w:type="dxa"/>
            <w:noWrap/>
            <w:hideMark/>
          </w:tcPr>
          <w:p w14:paraId="689F52F1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0.133</w:t>
            </w:r>
          </w:p>
        </w:tc>
      </w:tr>
      <w:tr w:rsidR="002821A2" w:rsidRPr="008705C1" w14:paraId="16918AFE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36A6432B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36B9EB7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0.587</w:t>
            </w:r>
          </w:p>
        </w:tc>
        <w:tc>
          <w:tcPr>
            <w:tcW w:w="960" w:type="dxa"/>
            <w:noWrap/>
            <w:hideMark/>
          </w:tcPr>
          <w:p w14:paraId="72B4A101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0.154</w:t>
            </w:r>
          </w:p>
        </w:tc>
      </w:tr>
      <w:tr w:rsidR="002821A2" w:rsidRPr="008705C1" w14:paraId="7DE28E3F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688DEDD7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7EA3A75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0.480</w:t>
            </w:r>
          </w:p>
        </w:tc>
        <w:tc>
          <w:tcPr>
            <w:tcW w:w="960" w:type="dxa"/>
            <w:hideMark/>
          </w:tcPr>
          <w:p w14:paraId="5FD15CD0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2821A2" w:rsidRPr="008705C1" w14:paraId="7060839C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7777FC4C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hideMark/>
          </w:tcPr>
          <w:p w14:paraId="5116E1B9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5DE689F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0.393</w:t>
            </w:r>
          </w:p>
        </w:tc>
      </w:tr>
      <w:tr w:rsidR="002821A2" w:rsidRPr="008705C1" w14:paraId="6B01A3B8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41A5EE95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hideMark/>
          </w:tcPr>
          <w:p w14:paraId="15BEAE29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F2C212D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0.133</w:t>
            </w:r>
          </w:p>
        </w:tc>
      </w:tr>
      <w:tr w:rsidR="002821A2" w:rsidRPr="008705C1" w14:paraId="6388A078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38F2CB05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5635E59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0.560</w:t>
            </w:r>
          </w:p>
        </w:tc>
        <w:tc>
          <w:tcPr>
            <w:tcW w:w="960" w:type="dxa"/>
            <w:noWrap/>
            <w:hideMark/>
          </w:tcPr>
          <w:p w14:paraId="60276CDF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0.197</w:t>
            </w:r>
          </w:p>
        </w:tc>
      </w:tr>
      <w:tr w:rsidR="002821A2" w:rsidRPr="008705C1" w14:paraId="34003C8B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0B81064C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FDB37E5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0.583</w:t>
            </w:r>
          </w:p>
        </w:tc>
        <w:tc>
          <w:tcPr>
            <w:tcW w:w="960" w:type="dxa"/>
            <w:noWrap/>
            <w:hideMark/>
          </w:tcPr>
          <w:p w14:paraId="47FC456D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0.136</w:t>
            </w:r>
          </w:p>
        </w:tc>
      </w:tr>
      <w:tr w:rsidR="002821A2" w:rsidRPr="008705C1" w14:paraId="1BCA3AF3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081F6117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cope8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6DC527F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0.731</w:t>
            </w:r>
          </w:p>
        </w:tc>
        <w:tc>
          <w:tcPr>
            <w:tcW w:w="960" w:type="dxa"/>
            <w:hideMark/>
          </w:tcPr>
          <w:p w14:paraId="3D55B33F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2821A2" w:rsidRPr="008705C1" w14:paraId="5CA31D60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3844458F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E2D4B27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0.622</w:t>
            </w:r>
          </w:p>
        </w:tc>
        <w:tc>
          <w:tcPr>
            <w:tcW w:w="960" w:type="dxa"/>
            <w:hideMark/>
          </w:tcPr>
          <w:p w14:paraId="1AA8E698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2821A2" w:rsidRPr="008705C1" w14:paraId="1E9917BC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78AAC2A4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cope10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49F9F474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-0.121</w:t>
            </w:r>
          </w:p>
        </w:tc>
        <w:tc>
          <w:tcPr>
            <w:tcW w:w="960" w:type="dxa"/>
            <w:noWrap/>
            <w:hideMark/>
          </w:tcPr>
          <w:p w14:paraId="1523EF1E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0.530</w:t>
            </w:r>
          </w:p>
        </w:tc>
      </w:tr>
      <w:tr w:rsidR="002821A2" w:rsidRPr="008705C1" w14:paraId="605F2F37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723045DC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cope11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40F4FC76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0.673</w:t>
            </w:r>
          </w:p>
        </w:tc>
        <w:tc>
          <w:tcPr>
            <w:tcW w:w="960" w:type="dxa"/>
            <w:hideMark/>
          </w:tcPr>
          <w:p w14:paraId="1186184E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2821A2" w:rsidRPr="008705C1" w14:paraId="28E49815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3EA34ABD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cope12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hideMark/>
          </w:tcPr>
          <w:p w14:paraId="197714DF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8686B2F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0.727</w:t>
            </w:r>
          </w:p>
        </w:tc>
      </w:tr>
      <w:tr w:rsidR="002821A2" w:rsidRPr="008705C1" w14:paraId="4A9F3FE0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64AB2555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cope13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14C42791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0.316</w:t>
            </w:r>
          </w:p>
        </w:tc>
        <w:tc>
          <w:tcPr>
            <w:tcW w:w="960" w:type="dxa"/>
            <w:hideMark/>
          </w:tcPr>
          <w:p w14:paraId="442E988D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2821A2" w:rsidRPr="008705C1" w14:paraId="71484ADB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5A62485E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cope14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hideMark/>
          </w:tcPr>
          <w:p w14:paraId="077F2FBE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5574D96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0.689</w:t>
            </w:r>
          </w:p>
        </w:tc>
      </w:tr>
      <w:tr w:rsidR="002821A2" w:rsidRPr="008705C1" w14:paraId="14262AAE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7D6CABD1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cope15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4D085F4B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0.349</w:t>
            </w:r>
          </w:p>
        </w:tc>
        <w:tc>
          <w:tcPr>
            <w:tcW w:w="960" w:type="dxa"/>
            <w:noWrap/>
            <w:hideMark/>
          </w:tcPr>
          <w:p w14:paraId="553CAF83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-0.248</w:t>
            </w:r>
          </w:p>
        </w:tc>
      </w:tr>
      <w:tr w:rsidR="002821A2" w:rsidRPr="008705C1" w14:paraId="7AD1829C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174012E1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cope16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10210806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0.567</w:t>
            </w:r>
          </w:p>
        </w:tc>
        <w:tc>
          <w:tcPr>
            <w:tcW w:w="960" w:type="dxa"/>
            <w:noWrap/>
            <w:hideMark/>
          </w:tcPr>
          <w:p w14:paraId="5E3D9031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0.134</w:t>
            </w:r>
          </w:p>
        </w:tc>
      </w:tr>
      <w:tr w:rsidR="002821A2" w:rsidRPr="008705C1" w14:paraId="5B797B6D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528CA091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cope17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7F8CB4A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0.694</w:t>
            </w:r>
          </w:p>
        </w:tc>
        <w:tc>
          <w:tcPr>
            <w:tcW w:w="960" w:type="dxa"/>
            <w:noWrap/>
            <w:hideMark/>
          </w:tcPr>
          <w:p w14:paraId="1E9BD650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-0.167</w:t>
            </w:r>
          </w:p>
        </w:tc>
      </w:tr>
      <w:tr w:rsidR="002821A2" w:rsidRPr="008705C1" w14:paraId="2441C6D5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5E80DF8F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cope18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110D5E6C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0.400</w:t>
            </w:r>
          </w:p>
        </w:tc>
        <w:tc>
          <w:tcPr>
            <w:tcW w:w="960" w:type="dxa"/>
            <w:noWrap/>
            <w:hideMark/>
          </w:tcPr>
          <w:p w14:paraId="48EC172C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-0.206</w:t>
            </w:r>
          </w:p>
        </w:tc>
      </w:tr>
      <w:tr w:rsidR="002821A2" w:rsidRPr="008705C1" w14:paraId="6D121E70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0A7596AD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cope19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C220E4A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0.698</w:t>
            </w:r>
          </w:p>
        </w:tc>
        <w:tc>
          <w:tcPr>
            <w:tcW w:w="960" w:type="dxa"/>
            <w:hideMark/>
          </w:tcPr>
          <w:p w14:paraId="218B0381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2821A2" w:rsidRPr="008705C1" w14:paraId="422180F3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6B269FD4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cope20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43CE6CA5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0.429</w:t>
            </w:r>
          </w:p>
        </w:tc>
        <w:tc>
          <w:tcPr>
            <w:tcW w:w="960" w:type="dxa"/>
            <w:hideMark/>
          </w:tcPr>
          <w:p w14:paraId="612ACDAE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2821A2" w:rsidRPr="008705C1" w14:paraId="5955DFDB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1A5CC3F8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cope21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3D6C4D3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0.603</w:t>
            </w:r>
          </w:p>
        </w:tc>
        <w:tc>
          <w:tcPr>
            <w:tcW w:w="960" w:type="dxa"/>
            <w:hideMark/>
          </w:tcPr>
          <w:p w14:paraId="1149DAA6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2821A2" w:rsidRPr="008705C1" w14:paraId="71930363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4E79AE52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cope22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D2170DB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0.720</w:t>
            </w:r>
          </w:p>
        </w:tc>
        <w:tc>
          <w:tcPr>
            <w:tcW w:w="960" w:type="dxa"/>
            <w:hideMark/>
          </w:tcPr>
          <w:p w14:paraId="76F35F11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2821A2" w:rsidRPr="008705C1" w14:paraId="064002F2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2FF5E2AE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cope23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hideMark/>
          </w:tcPr>
          <w:p w14:paraId="0705EE7A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99A79D1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0.666</w:t>
            </w:r>
          </w:p>
        </w:tc>
      </w:tr>
      <w:tr w:rsidR="002821A2" w:rsidRPr="008705C1" w14:paraId="144F1602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60BDC458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cope24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B225A47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0.327</w:t>
            </w:r>
          </w:p>
        </w:tc>
        <w:tc>
          <w:tcPr>
            <w:tcW w:w="960" w:type="dxa"/>
            <w:noWrap/>
            <w:hideMark/>
          </w:tcPr>
          <w:p w14:paraId="1FEE4EBB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-0.231</w:t>
            </w:r>
          </w:p>
        </w:tc>
      </w:tr>
      <w:tr w:rsidR="002821A2" w:rsidRPr="008705C1" w14:paraId="44FD2AE4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390BF570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cope25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1AD391B2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0.551</w:t>
            </w:r>
          </w:p>
        </w:tc>
        <w:tc>
          <w:tcPr>
            <w:tcW w:w="960" w:type="dxa"/>
            <w:noWrap/>
            <w:hideMark/>
          </w:tcPr>
          <w:p w14:paraId="4189227F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-0.264</w:t>
            </w:r>
          </w:p>
        </w:tc>
      </w:tr>
      <w:tr w:rsidR="002821A2" w:rsidRPr="008705C1" w14:paraId="5B340BAB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3F6354FB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cope26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0BFE717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0.209</w:t>
            </w:r>
          </w:p>
        </w:tc>
        <w:tc>
          <w:tcPr>
            <w:tcW w:w="960" w:type="dxa"/>
            <w:noWrap/>
            <w:hideMark/>
          </w:tcPr>
          <w:p w14:paraId="3D114941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0.123</w:t>
            </w:r>
          </w:p>
        </w:tc>
      </w:tr>
      <w:tr w:rsidR="002821A2" w:rsidRPr="008705C1" w14:paraId="6918A2B0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76B07CC7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cope27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BAFE071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-0.143</w:t>
            </w:r>
          </w:p>
        </w:tc>
        <w:tc>
          <w:tcPr>
            <w:tcW w:w="960" w:type="dxa"/>
            <w:noWrap/>
            <w:hideMark/>
          </w:tcPr>
          <w:p w14:paraId="55423C85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0.716</w:t>
            </w:r>
          </w:p>
        </w:tc>
      </w:tr>
      <w:tr w:rsidR="002821A2" w:rsidRPr="008705C1" w14:paraId="2FE770D0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71263B1C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cope28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2B6A711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0.173</w:t>
            </w:r>
          </w:p>
        </w:tc>
        <w:tc>
          <w:tcPr>
            <w:tcW w:w="960" w:type="dxa"/>
            <w:noWrap/>
            <w:hideMark/>
          </w:tcPr>
          <w:p w14:paraId="143427CC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0.386</w:t>
            </w:r>
          </w:p>
        </w:tc>
      </w:tr>
      <w:tr w:rsidR="002821A2" w:rsidRPr="008705C1" w14:paraId="5C361944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5CDF9BC6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cope29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967EE53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0.654</w:t>
            </w:r>
          </w:p>
        </w:tc>
        <w:tc>
          <w:tcPr>
            <w:tcW w:w="960" w:type="dxa"/>
            <w:hideMark/>
          </w:tcPr>
          <w:p w14:paraId="732E8F23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2821A2" w:rsidRPr="008705C1" w14:paraId="736C748E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227420BE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cope30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C18E719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-0.156</w:t>
            </w:r>
          </w:p>
        </w:tc>
        <w:tc>
          <w:tcPr>
            <w:tcW w:w="960" w:type="dxa"/>
            <w:noWrap/>
            <w:hideMark/>
          </w:tcPr>
          <w:p w14:paraId="42668E43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0.593</w:t>
            </w:r>
          </w:p>
        </w:tc>
      </w:tr>
      <w:tr w:rsidR="002821A2" w:rsidRPr="008705C1" w14:paraId="2AF3E178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22C07216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cope31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hideMark/>
          </w:tcPr>
          <w:p w14:paraId="4BE56B44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B50EF2A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0.334</w:t>
            </w:r>
          </w:p>
        </w:tc>
      </w:tr>
      <w:tr w:rsidR="002821A2" w:rsidRPr="008705C1" w14:paraId="7035D8AB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691D8FCF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cope32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E22E286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0.573</w:t>
            </w:r>
          </w:p>
        </w:tc>
        <w:tc>
          <w:tcPr>
            <w:tcW w:w="960" w:type="dxa"/>
            <w:noWrap/>
            <w:hideMark/>
          </w:tcPr>
          <w:p w14:paraId="0B58FEDB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-0.256</w:t>
            </w:r>
          </w:p>
        </w:tc>
      </w:tr>
      <w:tr w:rsidR="002821A2" w:rsidRPr="008705C1" w14:paraId="54E8CD34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5CC61267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cope33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5BCE40B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0.648</w:t>
            </w:r>
          </w:p>
        </w:tc>
        <w:tc>
          <w:tcPr>
            <w:tcW w:w="960" w:type="dxa"/>
            <w:hideMark/>
          </w:tcPr>
          <w:p w14:paraId="2A853FAE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2821A2" w:rsidRPr="008705C1" w14:paraId="625B835E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02151950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cope34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hideMark/>
          </w:tcPr>
          <w:p w14:paraId="7E78C83B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AA68C26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0.504</w:t>
            </w:r>
          </w:p>
        </w:tc>
      </w:tr>
      <w:tr w:rsidR="002821A2" w:rsidRPr="008705C1" w14:paraId="0A8AE637" w14:textId="77777777" w:rsidTr="000F0FF0">
        <w:trPr>
          <w:trHeight w:val="290"/>
        </w:trPr>
        <w:tc>
          <w:tcPr>
            <w:tcW w:w="960" w:type="dxa"/>
            <w:tcBorders>
              <w:right w:val="single" w:sz="4" w:space="0" w:color="auto"/>
            </w:tcBorders>
            <w:hideMark/>
          </w:tcPr>
          <w:p w14:paraId="6BCB86D6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cope35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A00A9D6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0.174</w:t>
            </w:r>
          </w:p>
        </w:tc>
        <w:tc>
          <w:tcPr>
            <w:tcW w:w="960" w:type="dxa"/>
            <w:noWrap/>
            <w:hideMark/>
          </w:tcPr>
          <w:p w14:paraId="06807EBE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0.232</w:t>
            </w:r>
          </w:p>
        </w:tc>
      </w:tr>
      <w:tr w:rsidR="002821A2" w:rsidRPr="008705C1" w14:paraId="744BD0AE" w14:textId="77777777" w:rsidTr="000F0FF0">
        <w:trPr>
          <w:trHeight w:val="290"/>
        </w:trPr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DAE7F62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cope36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A599D4D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hideMark/>
          </w:tcPr>
          <w:p w14:paraId="5AF496D8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2821A2" w:rsidRPr="008705C1" w14:paraId="3BA19D91" w14:textId="77777777" w:rsidTr="000F0FF0">
        <w:trPr>
          <w:trHeight w:val="290"/>
        </w:trPr>
        <w:tc>
          <w:tcPr>
            <w:tcW w:w="2880" w:type="dxa"/>
            <w:gridSpan w:val="3"/>
            <w:tcBorders>
              <w:top w:val="single" w:sz="4" w:space="0" w:color="auto"/>
            </w:tcBorders>
            <w:hideMark/>
          </w:tcPr>
          <w:p w14:paraId="1B9198DA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 xml:space="preserve">Extraction Method: Principal Component Analysis. </w:t>
            </w:r>
            <w:r w:rsidRPr="008705C1">
              <w:rPr>
                <w:rFonts w:asciiTheme="majorBidi" w:hAnsiTheme="majorBidi" w:cstheme="majorBidi"/>
                <w:sz w:val="20"/>
                <w:szCs w:val="20"/>
              </w:rPr>
              <w:br/>
              <w:t xml:space="preserve"> Rotation Method: Varimax with Kaiser Normalization.</w:t>
            </w:r>
          </w:p>
        </w:tc>
      </w:tr>
      <w:tr w:rsidR="002821A2" w:rsidRPr="008705C1" w14:paraId="5B92E3DC" w14:textId="77777777" w:rsidTr="00080018">
        <w:trPr>
          <w:trHeight w:val="290"/>
        </w:trPr>
        <w:tc>
          <w:tcPr>
            <w:tcW w:w="2880" w:type="dxa"/>
            <w:gridSpan w:val="3"/>
            <w:hideMark/>
          </w:tcPr>
          <w:p w14:paraId="42268A42" w14:textId="77777777" w:rsidR="002821A2" w:rsidRPr="008705C1" w:rsidRDefault="002821A2" w:rsidP="008705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05C1">
              <w:rPr>
                <w:rFonts w:asciiTheme="majorBidi" w:hAnsiTheme="majorBidi" w:cstheme="majorBidi"/>
                <w:sz w:val="20"/>
                <w:szCs w:val="20"/>
              </w:rPr>
              <w:t>a. Rotation converged in 3 iterations.</w:t>
            </w:r>
          </w:p>
        </w:tc>
      </w:tr>
    </w:tbl>
    <w:p w14:paraId="14887FEB" w14:textId="4D69545D" w:rsidR="00004A4E" w:rsidRDefault="002821A2" w:rsidP="00004A4E">
      <w:r>
        <w:fldChar w:fldCharType="end"/>
      </w:r>
      <w:r w:rsidR="00004A4E">
        <w:br w:type="page"/>
      </w:r>
    </w:p>
    <w:p w14:paraId="115791D7" w14:textId="0C7977B0" w:rsidR="0031678F" w:rsidRPr="00004A4E" w:rsidRDefault="00004A4E" w:rsidP="00004A4E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004A4E">
        <w:rPr>
          <w:rFonts w:asciiTheme="majorBidi" w:hAnsiTheme="majorBidi" w:cstheme="majorBidi"/>
          <w:b/>
          <w:bCs/>
          <w:lang w:val="en-US"/>
        </w:rPr>
        <w:lastRenderedPageBreak/>
        <w:t>Reference</w:t>
      </w:r>
    </w:p>
    <w:p w14:paraId="2121BBA1" w14:textId="77777777" w:rsidR="00080018" w:rsidRPr="00080018" w:rsidRDefault="0031678F" w:rsidP="00080018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0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080018" w:rsidRPr="00080018">
        <w:rPr>
          <w:sz w:val="20"/>
        </w:rPr>
        <w:t>1</w:t>
      </w:r>
      <w:r w:rsidR="00080018" w:rsidRPr="00080018">
        <w:rPr>
          <w:rFonts w:ascii="Times New Roman" w:hAnsi="Times New Roman" w:cs="Times New Roman"/>
          <w:sz w:val="20"/>
        </w:rPr>
        <w:t>.</w:t>
      </w:r>
      <w:r w:rsidR="00080018" w:rsidRPr="00080018">
        <w:rPr>
          <w:rFonts w:ascii="Times New Roman" w:hAnsi="Times New Roman" w:cs="Times New Roman"/>
          <w:sz w:val="20"/>
        </w:rPr>
        <w:tab/>
        <w:t>Field A, Discopering statistics using SPSS, thrid edition. 2009.</w:t>
      </w:r>
    </w:p>
    <w:p w14:paraId="60BC94E4" w14:textId="77777777" w:rsidR="00080018" w:rsidRPr="00080018" w:rsidRDefault="00080018" w:rsidP="00080018">
      <w:pPr>
        <w:pStyle w:val="EndNoteBibliography"/>
        <w:ind w:left="720" w:hanging="720"/>
        <w:rPr>
          <w:rFonts w:ascii="Times New Roman" w:hAnsi="Times New Roman" w:cs="Times New Roman"/>
          <w:sz w:val="20"/>
        </w:rPr>
      </w:pPr>
      <w:r w:rsidRPr="00080018">
        <w:rPr>
          <w:sz w:val="20"/>
        </w:rPr>
        <w:t>2</w:t>
      </w:r>
      <w:r w:rsidRPr="00080018">
        <w:rPr>
          <w:rFonts w:ascii="Times New Roman" w:hAnsi="Times New Roman" w:cs="Times New Roman"/>
          <w:sz w:val="20"/>
        </w:rPr>
        <w:t>.</w:t>
      </w:r>
      <w:r w:rsidRPr="00080018">
        <w:rPr>
          <w:rFonts w:ascii="Times New Roman" w:hAnsi="Times New Roman" w:cs="Times New Roman"/>
          <w:sz w:val="20"/>
        </w:rPr>
        <w:tab/>
        <w:t>Carver C Sand Connor-Smith J, Personality and coping. 2010.</w:t>
      </w:r>
    </w:p>
    <w:p w14:paraId="6697CFC6" w14:textId="2627D254" w:rsidR="00330827" w:rsidRDefault="0031678F" w:rsidP="00080018">
      <w:r>
        <w:fldChar w:fldCharType="end"/>
      </w:r>
    </w:p>
    <w:sectPr w:rsidR="003308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e0MDE0sjQ1NjYws7BQ0lEKTi0uzszPAykwrgUAotfYg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 Style DOI Revis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904C9"/>
    <w:rsid w:val="00004A4E"/>
    <w:rsid w:val="000069BA"/>
    <w:rsid w:val="00080018"/>
    <w:rsid w:val="000F0FF0"/>
    <w:rsid w:val="001E071D"/>
    <w:rsid w:val="00222DEA"/>
    <w:rsid w:val="00266008"/>
    <w:rsid w:val="002821A2"/>
    <w:rsid w:val="002A4C4B"/>
    <w:rsid w:val="0031678F"/>
    <w:rsid w:val="00331177"/>
    <w:rsid w:val="003F1A4A"/>
    <w:rsid w:val="00527BAC"/>
    <w:rsid w:val="005B09B9"/>
    <w:rsid w:val="00697A75"/>
    <w:rsid w:val="006A6267"/>
    <w:rsid w:val="008430EC"/>
    <w:rsid w:val="008705C1"/>
    <w:rsid w:val="009904C9"/>
    <w:rsid w:val="00A639EF"/>
    <w:rsid w:val="00B92C2D"/>
    <w:rsid w:val="00C611DA"/>
    <w:rsid w:val="00E859DC"/>
    <w:rsid w:val="00F4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4CFFE"/>
  <w15:chartTrackingRefBased/>
  <w15:docId w15:val="{F58034BD-F6A4-4027-B45B-FAB73600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4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904C9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904C9"/>
    <w:pPr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rsid w:val="009904C9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31678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0">
    <w:name w:val="EndNote Bibliography Title תו"/>
    <w:basedOn w:val="a0"/>
    <w:link w:val="EndNoteBibliographyTitle"/>
    <w:rsid w:val="0031678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0"/>
    <w:rsid w:val="0031678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0">
    <w:name w:val="EndNote Bibliography תו"/>
    <w:basedOn w:val="a0"/>
    <w:link w:val="EndNoteBibliography"/>
    <w:rsid w:val="0031678F"/>
    <w:rPr>
      <w:rFonts w:ascii="Calibri" w:hAnsi="Calibri" w:cs="Calibri"/>
      <w:noProof/>
      <w:lang w:val="en-US"/>
    </w:rPr>
  </w:style>
  <w:style w:type="table" w:styleId="a6">
    <w:name w:val="Table Grid"/>
    <w:basedOn w:val="a1"/>
    <w:uiPriority w:val="39"/>
    <w:rsid w:val="00282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38D52-7DFA-4F4B-9390-505BCFD46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731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קרן הראל</dc:creator>
  <cp:keywords/>
  <dc:description/>
  <cp:lastModifiedBy>קרן הראל</cp:lastModifiedBy>
  <cp:revision>23</cp:revision>
  <dcterms:created xsi:type="dcterms:W3CDTF">2023-01-12T08:02:00Z</dcterms:created>
  <dcterms:modified xsi:type="dcterms:W3CDTF">2023-07-12T14:45:00Z</dcterms:modified>
</cp:coreProperties>
</file>