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E226" w14:textId="77777777" w:rsidR="00043F49" w:rsidRDefault="00000000">
      <w:pPr>
        <w:spacing w:line="360" w:lineRule="auto"/>
        <w:jc w:val="center"/>
        <w:rPr>
          <w:rFonts w:asciiTheme="majorBidi" w:hAnsiTheme="majorBidi" w:cstheme="majorBidi"/>
          <w:sz w:val="24"/>
          <w:szCs w:val="28"/>
        </w:rPr>
      </w:pPr>
      <w:r>
        <w:rPr>
          <w:rFonts w:asciiTheme="majorBidi" w:hAnsiTheme="majorBidi" w:cstheme="majorBidi"/>
          <w:sz w:val="24"/>
          <w:szCs w:val="28"/>
        </w:rPr>
        <w:t>Supporting information for</w:t>
      </w:r>
    </w:p>
    <w:p w14:paraId="51349768" w14:textId="77777777" w:rsidR="00043F49" w:rsidRDefault="00043F49">
      <w:pPr>
        <w:spacing w:line="360" w:lineRule="auto"/>
        <w:jc w:val="center"/>
        <w:rPr>
          <w:rFonts w:asciiTheme="majorBidi" w:hAnsiTheme="majorBidi" w:cstheme="majorBidi"/>
          <w:sz w:val="24"/>
          <w:szCs w:val="28"/>
        </w:rPr>
      </w:pPr>
    </w:p>
    <w:p w14:paraId="69A1552F" w14:textId="77777777" w:rsidR="00043F49" w:rsidRDefault="00000000">
      <w:pPr>
        <w:pStyle w:val="1"/>
        <w:spacing w:before="0" w:after="0" w:line="360" w:lineRule="auto"/>
        <w:jc w:val="left"/>
        <w:rPr>
          <w:rFonts w:ascii="Times New Roman" w:hAnsi="Times New Roman" w:cs="Times New Roman"/>
          <w:sz w:val="24"/>
          <w:szCs w:val="24"/>
        </w:rPr>
      </w:pPr>
      <w:r>
        <w:rPr>
          <w:rFonts w:ascii="Times New Roman" w:hAnsi="Times New Roman" w:cs="Times New Roman"/>
          <w:sz w:val="24"/>
          <w:szCs w:val="24"/>
        </w:rPr>
        <w:t>Bioaccessibility-based Risk Assessment of Heavy Metal Exposure from Dietary and Environmental Media for Children and Teenagers in Beijing, China</w:t>
      </w:r>
    </w:p>
    <w:p w14:paraId="6D4DD532" w14:textId="77777777" w:rsidR="00043F49" w:rsidRDefault="00043F49">
      <w:pPr>
        <w:spacing w:line="360" w:lineRule="auto"/>
        <w:rPr>
          <w:rFonts w:ascii="Times New Roman" w:hAnsi="Times New Roman" w:cs="Times New Roman"/>
          <w:szCs w:val="21"/>
        </w:rPr>
      </w:pPr>
    </w:p>
    <w:p w14:paraId="5DF8D94C" w14:textId="77777777" w:rsidR="00043F49" w:rsidRDefault="00000000">
      <w:pPr>
        <w:spacing w:line="360" w:lineRule="auto"/>
        <w:rPr>
          <w:rFonts w:ascii="Times New Roman" w:hAnsi="Times New Roman" w:cs="Times New Roman"/>
          <w:szCs w:val="21"/>
        </w:rPr>
      </w:pPr>
      <w:r>
        <w:rPr>
          <w:rFonts w:ascii="Times New Roman" w:hAnsi="Times New Roman" w:cs="Times New Roman" w:hint="eastAsia"/>
          <w:szCs w:val="21"/>
        </w:rPr>
        <w:t>Zhongwen</w:t>
      </w:r>
      <w:r>
        <w:rPr>
          <w:rFonts w:ascii="Times New Roman" w:hAnsi="Times New Roman" w:cs="Times New Roman"/>
          <w:szCs w:val="21"/>
        </w:rPr>
        <w:t xml:space="preserve"> D</w:t>
      </w:r>
      <w:r>
        <w:rPr>
          <w:rFonts w:ascii="Times New Roman" w:hAnsi="Times New Roman" w:cs="Times New Roman" w:hint="eastAsia"/>
          <w:szCs w:val="21"/>
        </w:rPr>
        <w:t>u</w:t>
      </w:r>
      <w:r>
        <w:rPr>
          <w:rFonts w:ascii="Times New Roman" w:hAnsi="Times New Roman" w:cs="Times New Roman"/>
          <w:szCs w:val="21"/>
        </w:rPr>
        <w:t xml:space="preserve"> </w:t>
      </w:r>
      <w:r>
        <w:rPr>
          <w:rFonts w:ascii="Times New Roman" w:hAnsi="Times New Roman" w:cs="Times New Roman"/>
          <w:szCs w:val="21"/>
          <w:vertAlign w:val="superscript"/>
        </w:rPr>
        <w:t>a</w:t>
      </w:r>
      <w:r>
        <w:rPr>
          <w:rFonts w:ascii="Times New Roman" w:hAnsi="Times New Roman" w:cs="Times New Roman"/>
          <w:szCs w:val="21"/>
        </w:rPr>
        <w:t xml:space="preserve">, Zuguang Tian </w:t>
      </w:r>
      <w:r>
        <w:rPr>
          <w:rFonts w:ascii="Times New Roman" w:hAnsi="Times New Roman" w:cs="Times New Roman"/>
          <w:szCs w:val="21"/>
          <w:vertAlign w:val="superscript"/>
        </w:rPr>
        <w:t>b</w:t>
      </w:r>
      <w:r>
        <w:rPr>
          <w:rFonts w:ascii="Times New Roman" w:hAnsi="Times New Roman" w:cs="Times New Roman"/>
          <w:szCs w:val="21"/>
        </w:rPr>
        <w:t xml:space="preserve">, </w:t>
      </w:r>
      <w:r>
        <w:rPr>
          <w:rFonts w:ascii="Times New Roman" w:hAnsi="Times New Roman" w:cs="Times New Roman" w:hint="eastAsia"/>
          <w:szCs w:val="21"/>
        </w:rPr>
        <w:t>Yelan Yin</w:t>
      </w:r>
      <w:r>
        <w:rPr>
          <w:rFonts w:ascii="Times New Roman" w:hAnsi="Times New Roman" w:cs="Times New Roman" w:hint="eastAsia"/>
          <w:szCs w:val="21"/>
          <w:vertAlign w:val="superscript"/>
        </w:rPr>
        <w:t>c</w:t>
      </w:r>
      <w:r>
        <w:rPr>
          <w:rFonts w:ascii="Times New Roman" w:hAnsi="Times New Roman" w:cs="Times New Roman" w:hint="eastAsia"/>
          <w:szCs w:val="21"/>
        </w:rPr>
        <w:t xml:space="preserve">, </w:t>
      </w:r>
      <w:r>
        <w:rPr>
          <w:rFonts w:ascii="Times New Roman" w:hAnsi="Times New Roman" w:cs="Times New Roman"/>
          <w:szCs w:val="21"/>
        </w:rPr>
        <w:t xml:space="preserve">Junxiao Wei </w:t>
      </w:r>
      <w:r>
        <w:rPr>
          <w:rFonts w:ascii="Times New Roman" w:hAnsi="Times New Roman" w:cs="Times New Roman" w:hint="eastAsia"/>
          <w:szCs w:val="21"/>
          <w:vertAlign w:val="superscript"/>
        </w:rPr>
        <w:t>d</w:t>
      </w:r>
      <w:r>
        <w:rPr>
          <w:rFonts w:ascii="Times New Roman" w:hAnsi="Times New Roman" w:cs="Times New Roman"/>
          <w:szCs w:val="21"/>
          <w:vertAlign w:val="superscript"/>
        </w:rPr>
        <w:t>*</w:t>
      </w:r>
      <w:r>
        <w:rPr>
          <w:rFonts w:ascii="Times New Roman" w:hAnsi="Times New Roman" w:cs="Times New Roman"/>
          <w:szCs w:val="21"/>
        </w:rPr>
        <w:t xml:space="preserve">, Yue Mu </w:t>
      </w:r>
      <w:r>
        <w:rPr>
          <w:rFonts w:ascii="Times New Roman" w:hAnsi="Times New Roman" w:cs="Times New Roman" w:hint="eastAsia"/>
          <w:szCs w:val="21"/>
          <w:vertAlign w:val="superscript"/>
        </w:rPr>
        <w:t>e</w:t>
      </w:r>
      <w:r>
        <w:rPr>
          <w:rFonts w:ascii="Times New Roman" w:hAnsi="Times New Roman" w:cs="Times New Roman"/>
          <w:szCs w:val="21"/>
        </w:rPr>
        <w:t>, Jianjun C</w:t>
      </w:r>
      <w:r>
        <w:rPr>
          <w:rFonts w:ascii="Times New Roman" w:hAnsi="Times New Roman" w:cs="Times New Roman" w:hint="eastAsia"/>
          <w:szCs w:val="21"/>
        </w:rPr>
        <w:t>ai</w:t>
      </w:r>
      <w:r>
        <w:rPr>
          <w:rFonts w:ascii="Times New Roman" w:hAnsi="Times New Roman" w:cs="Times New Roman"/>
          <w:szCs w:val="21"/>
        </w:rPr>
        <w:t xml:space="preserve"> </w:t>
      </w:r>
      <w:r>
        <w:rPr>
          <w:rFonts w:ascii="Times New Roman" w:hAnsi="Times New Roman" w:cs="Times New Roman" w:hint="eastAsia"/>
          <w:szCs w:val="21"/>
          <w:vertAlign w:val="superscript"/>
        </w:rPr>
        <w:t>f</w:t>
      </w:r>
      <w:r>
        <w:rPr>
          <w:rFonts w:ascii="Times New Roman" w:hAnsi="Times New Roman" w:cs="Times New Roman"/>
          <w:szCs w:val="21"/>
        </w:rPr>
        <w:t xml:space="preserve">, Zefeng Song </w:t>
      </w:r>
      <w:r>
        <w:rPr>
          <w:rFonts w:ascii="Times New Roman" w:hAnsi="Times New Roman" w:cs="Times New Roman" w:hint="eastAsia"/>
          <w:szCs w:val="21"/>
          <w:vertAlign w:val="superscript"/>
        </w:rPr>
        <w:t>g</w:t>
      </w:r>
      <w:r>
        <w:rPr>
          <w:rFonts w:ascii="Times New Roman" w:hAnsi="Times New Roman" w:cs="Times New Roman"/>
          <w:szCs w:val="21"/>
        </w:rPr>
        <w:t xml:space="preserve">, Kuang Cen </w:t>
      </w:r>
      <w:r>
        <w:rPr>
          <w:rFonts w:ascii="Times New Roman" w:hAnsi="Times New Roman" w:cs="Times New Roman" w:hint="eastAsia"/>
          <w:szCs w:val="21"/>
          <w:vertAlign w:val="superscript"/>
        </w:rPr>
        <w:t>h</w:t>
      </w:r>
    </w:p>
    <w:p w14:paraId="2EB51572" w14:textId="77777777" w:rsidR="00043F49" w:rsidRDefault="00043F49">
      <w:pPr>
        <w:spacing w:line="360" w:lineRule="auto"/>
        <w:rPr>
          <w:rFonts w:ascii="Times New Roman" w:hAnsi="Times New Roman" w:cs="Times New Roman"/>
          <w:szCs w:val="21"/>
        </w:rPr>
      </w:pPr>
    </w:p>
    <w:p w14:paraId="74049246"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hint="eastAsia"/>
          <w:szCs w:val="21"/>
        </w:rPr>
        <w:t>B</w:t>
      </w:r>
      <w:r>
        <w:rPr>
          <w:rFonts w:ascii="Times New Roman" w:hAnsi="Times New Roman" w:cs="Times New Roman"/>
          <w:szCs w:val="21"/>
        </w:rPr>
        <w:t>aoding University of Technology, Baoding 071000, China</w:t>
      </w:r>
    </w:p>
    <w:p w14:paraId="6E6C7BCA"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Baoding Productivity Promotion Center, Baoding 071000, China</w:t>
      </w:r>
    </w:p>
    <w:p w14:paraId="52D5F808"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hint="eastAsia"/>
          <w:szCs w:val="21"/>
        </w:rPr>
        <w:t>No.4 Drilling Engineering Branch Company, CNPC Bohai Drilling Engineering Company Limited, Hejian, Hebei 062400, China</w:t>
      </w:r>
    </w:p>
    <w:p w14:paraId="75992A49" w14:textId="5693FA6E" w:rsidR="00043F49" w:rsidRDefault="00010BA7">
      <w:pPr>
        <w:pStyle w:val="aa"/>
        <w:numPr>
          <w:ilvl w:val="0"/>
          <w:numId w:val="1"/>
        </w:numPr>
        <w:spacing w:line="360" w:lineRule="auto"/>
        <w:ind w:firstLineChars="0"/>
        <w:rPr>
          <w:rFonts w:ascii="Times New Roman" w:hAnsi="Times New Roman" w:cs="Times New Roman"/>
          <w:szCs w:val="21"/>
        </w:rPr>
      </w:pPr>
      <w:r w:rsidRPr="00010BA7">
        <w:rPr>
          <w:rFonts w:ascii="Times New Roman" w:hAnsi="Times New Roman" w:cs="Times New Roman"/>
          <w:szCs w:val="21"/>
        </w:rPr>
        <w:t>School of Chemistry and Environment, Guangdong Ocean University, Zhanjiang 524088, China</w:t>
      </w:r>
    </w:p>
    <w:p w14:paraId="0FF83B7E"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College of Resources and Environment, Southwest University, Chongqing Key Laboratory of Agricultural Resources and Environment, Chongqing, 400715, China</w:t>
      </w:r>
    </w:p>
    <w:p w14:paraId="410F05BF"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School of Architecture and Traffic, Guilin University of Electronic Technology, Guilin 541004, China.</w:t>
      </w:r>
    </w:p>
    <w:p w14:paraId="785C5A55"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 xml:space="preserve">Institute of Resources and Environmental Engineering, </w:t>
      </w:r>
      <w:r>
        <w:rPr>
          <w:rFonts w:ascii="Times New Roman" w:hAnsi="Times New Roman" w:cs="Times New Roman" w:hint="eastAsia"/>
          <w:szCs w:val="21"/>
        </w:rPr>
        <w:t>H</w:t>
      </w:r>
      <w:r>
        <w:rPr>
          <w:rFonts w:ascii="Times New Roman" w:hAnsi="Times New Roman" w:cs="Times New Roman"/>
          <w:szCs w:val="21"/>
        </w:rPr>
        <w:t>ebei GEO University, Shijiazhuang 050031, China</w:t>
      </w:r>
    </w:p>
    <w:p w14:paraId="0A0268F1" w14:textId="77777777" w:rsidR="00043F49" w:rsidRDefault="00000000">
      <w:pPr>
        <w:pStyle w:val="aa"/>
        <w:numPr>
          <w:ilvl w:val="0"/>
          <w:numId w:val="1"/>
        </w:numPr>
        <w:spacing w:line="360" w:lineRule="auto"/>
        <w:ind w:firstLineChars="0"/>
        <w:rPr>
          <w:rFonts w:ascii="Times New Roman" w:hAnsi="Times New Roman" w:cs="Times New Roman"/>
          <w:szCs w:val="21"/>
        </w:rPr>
      </w:pPr>
      <w:r>
        <w:rPr>
          <w:rFonts w:ascii="Times New Roman" w:hAnsi="Times New Roman" w:cs="Times New Roman"/>
          <w:szCs w:val="21"/>
        </w:rPr>
        <w:t xml:space="preserve">School of Earth Sciences and Resources, </w:t>
      </w:r>
      <w:r>
        <w:rPr>
          <w:rFonts w:ascii="Times New Roman" w:hAnsi="Times New Roman" w:cs="Times New Roman" w:hint="eastAsia"/>
          <w:szCs w:val="21"/>
        </w:rPr>
        <w:t>C</w:t>
      </w:r>
      <w:r>
        <w:rPr>
          <w:rFonts w:ascii="Times New Roman" w:hAnsi="Times New Roman" w:cs="Times New Roman"/>
          <w:szCs w:val="21"/>
        </w:rPr>
        <w:t>hina University of Geosciences (Beijing), Beijing 100083, China</w:t>
      </w:r>
    </w:p>
    <w:p w14:paraId="198094FC" w14:textId="77777777" w:rsidR="00043F49" w:rsidRDefault="00043F49">
      <w:pPr>
        <w:spacing w:line="360" w:lineRule="auto"/>
        <w:rPr>
          <w:rFonts w:ascii="Times New Roman" w:hAnsi="Times New Roman" w:cs="Times New Roman"/>
          <w:szCs w:val="21"/>
        </w:rPr>
      </w:pPr>
    </w:p>
    <w:p w14:paraId="3F016514" w14:textId="77777777" w:rsidR="00DE78D6" w:rsidRDefault="00DE78D6" w:rsidP="00DE78D6">
      <w:pPr>
        <w:spacing w:line="360" w:lineRule="auto"/>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 xml:space="preserve"> Corresponding author</w:t>
      </w:r>
    </w:p>
    <w:p w14:paraId="338F89CE" w14:textId="77777777" w:rsidR="00DE78D6" w:rsidRPr="00A64C21" w:rsidRDefault="00DE78D6" w:rsidP="00DE78D6">
      <w:pPr>
        <w:spacing w:line="360" w:lineRule="auto"/>
        <w:rPr>
          <w:rFonts w:asciiTheme="majorBidi" w:hAnsiTheme="majorBidi" w:cstheme="majorBidi"/>
          <w:szCs w:val="21"/>
        </w:rPr>
      </w:pPr>
      <w:r w:rsidRPr="00A64C21">
        <w:rPr>
          <w:rFonts w:asciiTheme="majorBidi" w:hAnsiTheme="majorBidi" w:cstheme="majorBidi"/>
          <w:szCs w:val="21"/>
        </w:rPr>
        <w:t xml:space="preserve">Junxiao Wei. E-mail: </w:t>
      </w:r>
      <w:r w:rsidRPr="00A64C21">
        <w:rPr>
          <w:rFonts w:asciiTheme="majorBidi" w:hAnsiTheme="majorBidi" w:cstheme="majorBidi"/>
        </w:rPr>
        <w:t>wei.junxiao@</w:t>
      </w:r>
      <w:r>
        <w:rPr>
          <w:rFonts w:asciiTheme="majorBidi" w:hAnsiTheme="majorBidi" w:cstheme="majorBidi" w:hint="eastAsia"/>
        </w:rPr>
        <w:t>gdou</w:t>
      </w:r>
      <w:r w:rsidRPr="00A64C21">
        <w:rPr>
          <w:rFonts w:asciiTheme="majorBidi" w:hAnsiTheme="majorBidi" w:cstheme="majorBidi"/>
        </w:rPr>
        <w:t>.edu.cn</w:t>
      </w:r>
    </w:p>
    <w:p w14:paraId="0D90C5EE" w14:textId="77777777" w:rsidR="00DE78D6" w:rsidRPr="00DE78D6" w:rsidRDefault="00DE78D6">
      <w:pPr>
        <w:spacing w:line="360" w:lineRule="auto"/>
        <w:rPr>
          <w:rFonts w:asciiTheme="majorBidi" w:hAnsiTheme="majorBidi" w:cstheme="majorBidi"/>
        </w:rPr>
      </w:pPr>
    </w:p>
    <w:p w14:paraId="0FE9C5DE" w14:textId="77777777" w:rsidR="00043F49" w:rsidRDefault="00043F49">
      <w:pPr>
        <w:spacing w:line="360" w:lineRule="auto"/>
        <w:rPr>
          <w:rFonts w:asciiTheme="majorBidi" w:hAnsiTheme="majorBidi" w:cstheme="majorBidi"/>
          <w:szCs w:val="21"/>
        </w:rPr>
        <w:sectPr w:rsidR="00043F49">
          <w:footerReference w:type="default" r:id="rId8"/>
          <w:type w:val="continuous"/>
          <w:pgSz w:w="11906" w:h="16838"/>
          <w:pgMar w:top="1440" w:right="1800" w:bottom="1440" w:left="1800" w:header="851" w:footer="992" w:gutter="0"/>
          <w:lnNumType w:countBy="1" w:restart="continuous"/>
          <w:cols w:space="425"/>
          <w:docGrid w:type="lines" w:linePitch="312"/>
        </w:sectPr>
      </w:pPr>
    </w:p>
    <w:p w14:paraId="1658805C" w14:textId="77777777" w:rsidR="00043F49" w:rsidRDefault="00043F49">
      <w:pPr>
        <w:spacing w:line="360" w:lineRule="auto"/>
        <w:rPr>
          <w:rFonts w:asciiTheme="majorBidi" w:hAnsiTheme="majorBidi" w:cstheme="majorBidi"/>
          <w:szCs w:val="21"/>
        </w:rPr>
        <w:sectPr w:rsidR="00043F49">
          <w:type w:val="continuous"/>
          <w:pgSz w:w="11906" w:h="16838"/>
          <w:pgMar w:top="1440" w:right="1800" w:bottom="1440" w:left="1800" w:header="851" w:footer="992" w:gutter="0"/>
          <w:lnNumType w:countBy="1" w:restart="continuous"/>
          <w:cols w:space="425"/>
          <w:docGrid w:type="lines" w:linePitch="312"/>
        </w:sectPr>
      </w:pPr>
    </w:p>
    <w:p w14:paraId="5C41116D" w14:textId="5BFB5F40" w:rsidR="00043F49" w:rsidRDefault="00000000">
      <w:pPr>
        <w:spacing w:line="360" w:lineRule="auto"/>
        <w:rPr>
          <w:rFonts w:asciiTheme="majorBidi" w:hAnsiTheme="majorBidi" w:cstheme="majorBidi"/>
          <w:szCs w:val="21"/>
        </w:rPr>
      </w:pPr>
      <w:r>
        <w:rPr>
          <w:rFonts w:asciiTheme="majorBidi" w:hAnsiTheme="majorBidi" w:cstheme="majorBidi"/>
          <w:szCs w:val="21"/>
        </w:rPr>
        <w:lastRenderedPageBreak/>
        <w:t>P</w:t>
      </w:r>
      <w:r>
        <w:rPr>
          <w:rFonts w:asciiTheme="majorBidi" w:hAnsiTheme="majorBidi" w:cstheme="majorBidi" w:hint="eastAsia"/>
          <w:szCs w:val="21"/>
        </w:rPr>
        <w:t>ages</w:t>
      </w:r>
      <w:r>
        <w:rPr>
          <w:rFonts w:asciiTheme="majorBidi" w:hAnsiTheme="majorBidi" w:cstheme="majorBidi"/>
          <w:szCs w:val="21"/>
        </w:rPr>
        <w:t xml:space="preserve"> </w:t>
      </w:r>
      <w:r w:rsidR="006914BA">
        <w:rPr>
          <w:rFonts w:asciiTheme="majorBidi" w:hAnsiTheme="majorBidi" w:cstheme="majorBidi"/>
          <w:szCs w:val="21"/>
        </w:rPr>
        <w:t>19</w:t>
      </w:r>
    </w:p>
    <w:p w14:paraId="474671CB" w14:textId="77777777" w:rsidR="00043F49" w:rsidRDefault="00000000">
      <w:pPr>
        <w:spacing w:line="360" w:lineRule="auto"/>
        <w:rPr>
          <w:rFonts w:asciiTheme="majorBidi" w:hAnsiTheme="majorBidi" w:cstheme="majorBidi"/>
          <w:szCs w:val="21"/>
        </w:rPr>
      </w:pPr>
      <w:r>
        <w:rPr>
          <w:rFonts w:asciiTheme="majorBidi" w:hAnsiTheme="majorBidi" w:cstheme="majorBidi"/>
          <w:szCs w:val="21"/>
        </w:rPr>
        <w:t>T</w:t>
      </w:r>
      <w:r>
        <w:rPr>
          <w:rFonts w:asciiTheme="majorBidi" w:hAnsiTheme="majorBidi" w:cstheme="majorBidi" w:hint="eastAsia"/>
          <w:szCs w:val="21"/>
        </w:rPr>
        <w:t>able</w:t>
      </w:r>
      <w:r>
        <w:rPr>
          <w:rFonts w:asciiTheme="majorBidi" w:hAnsiTheme="majorBidi" w:cstheme="majorBidi"/>
          <w:szCs w:val="21"/>
        </w:rPr>
        <w:t xml:space="preserve"> </w:t>
      </w:r>
      <w:r>
        <w:rPr>
          <w:rFonts w:asciiTheme="majorBidi" w:hAnsiTheme="majorBidi" w:cstheme="majorBidi" w:hint="eastAsia"/>
          <w:szCs w:val="21"/>
        </w:rPr>
        <w:t>8</w:t>
      </w:r>
    </w:p>
    <w:p w14:paraId="74884180" w14:textId="77777777" w:rsidR="00043F49" w:rsidRDefault="00043F49">
      <w:pPr>
        <w:spacing w:line="360" w:lineRule="auto"/>
        <w:rPr>
          <w:rFonts w:asciiTheme="majorBidi" w:hAnsiTheme="majorBidi" w:cstheme="majorBidi"/>
          <w:szCs w:val="21"/>
        </w:rPr>
      </w:pPr>
    </w:p>
    <w:p w14:paraId="2A45B3A7" w14:textId="77777777" w:rsidR="00043F49" w:rsidRDefault="00043F49">
      <w:pPr>
        <w:spacing w:line="360" w:lineRule="auto"/>
        <w:rPr>
          <w:rFonts w:asciiTheme="majorBidi" w:hAnsiTheme="majorBidi" w:cstheme="majorBidi"/>
          <w:szCs w:val="21"/>
        </w:rPr>
        <w:sectPr w:rsidR="00043F49">
          <w:pgSz w:w="11906" w:h="16838"/>
          <w:pgMar w:top="1440" w:right="1800" w:bottom="1440" w:left="1800" w:header="851" w:footer="992" w:gutter="0"/>
          <w:lnNumType w:countBy="1" w:restart="continuous"/>
          <w:cols w:space="425"/>
          <w:docGrid w:type="lines" w:linePitch="312"/>
        </w:sectPr>
      </w:pPr>
    </w:p>
    <w:p w14:paraId="4F09D3BA" w14:textId="77777777" w:rsidR="00043F49" w:rsidRDefault="00043F49">
      <w:pPr>
        <w:spacing w:line="360" w:lineRule="auto"/>
        <w:rPr>
          <w:rFonts w:asciiTheme="majorBidi" w:hAnsiTheme="majorBidi" w:cstheme="majorBidi"/>
          <w:szCs w:val="21"/>
        </w:rPr>
        <w:sectPr w:rsidR="00043F49">
          <w:type w:val="continuous"/>
          <w:pgSz w:w="11906" w:h="16838"/>
          <w:pgMar w:top="1440" w:right="1800" w:bottom="1440" w:left="1800" w:header="851" w:footer="992" w:gutter="0"/>
          <w:lnNumType w:countBy="1" w:restart="continuous"/>
          <w:cols w:space="425"/>
          <w:docGrid w:type="lines" w:linePitch="312"/>
        </w:sectPr>
      </w:pPr>
    </w:p>
    <w:p w14:paraId="470C5A0A" w14:textId="77777777" w:rsidR="00043F49" w:rsidRDefault="00000000">
      <w:pPr>
        <w:pStyle w:val="1"/>
        <w:spacing w:before="0" w:after="0" w:line="360" w:lineRule="auto"/>
        <w:jc w:val="center"/>
        <w:rPr>
          <w:rFonts w:ascii="Times New Roman" w:hAnsi="Times New Roman" w:cs="Times New Roman"/>
          <w:b w:val="0"/>
          <w:bCs w:val="0"/>
          <w:sz w:val="20"/>
          <w:szCs w:val="20"/>
        </w:rPr>
      </w:pPr>
      <w:r>
        <w:rPr>
          <w:rFonts w:ascii="Times New Roman" w:hAnsi="Times New Roman" w:cs="Times New Roman" w:hint="eastAsia"/>
          <w:sz w:val="20"/>
          <w:szCs w:val="20"/>
        </w:rPr>
        <w:lastRenderedPageBreak/>
        <w:t>Table</w:t>
      </w:r>
      <w:r>
        <w:rPr>
          <w:rFonts w:ascii="Times New Roman" w:hAnsi="Times New Roman" w:cs="Times New Roman"/>
          <w:sz w:val="20"/>
          <w:szCs w:val="20"/>
        </w:rPr>
        <w:t xml:space="preserve"> S1</w:t>
      </w:r>
      <w:r>
        <w:rPr>
          <w:rFonts w:ascii="Times New Roman" w:hAnsi="Times New Roman" w:cs="Times New Roman"/>
          <w:b w:val="0"/>
          <w:bCs w:val="0"/>
          <w:sz w:val="20"/>
          <w:szCs w:val="20"/>
        </w:rPr>
        <w:t xml:space="preserve"> T</w:t>
      </w:r>
      <w:r>
        <w:rPr>
          <w:rFonts w:ascii="Times New Roman" w:hAnsi="Times New Roman" w:cs="Times New Roman" w:hint="eastAsia"/>
          <w:b w:val="0"/>
          <w:bCs w:val="0"/>
          <w:sz w:val="20"/>
          <w:szCs w:val="20"/>
        </w:rPr>
        <w:t>he</w:t>
      </w:r>
      <w:r>
        <w:rPr>
          <w:rFonts w:ascii="Times New Roman" w:hAnsi="Times New Roman" w:cs="Times New Roman"/>
          <w:b w:val="0"/>
          <w:bCs w:val="0"/>
          <w:sz w:val="20"/>
          <w:szCs w:val="20"/>
        </w:rPr>
        <w:t xml:space="preserve"> extracted references </w:t>
      </w:r>
      <w:r>
        <w:rPr>
          <w:rFonts w:ascii="Times New Roman" w:hAnsi="Times New Roman" w:cs="Times New Roman" w:hint="eastAsia"/>
          <w:b w:val="0"/>
          <w:bCs w:val="0"/>
          <w:sz w:val="20"/>
          <w:szCs w:val="20"/>
        </w:rPr>
        <w:t>of</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heavy</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metals</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in</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soil</w:t>
      </w:r>
    </w:p>
    <w:tbl>
      <w:tblPr>
        <w:tblStyle w:val="a7"/>
        <w:tblW w:w="0" w:type="auto"/>
        <w:tblLook w:val="04A0" w:firstRow="1" w:lastRow="0" w:firstColumn="1" w:lastColumn="0" w:noHBand="0" w:noVBand="1"/>
      </w:tblPr>
      <w:tblGrid>
        <w:gridCol w:w="555"/>
        <w:gridCol w:w="13393"/>
      </w:tblGrid>
      <w:tr w:rsidR="00043F49" w14:paraId="2EF1846B" w14:textId="77777777">
        <w:tc>
          <w:tcPr>
            <w:tcW w:w="0" w:type="auto"/>
          </w:tcPr>
          <w:p w14:paraId="3FE718C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N</w:t>
            </w:r>
            <w:r>
              <w:rPr>
                <w:rFonts w:asciiTheme="majorBidi" w:hAnsiTheme="majorBidi" w:cstheme="majorBidi"/>
                <w:color w:val="000000" w:themeColor="text1"/>
                <w:sz w:val="20"/>
                <w:szCs w:val="20"/>
              </w:rPr>
              <w:t>O.</w:t>
            </w:r>
          </w:p>
        </w:tc>
        <w:tc>
          <w:tcPr>
            <w:tcW w:w="0" w:type="auto"/>
          </w:tcPr>
          <w:p w14:paraId="1FAF9B9C"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References</w:t>
            </w:r>
          </w:p>
        </w:tc>
      </w:tr>
      <w:tr w:rsidR="00043F49" w14:paraId="0F06F560" w14:textId="77777777">
        <w:tc>
          <w:tcPr>
            <w:tcW w:w="0" w:type="auto"/>
          </w:tcPr>
          <w:p w14:paraId="0271C10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p>
        </w:tc>
        <w:tc>
          <w:tcPr>
            <w:tcW w:w="0" w:type="auto"/>
          </w:tcPr>
          <w:p w14:paraId="61081B2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Sun</w:t>
            </w:r>
            <w:r>
              <w:rPr>
                <w:rFonts w:asciiTheme="majorBidi" w:hAnsiTheme="majorBidi" w:cstheme="majorBidi"/>
                <w:color w:val="000000" w:themeColor="text1"/>
                <w:sz w:val="20"/>
                <w:szCs w:val="20"/>
              </w:rPr>
              <w:t>, R., Chen, L., 2016. Assessment of Heavy Metal Pollution in Topsoil around Beijing Metropolis. PLoS ONE 11(5): e0155350</w:t>
            </w:r>
          </w:p>
        </w:tc>
      </w:tr>
      <w:tr w:rsidR="00043F49" w14:paraId="6320D7F8" w14:textId="77777777">
        <w:tc>
          <w:tcPr>
            <w:tcW w:w="0" w:type="auto"/>
          </w:tcPr>
          <w:p w14:paraId="19002990"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p>
        </w:tc>
        <w:tc>
          <w:tcPr>
            <w:tcW w:w="0" w:type="auto"/>
          </w:tcPr>
          <w:p w14:paraId="364729F1"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Q., Wu, Y., Zhou, Y., Li, X., Yang, S., Chen, Y., Qu, Y., Ma, J., 2021. A novel method to analyze the spatial distribution and potential sources of pollutant combinations in the soil of Beijing urban parks. Environmental Pollution 284: 117191.</w:t>
            </w:r>
          </w:p>
        </w:tc>
      </w:tr>
      <w:tr w:rsidR="00043F49" w14:paraId="05D52DBE" w14:textId="77777777">
        <w:tc>
          <w:tcPr>
            <w:tcW w:w="0" w:type="auto"/>
          </w:tcPr>
          <w:p w14:paraId="7E0A21A0"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p>
        </w:tc>
        <w:tc>
          <w:tcPr>
            <w:tcW w:w="0" w:type="auto"/>
          </w:tcPr>
          <w:p w14:paraId="65B903D7"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T</w:t>
            </w:r>
            <w:r>
              <w:rPr>
                <w:rFonts w:asciiTheme="majorBidi" w:hAnsiTheme="majorBidi" w:cstheme="majorBidi"/>
                <w:color w:val="000000" w:themeColor="text1"/>
                <w:sz w:val="20"/>
                <w:szCs w:val="20"/>
              </w:rPr>
              <w:t>ang, Y., Han, G., 2017. Characteristics of major elements and heavy metals in atmospheric dust in Beijing, China. Journal of Geochemical Exploration 176:114-119.</w:t>
            </w:r>
          </w:p>
        </w:tc>
      </w:tr>
      <w:tr w:rsidR="00043F49" w14:paraId="65DE254D" w14:textId="77777777">
        <w:tc>
          <w:tcPr>
            <w:tcW w:w="0" w:type="auto"/>
          </w:tcPr>
          <w:p w14:paraId="5E48954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p>
        </w:tc>
        <w:tc>
          <w:tcPr>
            <w:tcW w:w="0" w:type="auto"/>
          </w:tcPr>
          <w:p w14:paraId="2194D5E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C</w:t>
            </w:r>
            <w:r>
              <w:rPr>
                <w:rFonts w:asciiTheme="majorBidi" w:hAnsiTheme="majorBidi" w:cstheme="majorBidi"/>
                <w:color w:val="000000" w:themeColor="text1"/>
                <w:sz w:val="20"/>
                <w:szCs w:val="20"/>
              </w:rPr>
              <w:t>hen, H., Teng, Y., Lu, S., Wang, Y., Wu, J., Wang, J., 2016. Source apportionment and health risk assessment of trace metals in surface soils of Beijing metropolitan, China. Chemosphere 144: 1002-1011.</w:t>
            </w:r>
          </w:p>
        </w:tc>
      </w:tr>
      <w:tr w:rsidR="00043F49" w14:paraId="51D2B1C3" w14:textId="77777777">
        <w:tc>
          <w:tcPr>
            <w:tcW w:w="0" w:type="auto"/>
          </w:tcPr>
          <w:p w14:paraId="1649F1E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p>
        </w:tc>
        <w:tc>
          <w:tcPr>
            <w:tcW w:w="0" w:type="auto"/>
          </w:tcPr>
          <w:p w14:paraId="2DD14F0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J</w:t>
            </w:r>
            <w:r>
              <w:rPr>
                <w:rFonts w:asciiTheme="majorBidi" w:hAnsiTheme="majorBidi" w:cstheme="majorBidi"/>
                <w:color w:val="000000" w:themeColor="text1"/>
                <w:sz w:val="20"/>
                <w:szCs w:val="20"/>
              </w:rPr>
              <w:t>in, Y., O'Connor, D., Ok, Y., Tsang, D., Liu, A., Hou, D., 2019. Assessment of sources of heavy metals in soil and dust at children's playgrounds in Beijing using GIS and multivariate statistical analysis. Environment International 124: 320-328.</w:t>
            </w:r>
          </w:p>
        </w:tc>
      </w:tr>
      <w:tr w:rsidR="00043F49" w14:paraId="685C2144" w14:textId="77777777">
        <w:tc>
          <w:tcPr>
            <w:tcW w:w="0" w:type="auto"/>
          </w:tcPr>
          <w:p w14:paraId="1AFA7257"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6</w:t>
            </w:r>
          </w:p>
        </w:tc>
        <w:tc>
          <w:tcPr>
            <w:tcW w:w="0" w:type="auto"/>
          </w:tcPr>
          <w:p w14:paraId="150127A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L., Liu, Q., Ma, J., Wu, H., Qu, Y., Gong, Y., Yang, S., An, Y., Zhou, Y., 2020. Heavy metal(loid)s in the topsoil of urban parks in Beijing, China: Concentrations, potential sources, and risk assessment. Environmental Pollution 260: 114083.</w:t>
            </w:r>
          </w:p>
        </w:tc>
      </w:tr>
      <w:tr w:rsidR="00043F49" w14:paraId="572564CB" w14:textId="77777777">
        <w:tc>
          <w:tcPr>
            <w:tcW w:w="0" w:type="auto"/>
          </w:tcPr>
          <w:p w14:paraId="31750C7D"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7</w:t>
            </w:r>
          </w:p>
        </w:tc>
        <w:tc>
          <w:tcPr>
            <w:tcW w:w="0" w:type="auto"/>
          </w:tcPr>
          <w:p w14:paraId="726CE8A1"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ang, J., Wang, J., Qiao, P., Zheng, Y., Yang, J., Chen, T., Lei, M., Wan, X., Zhou, X., 2020. Identifying factors that influence soil heavy metals by using categorical regression analysis: A case study in Beijing, China. Frontiers of Environmental Science &amp; Engineering 14(3): 37.</w:t>
            </w:r>
          </w:p>
        </w:tc>
      </w:tr>
      <w:tr w:rsidR="00043F49" w14:paraId="1C5BAE68" w14:textId="77777777">
        <w:tc>
          <w:tcPr>
            <w:tcW w:w="0" w:type="auto"/>
          </w:tcPr>
          <w:p w14:paraId="5098A6C6"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8</w:t>
            </w:r>
          </w:p>
        </w:tc>
        <w:tc>
          <w:tcPr>
            <w:tcW w:w="0" w:type="auto"/>
          </w:tcPr>
          <w:p w14:paraId="0B42CA68"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X</w:t>
            </w:r>
            <w:r>
              <w:rPr>
                <w:rFonts w:asciiTheme="majorBidi" w:hAnsiTheme="majorBidi" w:cstheme="majorBidi"/>
                <w:color w:val="000000" w:themeColor="text1"/>
                <w:sz w:val="20"/>
                <w:szCs w:val="20"/>
              </w:rPr>
              <w:t>ia, X., Chen, X., Liu, R., Liu, H., 2011. Heavy metals in urban soils with various types of land use in Beijing, China. Journal of Hazardous Materials 186(2-3): 2043-2050.</w:t>
            </w:r>
          </w:p>
        </w:tc>
      </w:tr>
      <w:tr w:rsidR="00043F49" w14:paraId="4BAE4C68" w14:textId="77777777">
        <w:tc>
          <w:tcPr>
            <w:tcW w:w="0" w:type="auto"/>
          </w:tcPr>
          <w:p w14:paraId="043E8F38"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9</w:t>
            </w:r>
          </w:p>
        </w:tc>
        <w:tc>
          <w:tcPr>
            <w:tcW w:w="0" w:type="auto"/>
          </w:tcPr>
          <w:p w14:paraId="6F091D19"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R., Wang, M., Chen, W., Peng, C., 2016. Spatial pattern of heavy metals accumulation risk in urban soils of Beijing and its influencing factors. Environmental Pollution 210: 174-181.</w:t>
            </w:r>
          </w:p>
        </w:tc>
      </w:tr>
      <w:tr w:rsidR="00043F49" w14:paraId="0B2ABC1D" w14:textId="77777777">
        <w:tc>
          <w:tcPr>
            <w:tcW w:w="0" w:type="auto"/>
          </w:tcPr>
          <w:p w14:paraId="78B6033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0</w:t>
            </w:r>
          </w:p>
        </w:tc>
        <w:tc>
          <w:tcPr>
            <w:tcW w:w="0" w:type="auto"/>
          </w:tcPr>
          <w:p w14:paraId="79A6B2E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ou, J., Liu, X., Dai, W., Luan, Y., 2018. Pollution assessment of heavy metal accumulation in the farmland soils of Beijing's suburbs. Environmental Science and Pollution Research 25: 27483-27492.</w:t>
            </w:r>
          </w:p>
        </w:tc>
      </w:tr>
      <w:tr w:rsidR="00043F49" w14:paraId="5BA13FFA" w14:textId="77777777">
        <w:tc>
          <w:tcPr>
            <w:tcW w:w="0" w:type="auto"/>
          </w:tcPr>
          <w:p w14:paraId="017F56D1"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1</w:t>
            </w:r>
          </w:p>
        </w:tc>
        <w:tc>
          <w:tcPr>
            <w:tcW w:w="0" w:type="auto"/>
          </w:tcPr>
          <w:p w14:paraId="0D323ED6"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Liu, Q., Liu, Y., </w:t>
            </w: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hang, M., 2012. Mercury and Cadmium Contamination in Traffic Soil of Beijing, China. Bulletin of Environmental Contamination and Toxicology 88:154-157.</w:t>
            </w:r>
          </w:p>
        </w:tc>
      </w:tr>
      <w:tr w:rsidR="00043F49" w14:paraId="72BF838F" w14:textId="77777777">
        <w:tc>
          <w:tcPr>
            <w:tcW w:w="0" w:type="auto"/>
          </w:tcPr>
          <w:p w14:paraId="542053E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1</w:t>
            </w:r>
            <w:r>
              <w:rPr>
                <w:rFonts w:asciiTheme="majorBidi" w:hAnsiTheme="majorBidi" w:cstheme="majorBidi"/>
                <w:color w:val="000000" w:themeColor="text1"/>
                <w:sz w:val="20"/>
                <w:szCs w:val="20"/>
              </w:rPr>
              <w:t>2</w:t>
            </w:r>
          </w:p>
        </w:tc>
        <w:tc>
          <w:tcPr>
            <w:tcW w:w="0" w:type="auto"/>
          </w:tcPr>
          <w:p w14:paraId="7740245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ang, M., Markert, B., Chen, W., Peng, C., Ouyang, Z., 2012. Identification of heavy metal pollutants using multivariate analysis and effects of land uses on their accumulation in urban soils in Beijing, China. Environmental Monitoring and Assessment 184: 5889-5897.</w:t>
            </w:r>
          </w:p>
        </w:tc>
      </w:tr>
      <w:tr w:rsidR="00043F49" w14:paraId="15EA45C4" w14:textId="77777777">
        <w:tc>
          <w:tcPr>
            <w:tcW w:w="0" w:type="auto"/>
          </w:tcPr>
          <w:p w14:paraId="3826F05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3</w:t>
            </w:r>
          </w:p>
        </w:tc>
        <w:tc>
          <w:tcPr>
            <w:tcW w:w="0" w:type="auto"/>
          </w:tcPr>
          <w:p w14:paraId="48DE5EDE"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 K., Zhang, F., Li, H., Huang, F., Li, B., 2006. Spatial Patterns of Soil Heavy Metals in Urban-Rural Transition Zone of Beijing. Pedosphere 16(6): 690-698.</w:t>
            </w:r>
          </w:p>
        </w:tc>
      </w:tr>
      <w:tr w:rsidR="00043F49" w14:paraId="505A8D7D" w14:textId="77777777">
        <w:tc>
          <w:tcPr>
            <w:tcW w:w="0" w:type="auto"/>
          </w:tcPr>
          <w:p w14:paraId="57831EE2"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4</w:t>
            </w:r>
          </w:p>
        </w:tc>
        <w:tc>
          <w:tcPr>
            <w:tcW w:w="0" w:type="auto"/>
          </w:tcPr>
          <w:p w14:paraId="5C44A429"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R., Cai, G., Wang, J., Ouyang, W., Cheng, H., Lin, C., 2014. Contents and chemical forms of heavy metals in school and roadside topsoils and road-surface dust of Beijing. Journal of Soils and Sediments 14: 1806-1817.</w:t>
            </w:r>
          </w:p>
        </w:tc>
      </w:tr>
      <w:tr w:rsidR="00043F49" w14:paraId="04AB0B15" w14:textId="77777777">
        <w:tc>
          <w:tcPr>
            <w:tcW w:w="0" w:type="auto"/>
          </w:tcPr>
          <w:p w14:paraId="3CF2D106"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5</w:t>
            </w:r>
          </w:p>
        </w:tc>
        <w:tc>
          <w:tcPr>
            <w:tcW w:w="0" w:type="auto"/>
          </w:tcPr>
          <w:p w14:paraId="4A499A23"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ang, Y., Qiao, M., Liu, Y., Zhu, Y., 2012. Health risk assessment of heavy metals in soils and vegetables from wastewater irrigated area, Beijing-Tianjin city cluster, China. Journal of Environmental Sciences 24(4): 690-698.</w:t>
            </w:r>
          </w:p>
        </w:tc>
      </w:tr>
      <w:tr w:rsidR="00043F49" w14:paraId="7FE391CA" w14:textId="77777777">
        <w:tc>
          <w:tcPr>
            <w:tcW w:w="0" w:type="auto"/>
          </w:tcPr>
          <w:p w14:paraId="30D4DA5B"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6</w:t>
            </w:r>
          </w:p>
        </w:tc>
        <w:tc>
          <w:tcPr>
            <w:tcW w:w="0" w:type="auto"/>
          </w:tcPr>
          <w:p w14:paraId="70C99199"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W., Zhao, J., Ouyang, Z., Söderlund, L., Liu, G., 2005. Impacts of sewage irrigation on heavy metal distribution and contamination in Beijing, China. Environment International 31(6): 805-812.</w:t>
            </w:r>
          </w:p>
        </w:tc>
      </w:tr>
      <w:tr w:rsidR="00043F49" w14:paraId="08BAFAF6" w14:textId="77777777">
        <w:tc>
          <w:tcPr>
            <w:tcW w:w="0" w:type="auto"/>
          </w:tcPr>
          <w:p w14:paraId="585CF249"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7</w:t>
            </w:r>
          </w:p>
        </w:tc>
        <w:tc>
          <w:tcPr>
            <w:tcW w:w="0" w:type="auto"/>
          </w:tcPr>
          <w:p w14:paraId="00C7B6C3" w14:textId="77777777" w:rsidR="00043F49" w:rsidRDefault="00000000">
            <w:pPr>
              <w:tabs>
                <w:tab w:val="left" w:pos="960"/>
              </w:tabs>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Yuan, G., Sun, T., Han, P., Li, J., Lang, X., 2014. Source identification and ecological risk assessment of heavy metals in topsoil using environmental geochemical mapping: Typical urban renewal area in Beijing, China. Journal of Geochemical Exploration 136: 40-47.</w:t>
            </w:r>
          </w:p>
        </w:tc>
      </w:tr>
      <w:tr w:rsidR="00043F49" w14:paraId="4C43B9C3" w14:textId="77777777">
        <w:tc>
          <w:tcPr>
            <w:tcW w:w="0" w:type="auto"/>
          </w:tcPr>
          <w:p w14:paraId="083A519D"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8</w:t>
            </w:r>
          </w:p>
        </w:tc>
        <w:tc>
          <w:tcPr>
            <w:tcW w:w="0" w:type="auto"/>
          </w:tcPr>
          <w:p w14:paraId="4059B36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ang, M., Liu, R., Chen, W., Peng, C., Markert, B., 2018. Effects of urbanization on heavy metal accumulation in surface soils, Beijing. Journal of Environmental Sciences 64: 328-334.</w:t>
            </w:r>
          </w:p>
        </w:tc>
      </w:tr>
      <w:tr w:rsidR="00043F49" w14:paraId="07845295" w14:textId="77777777">
        <w:tc>
          <w:tcPr>
            <w:tcW w:w="0" w:type="auto"/>
          </w:tcPr>
          <w:p w14:paraId="5D3A596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9</w:t>
            </w:r>
          </w:p>
        </w:tc>
        <w:tc>
          <w:tcPr>
            <w:tcW w:w="0" w:type="auto"/>
          </w:tcPr>
          <w:p w14:paraId="2285F13C"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X</w:t>
            </w:r>
            <w:r>
              <w:rPr>
                <w:rFonts w:asciiTheme="majorBidi" w:hAnsiTheme="majorBidi" w:cstheme="majorBidi"/>
                <w:color w:val="000000" w:themeColor="text1"/>
                <w:sz w:val="20"/>
                <w:szCs w:val="20"/>
              </w:rPr>
              <w:t>u, L., Lu, A., Wang, J., Ma, Z., Pan, L., Feng, X., Luan, Y., 2015. Accumulation status, sources and phytoavailability of metals in greenhouse vegetable production systems in Beijing, China. Ecotoxicology and Environmental Safety 122: 214-220.</w:t>
            </w:r>
          </w:p>
        </w:tc>
      </w:tr>
      <w:tr w:rsidR="00043F49" w14:paraId="65E409EA" w14:textId="77777777">
        <w:tc>
          <w:tcPr>
            <w:tcW w:w="0" w:type="auto"/>
          </w:tcPr>
          <w:p w14:paraId="7A60D20D"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0</w:t>
            </w:r>
          </w:p>
        </w:tc>
        <w:tc>
          <w:tcPr>
            <w:tcW w:w="0" w:type="auto"/>
          </w:tcPr>
          <w:p w14:paraId="6F673834"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C</w:t>
            </w:r>
            <w:r>
              <w:rPr>
                <w:rFonts w:asciiTheme="majorBidi" w:hAnsiTheme="majorBidi" w:cstheme="majorBidi"/>
                <w:color w:val="000000" w:themeColor="text1"/>
                <w:sz w:val="20"/>
                <w:szCs w:val="20"/>
              </w:rPr>
              <w:t>hen, T., Zheng, Y., Lei, M., Huang, Z., Wu, H., Chen, H., Fan, K., Yu, K., Wu, X., Tian, Q., 2005. Assessment of heavy metal pollution in surface soils of urban parks in Beijing, China. Chemosphere 60(4): 542-551.</w:t>
            </w:r>
          </w:p>
        </w:tc>
      </w:tr>
      <w:tr w:rsidR="00043F49" w14:paraId="35F1D0FB" w14:textId="77777777">
        <w:tc>
          <w:tcPr>
            <w:tcW w:w="0" w:type="auto"/>
          </w:tcPr>
          <w:p w14:paraId="785D4CE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1</w:t>
            </w:r>
          </w:p>
        </w:tc>
        <w:tc>
          <w:tcPr>
            <w:tcW w:w="0" w:type="auto"/>
          </w:tcPr>
          <w:p w14:paraId="2E5CB75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Xiong, Q., Xiao, H., Cheng, P., Zhao, W., 2021. A pollution distribution of topsoil heavy metals in Beijing and its atmospheric deposition contribution. Ecology and Environmental Sciences 30(4): 816-824. (In Chinese)</w:t>
            </w:r>
          </w:p>
        </w:tc>
      </w:tr>
      <w:tr w:rsidR="00043F49" w14:paraId="1AD8A502" w14:textId="77777777">
        <w:tc>
          <w:tcPr>
            <w:tcW w:w="0" w:type="auto"/>
          </w:tcPr>
          <w:p w14:paraId="18EB0141"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2</w:t>
            </w:r>
          </w:p>
        </w:tc>
        <w:tc>
          <w:tcPr>
            <w:tcW w:w="0" w:type="auto"/>
          </w:tcPr>
          <w:p w14:paraId="0A9BECD0"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A</w:t>
            </w:r>
            <w:r>
              <w:rPr>
                <w:rFonts w:asciiTheme="majorBidi" w:hAnsiTheme="majorBidi" w:cstheme="majorBidi"/>
                <w:color w:val="000000" w:themeColor="text1"/>
                <w:sz w:val="20"/>
                <w:szCs w:val="20"/>
              </w:rPr>
              <w:t xml:space="preserve">n, Y., Huang, Y., Sun, Z., Deng, K., Li, D., Huang, D., 2018. Chemical speciation and bioavailability of five heavy metals in soil of </w:t>
            </w:r>
            <w:r>
              <w:rPr>
                <w:rFonts w:asciiTheme="majorBidi" w:hAnsiTheme="majorBidi" w:cstheme="majorBidi" w:hint="eastAsia"/>
                <w:color w:val="000000" w:themeColor="text1"/>
                <w:sz w:val="20"/>
                <w:szCs w:val="20"/>
              </w:rPr>
              <w:t>Beijing plain area in two years. Geological Bulletin of China</w:t>
            </w:r>
            <w:r>
              <w:rPr>
                <w:rFonts w:asciiTheme="majorBidi" w:hAnsiTheme="majorBidi" w:cstheme="majorBidi"/>
                <w:color w:val="000000" w:themeColor="text1"/>
                <w:sz w:val="20"/>
                <w:szCs w:val="20"/>
              </w:rPr>
              <w:t xml:space="preserve"> 3</w:t>
            </w:r>
            <w:r>
              <w:rPr>
                <w:rFonts w:asciiTheme="majorBidi" w:hAnsiTheme="majorBidi" w:cstheme="majorBidi" w:hint="eastAsia"/>
                <w:color w:val="000000" w:themeColor="text1"/>
                <w:sz w:val="20"/>
                <w:szCs w:val="20"/>
              </w:rPr>
              <w:t>7(6</w:t>
            </w:r>
            <w:r>
              <w:rPr>
                <w:rFonts w:asciiTheme="majorBidi" w:hAnsiTheme="majorBidi" w:cstheme="majorBidi"/>
                <w:color w:val="000000" w:themeColor="text1"/>
                <w:sz w:val="20"/>
                <w:szCs w:val="20"/>
              </w:rPr>
              <w:t>)</w:t>
            </w:r>
            <w:r>
              <w:rPr>
                <w:rFonts w:asciiTheme="majorBidi" w:hAnsiTheme="majorBidi" w:cstheme="majorBidi" w:hint="eastAsia"/>
                <w:color w:val="000000" w:themeColor="text1"/>
                <w:sz w:val="20"/>
                <w:szCs w:val="20"/>
              </w:rPr>
              <w:t>:1142-1149</w:t>
            </w:r>
            <w:r>
              <w:rPr>
                <w:rFonts w:asciiTheme="majorBidi" w:hAnsiTheme="majorBidi" w:cstheme="majorBidi"/>
                <w:color w:val="000000" w:themeColor="text1"/>
                <w:sz w:val="20"/>
                <w:szCs w:val="20"/>
              </w:rPr>
              <w:t>. (In Chinese)</w:t>
            </w:r>
          </w:p>
        </w:tc>
      </w:tr>
      <w:tr w:rsidR="00043F49" w14:paraId="0D6BBDC4" w14:textId="77777777">
        <w:tc>
          <w:tcPr>
            <w:tcW w:w="0" w:type="auto"/>
          </w:tcPr>
          <w:p w14:paraId="043EEF1C"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3</w:t>
            </w:r>
          </w:p>
        </w:tc>
        <w:tc>
          <w:tcPr>
            <w:tcW w:w="0" w:type="auto"/>
          </w:tcPr>
          <w:p w14:paraId="7D67AD2E"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ang, X., Liu, H., Ge., C., Nie, C., Kong, C., Zhang, S., 2019. Spatial distribution characteristics and health risk assessment of soil cadmium in Beijing Plain. Jiangsu Agricultural Sciences 47(20): 260-266. (In Chinese)</w:t>
            </w:r>
          </w:p>
        </w:tc>
      </w:tr>
      <w:tr w:rsidR="00043F49" w14:paraId="2D328AA8" w14:textId="77777777">
        <w:tc>
          <w:tcPr>
            <w:tcW w:w="0" w:type="auto"/>
          </w:tcPr>
          <w:p w14:paraId="795BCC0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2</w:t>
            </w:r>
            <w:r>
              <w:rPr>
                <w:rFonts w:asciiTheme="majorBidi" w:hAnsiTheme="majorBidi" w:cstheme="majorBidi"/>
                <w:color w:val="000000" w:themeColor="text1"/>
                <w:sz w:val="20"/>
                <w:szCs w:val="20"/>
              </w:rPr>
              <w:t>4</w:t>
            </w:r>
          </w:p>
        </w:tc>
        <w:tc>
          <w:tcPr>
            <w:tcW w:w="0" w:type="auto"/>
          </w:tcPr>
          <w:p w14:paraId="51AE77B0"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J., Li, S., Sun, X., Hu, N., Yang, S., Lin, M., Fu, Z., Cui, M., 2019. Characteristics of distribution of soil heavy metals in Wuhuan, Chaoyang Distric, Beijing. Research of Soil and Water Conservation 26(3): 311-317. (In Chinese)</w:t>
            </w:r>
          </w:p>
        </w:tc>
      </w:tr>
      <w:tr w:rsidR="00043F49" w14:paraId="7A7576B1" w14:textId="77777777">
        <w:tc>
          <w:tcPr>
            <w:tcW w:w="0" w:type="auto"/>
          </w:tcPr>
          <w:p w14:paraId="06FE2235"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5</w:t>
            </w:r>
          </w:p>
        </w:tc>
        <w:tc>
          <w:tcPr>
            <w:tcW w:w="0" w:type="auto"/>
          </w:tcPr>
          <w:p w14:paraId="5E72F031"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Yu</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Q</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Li</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Q</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Li</w:t>
            </w:r>
            <w:r>
              <w:rPr>
                <w:rFonts w:asciiTheme="majorBidi" w:hAnsiTheme="majorBidi" w:cstheme="majorBidi"/>
                <w:color w:val="000000" w:themeColor="text1"/>
                <w:sz w:val="20"/>
                <w:szCs w:val="20"/>
              </w:rPr>
              <w:t>,</w:t>
            </w:r>
            <w:r>
              <w:rPr>
                <w:rFonts w:asciiTheme="majorBidi" w:hAnsiTheme="majorBidi" w:cstheme="majorBidi" w:hint="eastAsia"/>
                <w:color w:val="000000" w:themeColor="text1"/>
                <w:sz w:val="20"/>
                <w:szCs w:val="20"/>
              </w:rPr>
              <w:t xml:space="preserve"> B</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Heavy metal pollution characteristics and risk assessment of typical organic facility vegetable bases in Beijing</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Asian Journal of Ecotoxicology 14(3): 258-271 (</w:t>
            </w:r>
            <w:r>
              <w:rPr>
                <w:rFonts w:asciiTheme="majorBidi" w:hAnsiTheme="majorBidi" w:cstheme="majorBidi"/>
                <w:color w:val="000000" w:themeColor="text1"/>
                <w:sz w:val="20"/>
                <w:szCs w:val="20"/>
              </w:rPr>
              <w:t>I</w:t>
            </w:r>
            <w:r>
              <w:rPr>
                <w:rFonts w:asciiTheme="majorBidi" w:hAnsiTheme="majorBidi" w:cstheme="majorBidi" w:hint="eastAsia"/>
                <w:color w:val="000000" w:themeColor="text1"/>
                <w:sz w:val="20"/>
                <w:szCs w:val="20"/>
              </w:rPr>
              <w:t>n Chinese)</w:t>
            </w:r>
          </w:p>
        </w:tc>
      </w:tr>
      <w:tr w:rsidR="00043F49" w14:paraId="37B32CA7" w14:textId="77777777">
        <w:tc>
          <w:tcPr>
            <w:tcW w:w="0" w:type="auto"/>
          </w:tcPr>
          <w:p w14:paraId="07575DE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6</w:t>
            </w:r>
          </w:p>
        </w:tc>
        <w:tc>
          <w:tcPr>
            <w:tcW w:w="0" w:type="auto"/>
          </w:tcPr>
          <w:p w14:paraId="3DBA85FE"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Cui, M., Sun, X., Li, S., Lin, M., Gong, X., Li, S., Yu, K., 2019. Spatial structure characteristics and origins of soil heavy metals in the main producing area for peach in Beijing. Journal of Fujian Agriculture and Forestry University (Natural Science Edition) 48(2): 238-243.</w:t>
            </w:r>
          </w:p>
        </w:tc>
      </w:tr>
      <w:tr w:rsidR="00043F49" w14:paraId="0B3A9409" w14:textId="77777777">
        <w:tc>
          <w:tcPr>
            <w:tcW w:w="0" w:type="auto"/>
          </w:tcPr>
          <w:p w14:paraId="6FC4D22A"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7</w:t>
            </w:r>
          </w:p>
        </w:tc>
        <w:tc>
          <w:tcPr>
            <w:tcW w:w="0" w:type="auto"/>
          </w:tcPr>
          <w:p w14:paraId="6CBF8ABE"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ang, S., Sun, X., Zhang, J., Fu, Z., Li, J., 2018. Speciation and bioavailability of four heavy metals in greenbelt soil within 5th ring road of Beijing city. Bulletin of Soil and Water Conservation 38(3): 79-85. (In Chinese)</w:t>
            </w:r>
          </w:p>
        </w:tc>
      </w:tr>
      <w:tr w:rsidR="00043F49" w14:paraId="320DEA29" w14:textId="77777777">
        <w:tc>
          <w:tcPr>
            <w:tcW w:w="0" w:type="auto"/>
          </w:tcPr>
          <w:p w14:paraId="614DDE3B"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8</w:t>
            </w:r>
          </w:p>
        </w:tc>
        <w:tc>
          <w:tcPr>
            <w:tcW w:w="0" w:type="auto"/>
          </w:tcPr>
          <w:p w14:paraId="035369C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L., 2020. Heavy metal(loid)s pollution in surface soil of Beijing urban park and their risk assessment. Anhui University. (In Chinese)</w:t>
            </w:r>
          </w:p>
        </w:tc>
      </w:tr>
      <w:tr w:rsidR="00043F49" w14:paraId="63DDFD49" w14:textId="77777777">
        <w:tc>
          <w:tcPr>
            <w:tcW w:w="0" w:type="auto"/>
          </w:tcPr>
          <w:p w14:paraId="5ADCEBD4"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9</w:t>
            </w:r>
          </w:p>
        </w:tc>
        <w:tc>
          <w:tcPr>
            <w:tcW w:w="0" w:type="auto"/>
          </w:tcPr>
          <w:p w14:paraId="6850190D"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u, H., 2019. Geochemical characteristics of heavy metals in topsoil of Shunyi District in Beijing. China University of Geosciences (Beijing). (In Chinese)</w:t>
            </w:r>
          </w:p>
        </w:tc>
      </w:tr>
      <w:tr w:rsidR="00043F49" w14:paraId="0FB70E71" w14:textId="77777777">
        <w:tc>
          <w:tcPr>
            <w:tcW w:w="0" w:type="auto"/>
          </w:tcPr>
          <w:p w14:paraId="564AB322"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0</w:t>
            </w:r>
          </w:p>
        </w:tc>
        <w:tc>
          <w:tcPr>
            <w:tcW w:w="0" w:type="auto"/>
          </w:tcPr>
          <w:p w14:paraId="0AC7027C"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Zhang, B., Distribution characteristics and evaluation of heavy metals in soils of Fangshan District, Beijing. China University of Geosciences (Beijing)</w:t>
            </w:r>
            <w:r>
              <w:rPr>
                <w:rFonts w:asciiTheme="majorBidi" w:hAnsiTheme="majorBidi" w:cstheme="majorBidi" w:hint="eastAsia"/>
                <w:color w:val="000000" w:themeColor="text1"/>
                <w:sz w:val="20"/>
                <w:szCs w:val="20"/>
              </w:rPr>
              <w:t>.</w:t>
            </w:r>
            <w:r>
              <w:rPr>
                <w:rFonts w:asciiTheme="majorBidi" w:hAnsiTheme="majorBidi" w:cstheme="majorBidi"/>
                <w:color w:val="000000" w:themeColor="text1"/>
                <w:sz w:val="20"/>
                <w:szCs w:val="20"/>
              </w:rPr>
              <w:t xml:space="preserve"> (In Chinese)</w:t>
            </w:r>
          </w:p>
        </w:tc>
      </w:tr>
    </w:tbl>
    <w:p w14:paraId="7CB1ABC9" w14:textId="77777777" w:rsidR="00043F49" w:rsidRDefault="00043F49">
      <w:pPr>
        <w:spacing w:line="360" w:lineRule="auto"/>
        <w:jc w:val="left"/>
        <w:rPr>
          <w:rFonts w:asciiTheme="majorBidi" w:hAnsiTheme="majorBidi" w:cstheme="majorBidi"/>
          <w:color w:val="FF0000"/>
          <w:sz w:val="24"/>
          <w:szCs w:val="28"/>
        </w:rPr>
      </w:pPr>
    </w:p>
    <w:p w14:paraId="47183AB3" w14:textId="77777777" w:rsidR="00043F49" w:rsidRDefault="00043F49">
      <w:pPr>
        <w:spacing w:line="360" w:lineRule="auto"/>
        <w:jc w:val="left"/>
        <w:rPr>
          <w:rFonts w:asciiTheme="majorBidi" w:hAnsiTheme="majorBidi" w:cstheme="majorBidi"/>
          <w:color w:val="FF0000"/>
          <w:sz w:val="24"/>
          <w:szCs w:val="28"/>
        </w:rPr>
        <w:sectPr w:rsidR="00043F49">
          <w:type w:val="continuous"/>
          <w:pgSz w:w="16838" w:h="11906" w:orient="landscape"/>
          <w:pgMar w:top="1800" w:right="1440" w:bottom="1800" w:left="1440" w:header="851" w:footer="992" w:gutter="0"/>
          <w:lnNumType w:countBy="1" w:restart="continuous"/>
          <w:cols w:space="425"/>
          <w:docGrid w:type="lines" w:linePitch="312"/>
        </w:sectPr>
      </w:pPr>
    </w:p>
    <w:p w14:paraId="0790C876" w14:textId="77777777" w:rsidR="00043F49" w:rsidRDefault="00043F49">
      <w:pPr>
        <w:pStyle w:val="1"/>
        <w:spacing w:before="0" w:after="0" w:line="360" w:lineRule="auto"/>
        <w:jc w:val="center"/>
        <w:rPr>
          <w:rFonts w:ascii="Times New Roman" w:hAnsi="Times New Roman" w:cs="Times New Roman"/>
          <w:sz w:val="20"/>
          <w:szCs w:val="20"/>
        </w:rPr>
        <w:sectPr w:rsidR="00043F49">
          <w:type w:val="continuous"/>
          <w:pgSz w:w="16838" w:h="11906" w:orient="landscape"/>
          <w:pgMar w:top="1800" w:right="1440" w:bottom="1800" w:left="1440" w:header="851" w:footer="992" w:gutter="0"/>
          <w:lnNumType w:countBy="1" w:restart="continuous"/>
          <w:cols w:space="425"/>
          <w:docGrid w:type="lines" w:linePitch="312"/>
        </w:sectPr>
      </w:pPr>
    </w:p>
    <w:p w14:paraId="58670BC4" w14:textId="77777777" w:rsidR="00043F49" w:rsidRDefault="00000000">
      <w:pPr>
        <w:pStyle w:val="1"/>
        <w:spacing w:before="0" w:after="0" w:line="360" w:lineRule="auto"/>
        <w:jc w:val="center"/>
        <w:rPr>
          <w:rFonts w:ascii="Times New Roman" w:hAnsi="Times New Roman" w:cs="Times New Roman"/>
          <w:sz w:val="20"/>
          <w:szCs w:val="20"/>
        </w:rPr>
      </w:pPr>
      <w:r>
        <w:rPr>
          <w:rFonts w:ascii="Times New Roman" w:hAnsi="Times New Roman" w:cs="Times New Roman" w:hint="eastAsia"/>
          <w:sz w:val="20"/>
          <w:szCs w:val="20"/>
        </w:rPr>
        <w:lastRenderedPageBreak/>
        <w:t>Table</w:t>
      </w:r>
      <w:r>
        <w:rPr>
          <w:rFonts w:ascii="Times New Roman" w:hAnsi="Times New Roman" w:cs="Times New Roman"/>
          <w:sz w:val="20"/>
          <w:szCs w:val="20"/>
        </w:rPr>
        <w:t xml:space="preserve"> S2</w:t>
      </w:r>
      <w:r>
        <w:rPr>
          <w:rFonts w:ascii="Times New Roman" w:hAnsi="Times New Roman" w:cs="Times New Roman"/>
          <w:b w:val="0"/>
          <w:bCs w:val="0"/>
          <w:sz w:val="20"/>
          <w:szCs w:val="20"/>
        </w:rPr>
        <w:t xml:space="preserve"> T</w:t>
      </w:r>
      <w:r>
        <w:rPr>
          <w:rFonts w:ascii="Times New Roman" w:hAnsi="Times New Roman" w:cs="Times New Roman" w:hint="eastAsia"/>
          <w:b w:val="0"/>
          <w:bCs w:val="0"/>
          <w:sz w:val="20"/>
          <w:szCs w:val="20"/>
        </w:rPr>
        <w:t>he</w:t>
      </w:r>
      <w:r>
        <w:rPr>
          <w:rFonts w:ascii="Times New Roman" w:hAnsi="Times New Roman" w:cs="Times New Roman"/>
          <w:b w:val="0"/>
          <w:bCs w:val="0"/>
          <w:sz w:val="20"/>
          <w:szCs w:val="20"/>
        </w:rPr>
        <w:t xml:space="preserve"> extracted references </w:t>
      </w:r>
      <w:r>
        <w:rPr>
          <w:rFonts w:ascii="Times New Roman" w:hAnsi="Times New Roman" w:cs="Times New Roman" w:hint="eastAsia"/>
          <w:b w:val="0"/>
          <w:bCs w:val="0"/>
          <w:sz w:val="20"/>
          <w:szCs w:val="20"/>
        </w:rPr>
        <w:t>of</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heavy</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metals</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in</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dust</w:t>
      </w:r>
    </w:p>
    <w:tbl>
      <w:tblPr>
        <w:tblStyle w:val="a7"/>
        <w:tblW w:w="0" w:type="auto"/>
        <w:tblLook w:val="04A0" w:firstRow="1" w:lastRow="0" w:firstColumn="1" w:lastColumn="0" w:noHBand="0" w:noVBand="1"/>
      </w:tblPr>
      <w:tblGrid>
        <w:gridCol w:w="555"/>
        <w:gridCol w:w="13393"/>
      </w:tblGrid>
      <w:tr w:rsidR="00043F49" w14:paraId="7577232B" w14:textId="77777777">
        <w:tc>
          <w:tcPr>
            <w:tcW w:w="0" w:type="auto"/>
          </w:tcPr>
          <w:p w14:paraId="043B413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N</w:t>
            </w:r>
            <w:r>
              <w:rPr>
                <w:rFonts w:asciiTheme="majorBidi" w:hAnsiTheme="majorBidi" w:cstheme="majorBidi"/>
                <w:color w:val="000000" w:themeColor="text1"/>
                <w:sz w:val="20"/>
                <w:szCs w:val="20"/>
              </w:rPr>
              <w:t>O.</w:t>
            </w:r>
          </w:p>
        </w:tc>
        <w:tc>
          <w:tcPr>
            <w:tcW w:w="0" w:type="auto"/>
          </w:tcPr>
          <w:p w14:paraId="70407FE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References</w:t>
            </w:r>
          </w:p>
        </w:tc>
      </w:tr>
      <w:tr w:rsidR="00043F49" w14:paraId="16D6179D" w14:textId="77777777">
        <w:tc>
          <w:tcPr>
            <w:tcW w:w="0" w:type="auto"/>
          </w:tcPr>
          <w:p w14:paraId="768D24A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p>
        </w:tc>
        <w:tc>
          <w:tcPr>
            <w:tcW w:w="0" w:type="auto"/>
          </w:tcPr>
          <w:p w14:paraId="1FC2FFA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an, L., Gao, B., Wei, X., Xu, D., Gao, L., 2016. Spatial distribution, health risk assessment, and isotopic composition of lead contamination of street dusts in different functional areas of Beijing, China.  Environmental Science and Pollution Research 23: 3247-3255.</w:t>
            </w:r>
          </w:p>
        </w:tc>
      </w:tr>
      <w:tr w:rsidR="00043F49" w14:paraId="4DFE3928" w14:textId="77777777">
        <w:tc>
          <w:tcPr>
            <w:tcW w:w="0" w:type="auto"/>
          </w:tcPr>
          <w:p w14:paraId="2E549E21"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p>
        </w:tc>
        <w:tc>
          <w:tcPr>
            <w:tcW w:w="0" w:type="auto"/>
          </w:tcPr>
          <w:p w14:paraId="7F432563"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X</w:t>
            </w:r>
            <w:r>
              <w:rPr>
                <w:rFonts w:asciiTheme="majorBidi" w:hAnsiTheme="majorBidi" w:cstheme="majorBidi"/>
                <w:color w:val="000000" w:themeColor="text1"/>
                <w:sz w:val="20"/>
                <w:szCs w:val="20"/>
              </w:rPr>
              <w:t>iong, Q., Zhao, W., Zhao, J., Zhao, W., Jiang, L., 2017. Concentration Levels, Pollution Characteristics and Potential Ecological Risk of Dust Heavy Metals in the Metropolitan Area of Beijing, China. International Journal of Environmental Research and Public Health 14: 1159.</w:t>
            </w:r>
          </w:p>
        </w:tc>
      </w:tr>
      <w:tr w:rsidR="00043F49" w14:paraId="4770A186" w14:textId="77777777">
        <w:tc>
          <w:tcPr>
            <w:tcW w:w="0" w:type="auto"/>
          </w:tcPr>
          <w:p w14:paraId="2CE3867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p>
        </w:tc>
        <w:tc>
          <w:tcPr>
            <w:tcW w:w="0" w:type="auto"/>
          </w:tcPr>
          <w:p w14:paraId="2FAAD31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M</w:t>
            </w:r>
            <w:r>
              <w:rPr>
                <w:rFonts w:asciiTheme="majorBidi" w:hAnsiTheme="majorBidi" w:cstheme="majorBidi"/>
                <w:color w:val="000000" w:themeColor="text1"/>
                <w:sz w:val="20"/>
                <w:szCs w:val="20"/>
              </w:rPr>
              <w:t>en, C., Liu, R., Wang, Q., Miao, Y., Wang, Y., Jiao, L., Li, L., Cao, L., Shen, Z., Li, Y., Crawford-Brown, D., 2021. Spatial-temporal characteristics, source-specific variation and uncertainty analysis of health risks associated with heavy metals in road dust in Beijing, China. Environmental Pollution 278: 116866.</w:t>
            </w:r>
          </w:p>
        </w:tc>
      </w:tr>
      <w:tr w:rsidR="00043F49" w14:paraId="38A98E90" w14:textId="77777777">
        <w:tc>
          <w:tcPr>
            <w:tcW w:w="0" w:type="auto"/>
          </w:tcPr>
          <w:p w14:paraId="46F163CD"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p>
        </w:tc>
        <w:tc>
          <w:tcPr>
            <w:tcW w:w="0" w:type="auto"/>
          </w:tcPr>
          <w:p w14:paraId="358E8C4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T</w:t>
            </w:r>
            <w:r>
              <w:rPr>
                <w:rFonts w:asciiTheme="majorBidi" w:hAnsiTheme="majorBidi" w:cstheme="majorBidi"/>
                <w:color w:val="000000" w:themeColor="text1"/>
                <w:sz w:val="20"/>
                <w:szCs w:val="20"/>
              </w:rPr>
              <w:t>ang, Y., Han, G., 2017. Characteristics of major elements and heavy metals in atmospheric dust in Beijing, China. Journal of Geochemical Exploration 176: 114-119.</w:t>
            </w:r>
          </w:p>
        </w:tc>
      </w:tr>
      <w:tr w:rsidR="00043F49" w14:paraId="0E133FC6" w14:textId="77777777">
        <w:tc>
          <w:tcPr>
            <w:tcW w:w="0" w:type="auto"/>
          </w:tcPr>
          <w:p w14:paraId="5BCEF85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p>
        </w:tc>
        <w:tc>
          <w:tcPr>
            <w:tcW w:w="0" w:type="auto"/>
          </w:tcPr>
          <w:p w14:paraId="2E18F246"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J</w:t>
            </w:r>
            <w:r>
              <w:rPr>
                <w:rFonts w:asciiTheme="majorBidi" w:hAnsiTheme="majorBidi" w:cstheme="majorBidi"/>
                <w:color w:val="000000" w:themeColor="text1"/>
                <w:sz w:val="20"/>
                <w:szCs w:val="20"/>
              </w:rPr>
              <w:t>in, Y., O'Connor, D., Ok, Y., Tsang, D., Liu, A., Hou, D., 2019. Assessment of sources of heavy metals in soil and dust at children's playgrounds in Beijing using GIS and multivariate statistical analysis. Environment International 124: 320-328.</w:t>
            </w:r>
          </w:p>
        </w:tc>
      </w:tr>
      <w:tr w:rsidR="00043F49" w14:paraId="6D7425E4" w14:textId="77777777">
        <w:tc>
          <w:tcPr>
            <w:tcW w:w="0" w:type="auto"/>
          </w:tcPr>
          <w:p w14:paraId="1382485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6</w:t>
            </w:r>
          </w:p>
        </w:tc>
        <w:tc>
          <w:tcPr>
            <w:tcW w:w="0" w:type="auto"/>
          </w:tcPr>
          <w:p w14:paraId="081D773D"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S</w:t>
            </w:r>
            <w:r>
              <w:rPr>
                <w:rFonts w:asciiTheme="majorBidi" w:hAnsiTheme="majorBidi" w:cstheme="majorBidi"/>
                <w:color w:val="000000" w:themeColor="text1"/>
                <w:sz w:val="20"/>
                <w:szCs w:val="20"/>
              </w:rPr>
              <w:t>hen, Z., Sun, J., Cao, J., Zhang, L., Zhang, Q., Lei, Y., Gao, J., Huang, R., Liu, S., Huang, Y., Zhu, C., Xu, H., Zheng, C., Liu, P., Xue, Z., 2016. Chemical profiles of urban fugitive dust PM2.5 samples in Northern Chinese cities. Science of the Total Environment 569-570: 619-626.</w:t>
            </w:r>
          </w:p>
        </w:tc>
      </w:tr>
      <w:tr w:rsidR="00043F49" w14:paraId="77F954C3" w14:textId="77777777">
        <w:tc>
          <w:tcPr>
            <w:tcW w:w="0" w:type="auto"/>
          </w:tcPr>
          <w:p w14:paraId="1BDE87A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7</w:t>
            </w:r>
          </w:p>
        </w:tc>
        <w:tc>
          <w:tcPr>
            <w:tcW w:w="0" w:type="auto"/>
          </w:tcPr>
          <w:p w14:paraId="4306D3D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R., Cai, G., Wang, J., Ouyang W., Cheng, H., Lin, C., 2014. Contents and chemical forms of heavy metals in school and roadside topsoils and road-surface dust of Beijing. Journal of Soils Sediments 14: 1806-1817.</w:t>
            </w:r>
          </w:p>
        </w:tc>
      </w:tr>
      <w:tr w:rsidR="00043F49" w14:paraId="5474E919" w14:textId="77777777">
        <w:tc>
          <w:tcPr>
            <w:tcW w:w="0" w:type="auto"/>
          </w:tcPr>
          <w:p w14:paraId="3335BA7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8</w:t>
            </w:r>
          </w:p>
        </w:tc>
        <w:tc>
          <w:tcPr>
            <w:tcW w:w="0" w:type="auto"/>
          </w:tcPr>
          <w:p w14:paraId="2F40652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ei, X., Gao, B., Wang, P., Zhou, H., Lu, J., 2015. Pollution characteristics and health risk assessment of heavy metals in street dusts from different functional areas in Beijing, China. Ecotoxicology and Environmental Safety 112: 186-192.</w:t>
            </w:r>
          </w:p>
        </w:tc>
      </w:tr>
      <w:tr w:rsidR="00043F49" w14:paraId="6E7600BC" w14:textId="77777777">
        <w:tc>
          <w:tcPr>
            <w:tcW w:w="0" w:type="auto"/>
          </w:tcPr>
          <w:p w14:paraId="241F47D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9</w:t>
            </w:r>
          </w:p>
        </w:tc>
        <w:tc>
          <w:tcPr>
            <w:tcW w:w="0" w:type="auto"/>
          </w:tcPr>
          <w:p w14:paraId="5F12C75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T</w:t>
            </w:r>
            <w:r>
              <w:rPr>
                <w:rFonts w:asciiTheme="majorBidi" w:hAnsiTheme="majorBidi" w:cstheme="majorBidi"/>
                <w:color w:val="000000" w:themeColor="text1"/>
                <w:sz w:val="20"/>
                <w:szCs w:val="20"/>
              </w:rPr>
              <w:t>ang, R., Ma, K., Zhang, Y., Mao, Q., 2013. The spatial characteristics and pollution levels of metals in urban street dust of Beijing, China. Applied Geochemistry 35: 88-98.</w:t>
            </w:r>
          </w:p>
        </w:tc>
      </w:tr>
      <w:tr w:rsidR="00043F49" w14:paraId="16E41824" w14:textId="77777777">
        <w:tc>
          <w:tcPr>
            <w:tcW w:w="0" w:type="auto"/>
          </w:tcPr>
          <w:p w14:paraId="40072BF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0</w:t>
            </w:r>
          </w:p>
        </w:tc>
        <w:tc>
          <w:tcPr>
            <w:tcW w:w="0" w:type="auto"/>
          </w:tcPr>
          <w:p w14:paraId="6E2EDD13"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D</w:t>
            </w:r>
            <w:r>
              <w:rPr>
                <w:rFonts w:asciiTheme="majorBidi" w:hAnsiTheme="majorBidi" w:cstheme="majorBidi"/>
                <w:color w:val="000000" w:themeColor="text1"/>
                <w:sz w:val="20"/>
                <w:szCs w:val="20"/>
              </w:rPr>
              <w:t>u, Y., Gao, B., Zhou, H., Ju, X., Hao, H., Yin, S., 2013. Health risk assessment of heavy metals in road dusts in urban parks of Beijing, China. Procedia Environmental Sciences 18: 299-309.</w:t>
            </w:r>
          </w:p>
        </w:tc>
      </w:tr>
      <w:tr w:rsidR="00043F49" w14:paraId="096F26F2" w14:textId="77777777">
        <w:tc>
          <w:tcPr>
            <w:tcW w:w="0" w:type="auto"/>
          </w:tcPr>
          <w:p w14:paraId="477EE8D5"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1</w:t>
            </w:r>
          </w:p>
        </w:tc>
        <w:tc>
          <w:tcPr>
            <w:tcW w:w="0" w:type="auto"/>
          </w:tcPr>
          <w:p w14:paraId="6AB6FF5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M</w:t>
            </w:r>
            <w:r>
              <w:rPr>
                <w:rFonts w:asciiTheme="majorBidi" w:hAnsiTheme="majorBidi" w:cstheme="majorBidi"/>
                <w:color w:val="000000" w:themeColor="text1"/>
                <w:sz w:val="20"/>
                <w:szCs w:val="20"/>
              </w:rPr>
              <w:t xml:space="preserve">en, C., Liu, R., Xu, F., Wang, Q., Guo, L., Shen, Z., 2018. Pollution characteristics, risk assessment, and source apportionment of heavy metals in road dust in </w:t>
            </w:r>
            <w:r>
              <w:rPr>
                <w:rFonts w:asciiTheme="majorBidi" w:hAnsiTheme="majorBidi" w:cstheme="majorBidi"/>
                <w:color w:val="000000" w:themeColor="text1"/>
                <w:sz w:val="20"/>
                <w:szCs w:val="20"/>
              </w:rPr>
              <w:lastRenderedPageBreak/>
              <w:t>Beijing, China. Science of the Total Environment 612: 138–147.</w:t>
            </w:r>
          </w:p>
        </w:tc>
      </w:tr>
      <w:tr w:rsidR="00043F49" w14:paraId="1EDBFE28" w14:textId="77777777">
        <w:tc>
          <w:tcPr>
            <w:tcW w:w="0" w:type="auto"/>
          </w:tcPr>
          <w:p w14:paraId="0835C01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1</w:t>
            </w:r>
            <w:r>
              <w:rPr>
                <w:rFonts w:asciiTheme="majorBidi" w:hAnsiTheme="majorBidi" w:cstheme="majorBidi"/>
                <w:color w:val="000000" w:themeColor="text1"/>
                <w:sz w:val="20"/>
                <w:szCs w:val="20"/>
              </w:rPr>
              <w:t>2</w:t>
            </w:r>
          </w:p>
        </w:tc>
        <w:tc>
          <w:tcPr>
            <w:tcW w:w="0" w:type="auto"/>
          </w:tcPr>
          <w:p w14:paraId="1116482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X</w:t>
            </w:r>
            <w:r>
              <w:rPr>
                <w:rFonts w:asciiTheme="majorBidi" w:hAnsiTheme="majorBidi" w:cstheme="majorBidi"/>
                <w:color w:val="000000" w:themeColor="text1"/>
                <w:sz w:val="20"/>
                <w:szCs w:val="20"/>
              </w:rPr>
              <w:t>iong, Q., Zhao, W., Li, D., Zhou, T., 2018. Enrichment levels and comprehensive pollution assessment of dust heavy metals in winter in Beijing. Environmental Science 39(9): 4051-4059. (In Chinese)</w:t>
            </w:r>
          </w:p>
        </w:tc>
      </w:tr>
      <w:tr w:rsidR="00043F49" w14:paraId="6DB49439" w14:textId="77777777">
        <w:tc>
          <w:tcPr>
            <w:tcW w:w="0" w:type="auto"/>
          </w:tcPr>
          <w:p w14:paraId="78B1F82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3</w:t>
            </w:r>
          </w:p>
        </w:tc>
        <w:tc>
          <w:tcPr>
            <w:tcW w:w="0" w:type="auto"/>
          </w:tcPr>
          <w:p w14:paraId="5E89F62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H., Wang, Y., Zhang, X., Yan, L., Wu, L., Jin, Y., Cui, R., Yang, Z., 2019. Pollution load and health risk assessment of heavy metals in road-deposited sediment in the urban-rural fringe of Beijing. Earth Science Frontiers (China University of Geosciences (Beijing); Peking University) 26(6): 199-206. (In Chinese)</w:t>
            </w:r>
          </w:p>
        </w:tc>
      </w:tr>
      <w:tr w:rsidR="00043F49" w14:paraId="706E4C68" w14:textId="77777777">
        <w:tc>
          <w:tcPr>
            <w:tcW w:w="0" w:type="auto"/>
          </w:tcPr>
          <w:p w14:paraId="43A7440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4</w:t>
            </w:r>
          </w:p>
        </w:tc>
        <w:tc>
          <w:tcPr>
            <w:tcW w:w="0" w:type="auto"/>
          </w:tcPr>
          <w:p w14:paraId="02EA4539"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an, Y., Li, P., Tao, J., Gu, W., 2016. Pollution characteristics and health risk assessment of heavy metals in road dusts of universities in Beijing. Environmental Pollution &amp; Control 38(1): 58-81. (In Chinese)</w:t>
            </w:r>
          </w:p>
        </w:tc>
      </w:tr>
      <w:tr w:rsidR="00043F49" w14:paraId="37596050" w14:textId="77777777">
        <w:tc>
          <w:tcPr>
            <w:tcW w:w="0" w:type="auto"/>
          </w:tcPr>
          <w:p w14:paraId="5276348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5</w:t>
            </w:r>
          </w:p>
        </w:tc>
        <w:tc>
          <w:tcPr>
            <w:tcW w:w="0" w:type="auto"/>
          </w:tcPr>
          <w:p w14:paraId="1BCA34D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T., 2021. Pollution characteristics</w:t>
            </w:r>
            <w:r>
              <w:rPr>
                <w:rFonts w:asciiTheme="majorBidi" w:hAnsiTheme="majorBidi" w:cstheme="majorBidi" w:hint="eastAsia"/>
                <w:color w:val="000000" w:themeColor="text1"/>
                <w:sz w:val="20"/>
                <w:szCs w:val="20"/>
              </w:rPr>
              <w:t>,</w:t>
            </w:r>
            <w:r>
              <w:rPr>
                <w:rFonts w:asciiTheme="majorBidi" w:hAnsiTheme="majorBidi" w:cstheme="majorBidi"/>
                <w:color w:val="000000" w:themeColor="text1"/>
                <w:sz w:val="20"/>
                <w:szCs w:val="20"/>
              </w:rPr>
              <w:t xml:space="preserve"> environmental and health risk assessment of heavy metals in street dust of Beijing urban areas. China University of Geosciences (Beijing). (In Chinese)</w:t>
            </w:r>
          </w:p>
        </w:tc>
      </w:tr>
      <w:tr w:rsidR="00043F49" w14:paraId="073C7468" w14:textId="77777777">
        <w:tc>
          <w:tcPr>
            <w:tcW w:w="0" w:type="auto"/>
          </w:tcPr>
          <w:p w14:paraId="7AD0B8D9"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6</w:t>
            </w:r>
          </w:p>
        </w:tc>
        <w:tc>
          <w:tcPr>
            <w:tcW w:w="0" w:type="auto"/>
          </w:tcPr>
          <w:p w14:paraId="34504A3A"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u, X., 2021. Temporal and spatial variation of geochemical characteristics of heavy metals in road dust in Beijing. China University of Geosciences (Beijing). (In Chinese)</w:t>
            </w:r>
          </w:p>
        </w:tc>
      </w:tr>
    </w:tbl>
    <w:p w14:paraId="354A6B62" w14:textId="77777777" w:rsidR="00043F49" w:rsidRDefault="00043F49">
      <w:pPr>
        <w:spacing w:line="360" w:lineRule="auto"/>
        <w:jc w:val="center"/>
        <w:rPr>
          <w:rFonts w:asciiTheme="majorBidi" w:hAnsiTheme="majorBidi" w:cstheme="majorBidi"/>
          <w:b/>
          <w:bCs/>
          <w:color w:val="000000" w:themeColor="text1"/>
          <w:sz w:val="24"/>
          <w:szCs w:val="28"/>
        </w:rPr>
      </w:pPr>
    </w:p>
    <w:p w14:paraId="030671E3" w14:textId="77777777" w:rsidR="00043F49" w:rsidRDefault="00043F49">
      <w:pPr>
        <w:spacing w:line="360" w:lineRule="auto"/>
        <w:jc w:val="center"/>
        <w:rPr>
          <w:rFonts w:asciiTheme="majorBidi" w:hAnsiTheme="majorBidi" w:cstheme="majorBidi"/>
          <w:b/>
          <w:bCs/>
          <w:color w:val="000000" w:themeColor="text1"/>
          <w:sz w:val="24"/>
          <w:szCs w:val="28"/>
        </w:rPr>
        <w:sectPr w:rsidR="00043F49">
          <w:pgSz w:w="16838" w:h="11906" w:orient="landscape"/>
          <w:pgMar w:top="1800" w:right="1440" w:bottom="1800" w:left="1440" w:header="851" w:footer="992" w:gutter="0"/>
          <w:lnNumType w:countBy="1" w:restart="continuous"/>
          <w:cols w:space="425"/>
          <w:docGrid w:type="lines" w:linePitch="312"/>
        </w:sectPr>
      </w:pPr>
    </w:p>
    <w:p w14:paraId="294BB86E" w14:textId="77777777" w:rsidR="00043F49" w:rsidRDefault="00043F49">
      <w:pPr>
        <w:pStyle w:val="1"/>
        <w:spacing w:before="0" w:after="0" w:line="360" w:lineRule="auto"/>
        <w:jc w:val="center"/>
        <w:rPr>
          <w:rFonts w:ascii="Times New Roman" w:hAnsi="Times New Roman" w:cs="Times New Roman"/>
          <w:sz w:val="20"/>
          <w:szCs w:val="20"/>
        </w:rPr>
        <w:sectPr w:rsidR="00043F49">
          <w:type w:val="continuous"/>
          <w:pgSz w:w="16838" w:h="11906" w:orient="landscape"/>
          <w:pgMar w:top="1800" w:right="1440" w:bottom="1800" w:left="1440" w:header="851" w:footer="992" w:gutter="0"/>
          <w:lnNumType w:countBy="1" w:restart="continuous"/>
          <w:cols w:space="425"/>
          <w:docGrid w:type="lines" w:linePitch="312"/>
        </w:sectPr>
      </w:pPr>
    </w:p>
    <w:p w14:paraId="58EF18D2" w14:textId="77777777" w:rsidR="00043F49" w:rsidRDefault="00000000">
      <w:pPr>
        <w:pStyle w:val="1"/>
        <w:spacing w:before="0" w:after="0" w:line="360" w:lineRule="auto"/>
        <w:jc w:val="center"/>
        <w:rPr>
          <w:rFonts w:ascii="Times New Roman" w:hAnsi="Times New Roman" w:cs="Times New Roman"/>
          <w:sz w:val="20"/>
          <w:szCs w:val="20"/>
        </w:rPr>
      </w:pPr>
      <w:r>
        <w:rPr>
          <w:rFonts w:ascii="Times New Roman" w:hAnsi="Times New Roman" w:cs="Times New Roman" w:hint="eastAsia"/>
          <w:sz w:val="20"/>
          <w:szCs w:val="20"/>
        </w:rPr>
        <w:lastRenderedPageBreak/>
        <w:t>Table</w:t>
      </w:r>
      <w:r>
        <w:rPr>
          <w:rFonts w:ascii="Times New Roman" w:hAnsi="Times New Roman" w:cs="Times New Roman"/>
          <w:sz w:val="20"/>
          <w:szCs w:val="20"/>
        </w:rPr>
        <w:t xml:space="preserve"> S3</w:t>
      </w:r>
      <w:r>
        <w:rPr>
          <w:rFonts w:ascii="Times New Roman" w:hAnsi="Times New Roman" w:cs="Times New Roman"/>
          <w:b w:val="0"/>
          <w:bCs w:val="0"/>
          <w:sz w:val="20"/>
          <w:szCs w:val="20"/>
        </w:rPr>
        <w:t xml:space="preserve"> T</w:t>
      </w:r>
      <w:r>
        <w:rPr>
          <w:rFonts w:ascii="Times New Roman" w:hAnsi="Times New Roman" w:cs="Times New Roman" w:hint="eastAsia"/>
          <w:b w:val="0"/>
          <w:bCs w:val="0"/>
          <w:sz w:val="20"/>
          <w:szCs w:val="20"/>
        </w:rPr>
        <w:t>he</w:t>
      </w:r>
      <w:r>
        <w:rPr>
          <w:rFonts w:ascii="Times New Roman" w:hAnsi="Times New Roman" w:cs="Times New Roman"/>
          <w:b w:val="0"/>
          <w:bCs w:val="0"/>
          <w:sz w:val="20"/>
          <w:szCs w:val="20"/>
        </w:rPr>
        <w:t xml:space="preserve"> extracted references </w:t>
      </w:r>
      <w:r>
        <w:rPr>
          <w:rFonts w:ascii="Times New Roman" w:hAnsi="Times New Roman" w:cs="Times New Roman" w:hint="eastAsia"/>
          <w:b w:val="0"/>
          <w:bCs w:val="0"/>
          <w:sz w:val="20"/>
          <w:szCs w:val="20"/>
        </w:rPr>
        <w:t>of</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heavy</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metals</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in</w:t>
      </w:r>
      <w:r>
        <w:rPr>
          <w:rFonts w:ascii="Times New Roman" w:hAnsi="Times New Roman" w:cs="Times New Roman"/>
          <w:b w:val="0"/>
          <w:bCs w:val="0"/>
          <w:sz w:val="20"/>
          <w:szCs w:val="20"/>
        </w:rPr>
        <w:t xml:space="preserve"> PM</w:t>
      </w:r>
      <w:r>
        <w:rPr>
          <w:rFonts w:ascii="Times New Roman" w:hAnsi="Times New Roman" w:cs="Times New Roman"/>
          <w:b w:val="0"/>
          <w:bCs w:val="0"/>
          <w:sz w:val="20"/>
          <w:szCs w:val="20"/>
          <w:vertAlign w:val="subscript"/>
        </w:rPr>
        <w:t>2.5</w:t>
      </w:r>
    </w:p>
    <w:tbl>
      <w:tblPr>
        <w:tblStyle w:val="a7"/>
        <w:tblW w:w="0" w:type="auto"/>
        <w:tblLook w:val="04A0" w:firstRow="1" w:lastRow="0" w:firstColumn="1" w:lastColumn="0" w:noHBand="0" w:noVBand="1"/>
      </w:tblPr>
      <w:tblGrid>
        <w:gridCol w:w="555"/>
        <w:gridCol w:w="13393"/>
      </w:tblGrid>
      <w:tr w:rsidR="00043F49" w14:paraId="6D918C43" w14:textId="77777777">
        <w:tc>
          <w:tcPr>
            <w:tcW w:w="0" w:type="auto"/>
          </w:tcPr>
          <w:p w14:paraId="67981E5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N</w:t>
            </w:r>
            <w:r>
              <w:rPr>
                <w:rFonts w:asciiTheme="majorBidi" w:hAnsiTheme="majorBidi" w:cstheme="majorBidi"/>
                <w:color w:val="000000" w:themeColor="text1"/>
                <w:sz w:val="20"/>
                <w:szCs w:val="20"/>
              </w:rPr>
              <w:t>O.</w:t>
            </w:r>
          </w:p>
        </w:tc>
        <w:tc>
          <w:tcPr>
            <w:tcW w:w="0" w:type="auto"/>
          </w:tcPr>
          <w:p w14:paraId="51D182B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References</w:t>
            </w:r>
          </w:p>
        </w:tc>
      </w:tr>
      <w:tr w:rsidR="00043F49" w14:paraId="0BDBE20A" w14:textId="77777777">
        <w:tc>
          <w:tcPr>
            <w:tcW w:w="0" w:type="auto"/>
          </w:tcPr>
          <w:p w14:paraId="03BECCF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p>
        </w:tc>
        <w:tc>
          <w:tcPr>
            <w:tcW w:w="0" w:type="auto"/>
          </w:tcPr>
          <w:p w14:paraId="49CB006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F</w:t>
            </w:r>
            <w:r>
              <w:rPr>
                <w:rFonts w:asciiTheme="majorBidi" w:hAnsiTheme="majorBidi" w:cstheme="majorBidi"/>
                <w:color w:val="000000" w:themeColor="text1"/>
                <w:sz w:val="20"/>
                <w:szCs w:val="20"/>
              </w:rPr>
              <w:t>an, M., Zhang, Y., Lin, Y., Cao, F., Sun, Y., Qiu, Y., Xing, G., Dao, X., Fu, P., 2021. Specific sources of health risks induced by metallic elements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during the wintertime in Beijing, China. Atmospheric Environment 246: 118112.</w:t>
            </w:r>
          </w:p>
        </w:tc>
      </w:tr>
      <w:tr w:rsidR="00043F49" w14:paraId="20EA0755" w14:textId="77777777">
        <w:tc>
          <w:tcPr>
            <w:tcW w:w="0" w:type="auto"/>
          </w:tcPr>
          <w:p w14:paraId="0D7B52F5"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p>
        </w:tc>
        <w:tc>
          <w:tcPr>
            <w:tcW w:w="0" w:type="auto"/>
          </w:tcPr>
          <w:p w14:paraId="4F2A32C1"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F., Yan, J., Wei, Y., Zeng, J., Wang, X., Chen, X., Zhang, C., Li, W., Chen, M., Lü, G., 2021.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-bound heavy metals from the major cities in China: Spatiotemporal distribution, fuzzy exposure assessment and health risk management. Journal of Cleaner Production 286: 124967.</w:t>
            </w:r>
          </w:p>
        </w:tc>
      </w:tr>
      <w:tr w:rsidR="00043F49" w14:paraId="79534AA0" w14:textId="77777777">
        <w:tc>
          <w:tcPr>
            <w:tcW w:w="0" w:type="auto"/>
          </w:tcPr>
          <w:p w14:paraId="4D280CF6"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p>
        </w:tc>
        <w:tc>
          <w:tcPr>
            <w:tcW w:w="0" w:type="auto"/>
          </w:tcPr>
          <w:p w14:paraId="14862558"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hao, S., Tian, H., Luo, L., Liu, H., Wu, B., Liu, S., Bai, X., Liu, W., Liu, X., Wu, Y., Lin, S., Guo, Z., Lv, Y., Xue, Y., 2021. Temporal variation characteristics and source apportionment of metal elements in PM2.5 in urban Beijing during 2018-2019. 268: 115856.</w:t>
            </w:r>
          </w:p>
        </w:tc>
      </w:tr>
      <w:tr w:rsidR="00043F49" w14:paraId="10B2C723" w14:textId="77777777">
        <w:tc>
          <w:tcPr>
            <w:tcW w:w="0" w:type="auto"/>
          </w:tcPr>
          <w:p w14:paraId="0B62DC0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p>
        </w:tc>
        <w:tc>
          <w:tcPr>
            <w:tcW w:w="0" w:type="auto"/>
          </w:tcPr>
          <w:p w14:paraId="6A9FD4C7"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ao, Y., Guo, X., Li, C., Ding, H., Tang, L., Ji, H., 2015. Characteristics of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in Miyun, the northeastern suburb of Beijing: chemical composition and evaluation of health risk. Environmental Science and Pollution Research 22: 16688-16699.</w:t>
            </w:r>
          </w:p>
        </w:tc>
      </w:tr>
      <w:tr w:rsidR="00043F49" w14:paraId="7BCF6A83" w14:textId="77777777">
        <w:tc>
          <w:tcPr>
            <w:tcW w:w="0" w:type="auto"/>
          </w:tcPr>
          <w:p w14:paraId="358E525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p>
        </w:tc>
        <w:tc>
          <w:tcPr>
            <w:tcW w:w="0" w:type="auto"/>
          </w:tcPr>
          <w:p w14:paraId="2FF8EE01"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ao, Y., Ji, H., 2018. Microscopic morphology and seasonal variation of health effect arising from heavy metals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and PM</w:t>
            </w:r>
            <w:r>
              <w:rPr>
                <w:rFonts w:asciiTheme="majorBidi" w:hAnsiTheme="majorBidi" w:cstheme="majorBidi"/>
                <w:color w:val="000000" w:themeColor="text1"/>
                <w:sz w:val="20"/>
                <w:szCs w:val="20"/>
                <w:vertAlign w:val="subscript"/>
              </w:rPr>
              <w:t>10</w:t>
            </w:r>
            <w:r>
              <w:rPr>
                <w:rFonts w:asciiTheme="majorBidi" w:hAnsiTheme="majorBidi" w:cstheme="majorBidi"/>
                <w:color w:val="000000" w:themeColor="text1"/>
                <w:sz w:val="20"/>
                <w:szCs w:val="20"/>
              </w:rPr>
              <w:t>: One-year measurement in a densely populated area of urban Beijing. Atmospheric Research 212: 213-226.</w:t>
            </w:r>
          </w:p>
        </w:tc>
      </w:tr>
      <w:tr w:rsidR="00043F49" w14:paraId="2FF40ABA" w14:textId="77777777">
        <w:tc>
          <w:tcPr>
            <w:tcW w:w="0" w:type="auto"/>
          </w:tcPr>
          <w:p w14:paraId="5F360EBC"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6</w:t>
            </w:r>
          </w:p>
        </w:tc>
        <w:tc>
          <w:tcPr>
            <w:tcW w:w="0" w:type="auto"/>
          </w:tcPr>
          <w:p w14:paraId="37E038E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J., Chen, Y., Cao, H., Zhang, A., 2019. Burden of typical diseases attributed to the sources of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-bound toxic metals in Beijing: An integrated approach to source apportionment and QALYs. Environment International 131: 105041.</w:t>
            </w:r>
          </w:p>
        </w:tc>
      </w:tr>
      <w:tr w:rsidR="00043F49" w14:paraId="38C069F8" w14:textId="77777777">
        <w:tc>
          <w:tcPr>
            <w:tcW w:w="0" w:type="auto"/>
          </w:tcPr>
          <w:p w14:paraId="404C515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7</w:t>
            </w:r>
          </w:p>
        </w:tc>
        <w:tc>
          <w:tcPr>
            <w:tcW w:w="0" w:type="auto"/>
          </w:tcPr>
          <w:p w14:paraId="4ADA6E2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J., Chen, Y., Chao, S., Cao, H., Zhang, A., Yang, Y., 2018. Emission control priority of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-bound heavy metals in different seasons: A comprehensive analysis from health risk perspective. Science of the Total Environment 644: 20-30.</w:t>
            </w:r>
          </w:p>
        </w:tc>
      </w:tr>
      <w:tr w:rsidR="00043F49" w14:paraId="5C04ABBF" w14:textId="77777777">
        <w:tc>
          <w:tcPr>
            <w:tcW w:w="0" w:type="auto"/>
          </w:tcPr>
          <w:p w14:paraId="48AE117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8</w:t>
            </w:r>
          </w:p>
        </w:tc>
        <w:tc>
          <w:tcPr>
            <w:tcW w:w="0" w:type="auto"/>
          </w:tcPr>
          <w:p w14:paraId="58E172F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D</w:t>
            </w:r>
            <w:r>
              <w:rPr>
                <w:rFonts w:asciiTheme="majorBidi" w:hAnsiTheme="majorBidi" w:cstheme="majorBidi"/>
                <w:color w:val="000000" w:themeColor="text1"/>
                <w:sz w:val="20"/>
                <w:szCs w:val="20"/>
              </w:rPr>
              <w:t>uan, J., Tan, J., Hao, J., Chai, F., 2014. Size distribution, characteristics and sources of heavy metals in haze episode in Beijing. Journal of Environmental Sciences 26:189-196.</w:t>
            </w:r>
          </w:p>
        </w:tc>
      </w:tr>
      <w:tr w:rsidR="00043F49" w14:paraId="0911908E" w14:textId="77777777">
        <w:tc>
          <w:tcPr>
            <w:tcW w:w="0" w:type="auto"/>
          </w:tcPr>
          <w:p w14:paraId="3A3DB0C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9</w:t>
            </w:r>
          </w:p>
        </w:tc>
        <w:tc>
          <w:tcPr>
            <w:tcW w:w="0" w:type="auto"/>
          </w:tcPr>
          <w:p w14:paraId="6BB4905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ang, X., Zheng, M., Liu, Y., Yan, C., Liu, J., Liu, J., Cheng, Y., 2022. Exploring sources and health risks of metals in Beijing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Insights from long-term online measurements. Science of the Total Environment 814: 151954.</w:t>
            </w:r>
          </w:p>
        </w:tc>
      </w:tr>
      <w:tr w:rsidR="00043F49" w14:paraId="66E49DE7" w14:textId="77777777">
        <w:tc>
          <w:tcPr>
            <w:tcW w:w="0" w:type="auto"/>
          </w:tcPr>
          <w:p w14:paraId="01E3475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0</w:t>
            </w:r>
          </w:p>
        </w:tc>
        <w:tc>
          <w:tcPr>
            <w:tcW w:w="0" w:type="auto"/>
          </w:tcPr>
          <w:p w14:paraId="0733BCF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ao, Y., Guo, X., Ji, H., Li, C., Ding, H., Briki, M., Tang, L., Zhang, Y., 2016. Potential threat of heavy metals and PAHs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in different urban functional areas of Beijing. Atmospheric Research 178-179: 6–16.</w:t>
            </w:r>
          </w:p>
        </w:tc>
      </w:tr>
      <w:tr w:rsidR="00043F49" w14:paraId="29763CBE" w14:textId="77777777">
        <w:tc>
          <w:tcPr>
            <w:tcW w:w="0" w:type="auto"/>
          </w:tcPr>
          <w:p w14:paraId="6B8A9FC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1</w:t>
            </w:r>
          </w:p>
        </w:tc>
        <w:tc>
          <w:tcPr>
            <w:tcW w:w="0" w:type="auto"/>
          </w:tcPr>
          <w:p w14:paraId="4020129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uang, R., Cheng, R., Jing, M., Yang, L., Li, Y., Chen, Q., Chen, Y., Yan, J., Lin, C., Wu, Y., Zhang, R., Haddad, I., Prevot, A., O'Dowd, C., Cao, J., 2018. Source-</w:t>
            </w:r>
            <w:r>
              <w:rPr>
                <w:rFonts w:asciiTheme="majorBidi" w:hAnsiTheme="majorBidi" w:cstheme="majorBidi"/>
                <w:color w:val="000000" w:themeColor="text1"/>
                <w:sz w:val="20"/>
                <w:szCs w:val="20"/>
              </w:rPr>
              <w:lastRenderedPageBreak/>
              <w:t>Specific Health Risk Analysis on Particulate Trace Elements: Coal Combustion and Traffic Emission As Major Contributors in Wintertime Beijing. Environmental Science and Technology 52, 10967-10974.</w:t>
            </w:r>
          </w:p>
        </w:tc>
      </w:tr>
      <w:tr w:rsidR="00043F49" w14:paraId="32D6BABF" w14:textId="77777777">
        <w:tc>
          <w:tcPr>
            <w:tcW w:w="0" w:type="auto"/>
          </w:tcPr>
          <w:p w14:paraId="3805119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1</w:t>
            </w:r>
            <w:r>
              <w:rPr>
                <w:rFonts w:asciiTheme="majorBidi" w:hAnsiTheme="majorBidi" w:cstheme="majorBidi"/>
                <w:color w:val="000000" w:themeColor="text1"/>
                <w:sz w:val="20"/>
                <w:szCs w:val="20"/>
              </w:rPr>
              <w:t>2</w:t>
            </w:r>
          </w:p>
        </w:tc>
        <w:tc>
          <w:tcPr>
            <w:tcW w:w="0" w:type="auto"/>
          </w:tcPr>
          <w:p w14:paraId="35810CD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Schleicher, N., Norra, S., Chai, F., Chen, Y., Wang, S., Cen, K., Yu, Y, Stüben D., 2011. Temporal variability of trace metal mobility of urban particulate matter from Beijing - A contribution to health impact assessments of aerosols. Atmospheric Environment 45: 7248-7265.</w:t>
            </w:r>
          </w:p>
        </w:tc>
      </w:tr>
      <w:tr w:rsidR="00043F49" w14:paraId="05459151" w14:textId="77777777">
        <w:tc>
          <w:tcPr>
            <w:tcW w:w="0" w:type="auto"/>
          </w:tcPr>
          <w:p w14:paraId="72C70A06"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3</w:t>
            </w:r>
          </w:p>
        </w:tc>
        <w:tc>
          <w:tcPr>
            <w:tcW w:w="0" w:type="auto"/>
          </w:tcPr>
          <w:p w14:paraId="58D883CF"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ao, J., Tian, H., Cheng, K., Lu, L., Wang, Y., Wu, Y., Zhu, C., Liu, K., Zhou, J., Liu, X., Chen, J., Hao, J., 2014. Seasonal and spatial variation of trace elements in multi-size airborne particulate matters of Beijing, China: Mass concentration, enrichment characteristics, source apportionment, chemical speciation and bioavailability. Atmospheric Environment 99: 257-265.</w:t>
            </w:r>
          </w:p>
        </w:tc>
      </w:tr>
      <w:tr w:rsidR="00043F49" w14:paraId="2780639B" w14:textId="77777777">
        <w:tc>
          <w:tcPr>
            <w:tcW w:w="0" w:type="auto"/>
          </w:tcPr>
          <w:p w14:paraId="58E4803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4</w:t>
            </w:r>
          </w:p>
        </w:tc>
        <w:tc>
          <w:tcPr>
            <w:tcW w:w="0" w:type="auto"/>
          </w:tcPr>
          <w:p w14:paraId="51182CED"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ao, J., Wang, K., Wang, Y., Liu, S., Zhu, C., Hao, J., Liu, H., Hua, S., Tian, H., 2018. Temporal-spatial characteristics and source apportionment of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as well as its associated chemical species in the Beijing-Tianjin-Hebei region of China. Environmental Pollution 233: 714-724.</w:t>
            </w:r>
          </w:p>
        </w:tc>
      </w:tr>
      <w:tr w:rsidR="00043F49" w14:paraId="6C36E771" w14:textId="77777777">
        <w:tc>
          <w:tcPr>
            <w:tcW w:w="0" w:type="auto"/>
          </w:tcPr>
          <w:p w14:paraId="0379ED2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5</w:t>
            </w:r>
          </w:p>
        </w:tc>
        <w:tc>
          <w:tcPr>
            <w:tcW w:w="0" w:type="auto"/>
          </w:tcPr>
          <w:p w14:paraId="778CB63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D</w:t>
            </w:r>
            <w:r>
              <w:rPr>
                <w:rFonts w:asciiTheme="majorBidi" w:hAnsiTheme="majorBidi" w:cstheme="majorBidi"/>
                <w:color w:val="000000" w:themeColor="text1"/>
                <w:sz w:val="20"/>
                <w:szCs w:val="20"/>
              </w:rPr>
              <w:t>uan, J., Tan, J., Wang, S., Hao, J., Chai, F., 2012. Size distributions and sources of elements in particulate matter at curbside, urban and rural sites in Beijing. Journal of Environmental Sciences 24(1) 87-94.</w:t>
            </w:r>
          </w:p>
        </w:tc>
      </w:tr>
      <w:tr w:rsidR="00043F49" w14:paraId="3DDCEE5F" w14:textId="77777777">
        <w:tc>
          <w:tcPr>
            <w:tcW w:w="0" w:type="auto"/>
          </w:tcPr>
          <w:p w14:paraId="1159D25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6</w:t>
            </w:r>
          </w:p>
        </w:tc>
        <w:tc>
          <w:tcPr>
            <w:tcW w:w="0" w:type="auto"/>
          </w:tcPr>
          <w:p w14:paraId="3DE60F1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ang, X., 2019. Analysis of elemental pollution characteristics and health risk assessment of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in different cities. Shanxi University. (In Chinese)</w:t>
            </w:r>
          </w:p>
        </w:tc>
      </w:tr>
    </w:tbl>
    <w:p w14:paraId="5FB17B44" w14:textId="77777777" w:rsidR="00043F49" w:rsidRDefault="00043F49">
      <w:pPr>
        <w:spacing w:line="360" w:lineRule="auto"/>
        <w:jc w:val="center"/>
        <w:rPr>
          <w:rFonts w:asciiTheme="majorBidi" w:hAnsiTheme="majorBidi" w:cstheme="majorBidi"/>
          <w:b/>
          <w:bCs/>
          <w:color w:val="000000" w:themeColor="text1"/>
          <w:sz w:val="24"/>
          <w:szCs w:val="28"/>
        </w:rPr>
        <w:sectPr w:rsidR="00043F49">
          <w:pgSz w:w="16838" w:h="11906" w:orient="landscape"/>
          <w:pgMar w:top="1800" w:right="1440" w:bottom="1800" w:left="1440" w:header="851" w:footer="992" w:gutter="0"/>
          <w:lnNumType w:countBy="1" w:restart="continuous"/>
          <w:cols w:space="425"/>
          <w:docGrid w:type="lines" w:linePitch="312"/>
        </w:sectPr>
      </w:pPr>
    </w:p>
    <w:p w14:paraId="36D2C7DB" w14:textId="77777777" w:rsidR="00043F49" w:rsidRDefault="00043F49">
      <w:pPr>
        <w:pStyle w:val="1"/>
        <w:spacing w:before="0" w:after="0" w:line="360" w:lineRule="auto"/>
        <w:jc w:val="center"/>
        <w:rPr>
          <w:rFonts w:ascii="Times New Roman" w:hAnsi="Times New Roman" w:cs="Times New Roman"/>
          <w:sz w:val="20"/>
          <w:szCs w:val="20"/>
        </w:rPr>
        <w:sectPr w:rsidR="00043F49">
          <w:type w:val="continuous"/>
          <w:pgSz w:w="16838" w:h="11906" w:orient="landscape"/>
          <w:pgMar w:top="1800" w:right="1440" w:bottom="1800" w:left="1440" w:header="851" w:footer="992" w:gutter="0"/>
          <w:lnNumType w:countBy="1" w:restart="continuous"/>
          <w:cols w:space="425"/>
          <w:docGrid w:type="lines" w:linePitch="312"/>
        </w:sectPr>
      </w:pPr>
    </w:p>
    <w:p w14:paraId="4F49E277" w14:textId="77777777" w:rsidR="00043F49" w:rsidRDefault="00000000">
      <w:pPr>
        <w:pStyle w:val="1"/>
        <w:spacing w:before="0" w:after="0" w:line="360" w:lineRule="auto"/>
        <w:jc w:val="center"/>
        <w:rPr>
          <w:rFonts w:ascii="Times New Roman" w:hAnsi="Times New Roman" w:cs="Times New Roman"/>
          <w:sz w:val="20"/>
          <w:szCs w:val="20"/>
        </w:rPr>
      </w:pPr>
      <w:r>
        <w:rPr>
          <w:rFonts w:ascii="Times New Roman" w:hAnsi="Times New Roman" w:cs="Times New Roman" w:hint="eastAsia"/>
          <w:sz w:val="20"/>
          <w:szCs w:val="20"/>
        </w:rPr>
        <w:lastRenderedPageBreak/>
        <w:t>Table</w:t>
      </w:r>
      <w:r>
        <w:rPr>
          <w:rFonts w:ascii="Times New Roman" w:hAnsi="Times New Roman" w:cs="Times New Roman"/>
          <w:sz w:val="20"/>
          <w:szCs w:val="20"/>
        </w:rPr>
        <w:t xml:space="preserve"> S4 </w:t>
      </w:r>
      <w:r>
        <w:rPr>
          <w:rFonts w:ascii="Times New Roman" w:hAnsi="Times New Roman" w:cs="Times New Roman"/>
          <w:b w:val="0"/>
          <w:bCs w:val="0"/>
          <w:sz w:val="20"/>
          <w:szCs w:val="20"/>
        </w:rPr>
        <w:t>T</w:t>
      </w:r>
      <w:r>
        <w:rPr>
          <w:rFonts w:ascii="Times New Roman" w:hAnsi="Times New Roman" w:cs="Times New Roman" w:hint="eastAsia"/>
          <w:b w:val="0"/>
          <w:bCs w:val="0"/>
          <w:sz w:val="20"/>
          <w:szCs w:val="20"/>
        </w:rPr>
        <w:t>he</w:t>
      </w:r>
      <w:r>
        <w:rPr>
          <w:rFonts w:ascii="Times New Roman" w:hAnsi="Times New Roman" w:cs="Times New Roman"/>
          <w:b w:val="0"/>
          <w:bCs w:val="0"/>
          <w:sz w:val="20"/>
          <w:szCs w:val="20"/>
        </w:rPr>
        <w:t xml:space="preserve"> extracted references </w:t>
      </w:r>
      <w:r>
        <w:rPr>
          <w:rFonts w:ascii="Times New Roman" w:hAnsi="Times New Roman" w:cs="Times New Roman" w:hint="eastAsia"/>
          <w:b w:val="0"/>
          <w:bCs w:val="0"/>
          <w:sz w:val="20"/>
          <w:szCs w:val="20"/>
        </w:rPr>
        <w:t>of</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bioaccessibility</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of</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heavy</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metals</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in</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foods</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and</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environmental</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media</w:t>
      </w:r>
    </w:p>
    <w:tbl>
      <w:tblPr>
        <w:tblStyle w:val="a7"/>
        <w:tblW w:w="0" w:type="auto"/>
        <w:tblLook w:val="04A0" w:firstRow="1" w:lastRow="0" w:firstColumn="1" w:lastColumn="0" w:noHBand="0" w:noVBand="1"/>
      </w:tblPr>
      <w:tblGrid>
        <w:gridCol w:w="555"/>
        <w:gridCol w:w="13393"/>
      </w:tblGrid>
      <w:tr w:rsidR="00043F49" w14:paraId="1BE565A9" w14:textId="77777777">
        <w:tc>
          <w:tcPr>
            <w:tcW w:w="0" w:type="auto"/>
          </w:tcPr>
          <w:p w14:paraId="6081DB2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N</w:t>
            </w:r>
            <w:r>
              <w:rPr>
                <w:rFonts w:asciiTheme="majorBidi" w:hAnsiTheme="majorBidi" w:cstheme="majorBidi"/>
                <w:color w:val="000000" w:themeColor="text1"/>
                <w:sz w:val="20"/>
                <w:szCs w:val="20"/>
              </w:rPr>
              <w:t>O.</w:t>
            </w:r>
          </w:p>
        </w:tc>
        <w:tc>
          <w:tcPr>
            <w:tcW w:w="0" w:type="auto"/>
          </w:tcPr>
          <w:p w14:paraId="70C04A0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References</w:t>
            </w:r>
          </w:p>
        </w:tc>
      </w:tr>
      <w:tr w:rsidR="00043F49" w14:paraId="463A22E7" w14:textId="77777777">
        <w:tc>
          <w:tcPr>
            <w:tcW w:w="0" w:type="auto"/>
          </w:tcPr>
          <w:p w14:paraId="4A79B9F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p>
        </w:tc>
        <w:tc>
          <w:tcPr>
            <w:tcW w:w="0" w:type="auto"/>
          </w:tcPr>
          <w:p w14:paraId="3AE03410"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hang, J., Tian, B., Luo, J., Wu, F., Zhang, C., Liu, Z., Wang, X., 2022. Effect Factors and the Model Prediction of Soil Heavy Metal Bioaccessibility. Environmental Science. (Article In Press) (In Chinese).</w:t>
            </w:r>
          </w:p>
        </w:tc>
      </w:tr>
      <w:tr w:rsidR="00043F49" w14:paraId="36D443D6" w14:textId="77777777">
        <w:tc>
          <w:tcPr>
            <w:tcW w:w="0" w:type="auto"/>
          </w:tcPr>
          <w:p w14:paraId="3F59D0A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p>
        </w:tc>
        <w:tc>
          <w:tcPr>
            <w:tcW w:w="0" w:type="auto"/>
          </w:tcPr>
          <w:p w14:paraId="73A5B316"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M</w:t>
            </w:r>
            <w:r>
              <w:rPr>
                <w:rFonts w:asciiTheme="majorBidi" w:hAnsiTheme="majorBidi" w:cstheme="majorBidi"/>
                <w:color w:val="000000" w:themeColor="text1"/>
                <w:sz w:val="20"/>
                <w:szCs w:val="20"/>
              </w:rPr>
              <w:t>a, X., Xia, D., Liu, X., Liu, H., Fan, Y., Chen, P., Yu, Q., 2022. Application of magnetic susceptibility and heavy metal bioaccessibility to assessments of urban sandstorm contamination and health risks. Science of the Total Environment 830: 154801.</w:t>
            </w:r>
          </w:p>
        </w:tc>
      </w:tr>
      <w:tr w:rsidR="00043F49" w14:paraId="6BF885CA" w14:textId="77777777">
        <w:tc>
          <w:tcPr>
            <w:tcW w:w="0" w:type="auto"/>
          </w:tcPr>
          <w:p w14:paraId="083B318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p>
        </w:tc>
        <w:tc>
          <w:tcPr>
            <w:tcW w:w="0" w:type="auto"/>
          </w:tcPr>
          <w:p w14:paraId="61E6BD4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u, Y., Gao, Y., Lin, Q., 2016. Contamination, bioaccessibility and human health risk of heavy metals in exposed-lawn soils from 28 urban parks in southern China's largest city, Guangzhou. Applied Geochemistry 67:52-58.</w:t>
            </w:r>
          </w:p>
        </w:tc>
      </w:tr>
      <w:tr w:rsidR="00043F49" w14:paraId="1C506E48" w14:textId="77777777">
        <w:tc>
          <w:tcPr>
            <w:tcW w:w="0" w:type="auto"/>
          </w:tcPr>
          <w:p w14:paraId="3831824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p>
        </w:tc>
        <w:tc>
          <w:tcPr>
            <w:tcW w:w="0" w:type="auto"/>
          </w:tcPr>
          <w:p w14:paraId="5E5FCD36"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an, Q., Wang, M., Cao, J., Gui, C., Liu, Y., He, X., He, Y., Liu, Y., 2020. Health risk assessment and bioaccessibilities of heavy metals for children in soil and dust from urban parks and schools of Jiaozuo, China. Ecotoxicology and Environmental Safety 191: 110157.</w:t>
            </w:r>
          </w:p>
        </w:tc>
      </w:tr>
      <w:tr w:rsidR="00043F49" w14:paraId="198DB23B" w14:textId="77777777">
        <w:tc>
          <w:tcPr>
            <w:tcW w:w="0" w:type="auto"/>
          </w:tcPr>
          <w:p w14:paraId="54A3759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p>
        </w:tc>
        <w:tc>
          <w:tcPr>
            <w:tcW w:w="0" w:type="auto"/>
          </w:tcPr>
          <w:p w14:paraId="1DE29C2A"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hu, X., Yang, F., Wei, C., 2015. Factors influencing the heavy metal bioaccessibility in soils were site dependent from different geographical locations. Environmental Science and Pollution Research 22: 13939-13949.</w:t>
            </w:r>
          </w:p>
        </w:tc>
      </w:tr>
      <w:tr w:rsidR="00043F49" w14:paraId="5617C59F" w14:textId="77777777">
        <w:tc>
          <w:tcPr>
            <w:tcW w:w="0" w:type="auto"/>
          </w:tcPr>
          <w:p w14:paraId="6BFB3309"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6</w:t>
            </w:r>
          </w:p>
        </w:tc>
        <w:tc>
          <w:tcPr>
            <w:tcW w:w="0" w:type="auto"/>
          </w:tcPr>
          <w:p w14:paraId="1EE1C38D"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M</w:t>
            </w:r>
            <w:r>
              <w:rPr>
                <w:rFonts w:asciiTheme="majorBidi" w:hAnsiTheme="majorBidi" w:cstheme="majorBidi"/>
                <w:color w:val="000000" w:themeColor="text1"/>
                <w:sz w:val="20"/>
                <w:szCs w:val="20"/>
              </w:rPr>
              <w:t>a, J., Li, Y., Liu, Y., Wang, X., Lin, C., Cheng, H., 2020. Metal(loid) bioaccessibility and children’s health risk assessment of soil and indoor dust from rural and urban school and residential areas. Environmental Geochemistry and Health 42: 1291–1303.</w:t>
            </w:r>
          </w:p>
        </w:tc>
      </w:tr>
      <w:tr w:rsidR="00043F49" w14:paraId="6074D440" w14:textId="77777777">
        <w:tc>
          <w:tcPr>
            <w:tcW w:w="0" w:type="auto"/>
          </w:tcPr>
          <w:p w14:paraId="690556F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7</w:t>
            </w:r>
          </w:p>
        </w:tc>
        <w:tc>
          <w:tcPr>
            <w:tcW w:w="0" w:type="auto"/>
          </w:tcPr>
          <w:p w14:paraId="0CE5A197"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uang, M., Wang, W., Chan, C., Cheung, K., Man, Y., Wang, X., Wong, M., 2014. Contamination and risk assessment (based on bioaccessibility via ingestion and inhalation) of metal(loid)s in outdoor and indoor particles from urban centers of Guangzhou, China. Science of the Total Environment 479-480: 117–124.</w:t>
            </w:r>
          </w:p>
        </w:tc>
      </w:tr>
      <w:tr w:rsidR="00043F49" w14:paraId="01AEF22C" w14:textId="77777777">
        <w:tc>
          <w:tcPr>
            <w:tcW w:w="0" w:type="auto"/>
          </w:tcPr>
          <w:p w14:paraId="7CFF9681"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8</w:t>
            </w:r>
          </w:p>
        </w:tc>
        <w:tc>
          <w:tcPr>
            <w:tcW w:w="0" w:type="auto"/>
          </w:tcPr>
          <w:p w14:paraId="743DCB58"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ang, P., Xue, J., Zhu, Z., 2021. Comparison of heavy metal bioaccessibility between street dust and beach sediment: Particle size effect and environmental magnetism response. Science of the Total Environment 777: 146081.</w:t>
            </w:r>
          </w:p>
        </w:tc>
      </w:tr>
      <w:tr w:rsidR="00043F49" w14:paraId="2CE95077" w14:textId="77777777">
        <w:tc>
          <w:tcPr>
            <w:tcW w:w="0" w:type="auto"/>
          </w:tcPr>
          <w:p w14:paraId="2F8D378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9</w:t>
            </w:r>
          </w:p>
        </w:tc>
        <w:tc>
          <w:tcPr>
            <w:tcW w:w="0" w:type="auto"/>
          </w:tcPr>
          <w:p w14:paraId="57993DE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H., Chen, L., Yu, L., Guo, Z., Shan, C., Lin, J., Gu, Y., Yang, Z., Yang, Y., Shao, J., Zhu, X., Cheng, Z., 2017. Pollution characteristics and risk assessment of human exposure to oral bioaccessibility of heavy metals via urban street dusts from different functional areas in Chengdu, China. Science of the Total Environment 586: 1076-1084.</w:t>
            </w:r>
          </w:p>
        </w:tc>
      </w:tr>
      <w:tr w:rsidR="00043F49" w14:paraId="42409AE0" w14:textId="77777777">
        <w:tc>
          <w:tcPr>
            <w:tcW w:w="0" w:type="auto"/>
          </w:tcPr>
          <w:p w14:paraId="0DC0B4E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0</w:t>
            </w:r>
          </w:p>
        </w:tc>
        <w:tc>
          <w:tcPr>
            <w:tcW w:w="0" w:type="auto"/>
          </w:tcPr>
          <w:p w14:paraId="34E7F8CD"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hang, G., Shao, L., Li, F., Yang, F., Wang, J., Jin, Z., 2020. Bioaccessibility and health risk assessment of Pb and Cd in urban dust in Hangzhou, China. Environmental Science and Pollution Research 27: 11760-11771.</w:t>
            </w:r>
          </w:p>
        </w:tc>
      </w:tr>
      <w:tr w:rsidR="00043F49" w14:paraId="1F068565" w14:textId="77777777">
        <w:tc>
          <w:tcPr>
            <w:tcW w:w="0" w:type="auto"/>
          </w:tcPr>
          <w:p w14:paraId="43826B6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1</w:t>
            </w:r>
            <w:r>
              <w:rPr>
                <w:rFonts w:asciiTheme="majorBidi" w:hAnsiTheme="majorBidi" w:cstheme="majorBidi"/>
                <w:color w:val="000000" w:themeColor="text1"/>
                <w:sz w:val="20"/>
                <w:szCs w:val="20"/>
              </w:rPr>
              <w:t>1</w:t>
            </w:r>
          </w:p>
        </w:tc>
        <w:tc>
          <w:tcPr>
            <w:tcW w:w="0" w:type="auto"/>
          </w:tcPr>
          <w:p w14:paraId="7D5E203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M</w:t>
            </w:r>
            <w:r>
              <w:rPr>
                <w:rFonts w:asciiTheme="majorBidi" w:hAnsiTheme="majorBidi" w:cstheme="majorBidi"/>
                <w:color w:val="000000" w:themeColor="text1"/>
                <w:sz w:val="20"/>
                <w:szCs w:val="20"/>
              </w:rPr>
              <w:t>a, J., Yan, Y., Chen, X., Niu, Z., Yu, R., Hu, G., 2021. Incorporating bioaccessibility and source apportionment into human health risk assessment of heavy metals in urban dust of Xiamen, China. Ecotoxicology and Environmental Safety 228: 112985.</w:t>
            </w:r>
          </w:p>
        </w:tc>
      </w:tr>
      <w:tr w:rsidR="00043F49" w14:paraId="3BEEDE06" w14:textId="77777777">
        <w:tc>
          <w:tcPr>
            <w:tcW w:w="0" w:type="auto"/>
          </w:tcPr>
          <w:p w14:paraId="58383C25"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2</w:t>
            </w:r>
          </w:p>
        </w:tc>
        <w:tc>
          <w:tcPr>
            <w:tcW w:w="0" w:type="auto"/>
          </w:tcPr>
          <w:p w14:paraId="00684A16"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hao, L., Yu, R., Yan, Y., Cheng, Y., Hu, G., Huang, H., 2020. Bioaccessibility and provenance of heavy metals in the park dust in a coastal city of southeast China. Applied Geochemistry 123: 104798.</w:t>
            </w:r>
          </w:p>
        </w:tc>
      </w:tr>
      <w:tr w:rsidR="00043F49" w14:paraId="0256E0CA" w14:textId="77777777">
        <w:tc>
          <w:tcPr>
            <w:tcW w:w="0" w:type="auto"/>
          </w:tcPr>
          <w:p w14:paraId="55C8503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3</w:t>
            </w:r>
          </w:p>
        </w:tc>
        <w:tc>
          <w:tcPr>
            <w:tcW w:w="0" w:type="auto"/>
          </w:tcPr>
          <w:p w14:paraId="00BA3383"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C</w:t>
            </w:r>
            <w:r>
              <w:rPr>
                <w:rFonts w:asciiTheme="majorBidi" w:hAnsiTheme="majorBidi" w:cstheme="majorBidi"/>
                <w:color w:val="000000" w:themeColor="text1"/>
                <w:sz w:val="20"/>
                <w:szCs w:val="20"/>
              </w:rPr>
              <w:t>hen, Y., Li, J., Zhu, L., Yuan, G., Sun, P., 2021. Assessment of ecological risk of heavy metals in urban sediments based on bioavailability. Periodical of Ocean University of China 51(4): 109-116.</w:t>
            </w:r>
          </w:p>
        </w:tc>
      </w:tr>
      <w:tr w:rsidR="00043F49" w14:paraId="3D50B1E4" w14:textId="77777777">
        <w:tc>
          <w:tcPr>
            <w:tcW w:w="0" w:type="auto"/>
          </w:tcPr>
          <w:p w14:paraId="59FA61B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4</w:t>
            </w:r>
          </w:p>
        </w:tc>
        <w:tc>
          <w:tcPr>
            <w:tcW w:w="0" w:type="auto"/>
          </w:tcPr>
          <w:p w14:paraId="7582FDD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u, B., Wang, Y., Zhou, Q., Human Health Risk Assessment Based on Toxicity Characteristic Leaching Procedure and Simple Bioaccessibility Extraction Test of Toxic Metals in Urban Street Dust of Tianjin, China. PLoS ONE 9(3): e92459.</w:t>
            </w:r>
          </w:p>
        </w:tc>
      </w:tr>
      <w:tr w:rsidR="00043F49" w14:paraId="6A9FBCA1" w14:textId="77777777">
        <w:tc>
          <w:tcPr>
            <w:tcW w:w="0" w:type="auto"/>
          </w:tcPr>
          <w:p w14:paraId="5BC545AD"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5</w:t>
            </w:r>
          </w:p>
        </w:tc>
        <w:tc>
          <w:tcPr>
            <w:tcW w:w="0" w:type="auto"/>
          </w:tcPr>
          <w:p w14:paraId="3A0EF37C"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 X., Zhang, Y., Luo, J., Wang, T., Lian, H., Ding, Z., 2011. Bioaccessibility and health risk of arsenic, mercury and other metals in urban street dusts from a mega-city, Nanjing, China. Environmental Pollution 159: 1215-1221.</w:t>
            </w:r>
          </w:p>
        </w:tc>
      </w:tr>
      <w:tr w:rsidR="00043F49" w14:paraId="68525348" w14:textId="77777777">
        <w:tc>
          <w:tcPr>
            <w:tcW w:w="0" w:type="auto"/>
          </w:tcPr>
          <w:p w14:paraId="0D144B8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6</w:t>
            </w:r>
          </w:p>
        </w:tc>
        <w:tc>
          <w:tcPr>
            <w:tcW w:w="0" w:type="auto"/>
          </w:tcPr>
          <w:p w14:paraId="5EA12D43"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R</w:t>
            </w:r>
            <w:r>
              <w:rPr>
                <w:rFonts w:asciiTheme="majorBidi" w:hAnsiTheme="majorBidi" w:cstheme="majorBidi"/>
                <w:color w:val="000000" w:themeColor="text1"/>
                <w:sz w:val="20"/>
                <w:szCs w:val="20"/>
              </w:rPr>
              <w:t>en, Y., Luo, Q., Zhuo, S., Hu, Y., Shen, G., Cheng, H., Tao, S., 2021. Bioaccessibility and public health risk of heavy Metal(loid)s in the airborne particulate matter of four cities in northern China. Chemosphere 277: 130312.</w:t>
            </w:r>
          </w:p>
        </w:tc>
      </w:tr>
      <w:tr w:rsidR="00043F49" w14:paraId="016EC952" w14:textId="77777777">
        <w:tc>
          <w:tcPr>
            <w:tcW w:w="0" w:type="auto"/>
          </w:tcPr>
          <w:p w14:paraId="3951D93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7</w:t>
            </w:r>
          </w:p>
        </w:tc>
        <w:tc>
          <w:tcPr>
            <w:tcW w:w="0" w:type="auto"/>
          </w:tcPr>
          <w:p w14:paraId="140791BD"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Schleicher, N., Norra, S., Chai, F., Chen, Y., Wang, S., Cen, K., Yu, Y, Stüben D., 2011. Temporal variability of trace metal mobility of urban particulate matter from Beijing - A contribution to health impact assessments of aerosols. Atmospheric Environment 45: 7248-7265.</w:t>
            </w:r>
          </w:p>
        </w:tc>
      </w:tr>
      <w:tr w:rsidR="00043F49" w14:paraId="735FDACD" w14:textId="77777777">
        <w:tc>
          <w:tcPr>
            <w:tcW w:w="0" w:type="auto"/>
          </w:tcPr>
          <w:p w14:paraId="122DF11C"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8</w:t>
            </w:r>
          </w:p>
        </w:tc>
        <w:tc>
          <w:tcPr>
            <w:tcW w:w="0" w:type="auto"/>
          </w:tcPr>
          <w:p w14:paraId="078779F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X</w:t>
            </w:r>
            <w:r>
              <w:rPr>
                <w:rFonts w:asciiTheme="majorBidi" w:hAnsiTheme="majorBidi" w:cstheme="majorBidi"/>
                <w:color w:val="000000" w:themeColor="text1"/>
                <w:sz w:val="20"/>
                <w:szCs w:val="20"/>
              </w:rPr>
              <w:t>ie, J., Yuan, C., Xie, J., Shen, Y., He, K., Zhang, K., 2019. Speciation and bioaccessibility of heavy metals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in Baoding city, China. Environmental Pollution 252: 336-343.</w:t>
            </w:r>
          </w:p>
        </w:tc>
      </w:tr>
      <w:tr w:rsidR="00043F49" w14:paraId="40A28B50" w14:textId="77777777">
        <w:tc>
          <w:tcPr>
            <w:tcW w:w="0" w:type="auto"/>
          </w:tcPr>
          <w:p w14:paraId="3F59E4A5"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9</w:t>
            </w:r>
          </w:p>
        </w:tc>
        <w:tc>
          <w:tcPr>
            <w:tcW w:w="0" w:type="auto"/>
          </w:tcPr>
          <w:p w14:paraId="76A55B0A"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hao, Z., Luo, X., Jing, Y., Li, H., Pang, Y., Wu, L., Chen, Q., Jin, L., 2021.</w:t>
            </w:r>
            <w:r>
              <w:rPr>
                <w:sz w:val="20"/>
                <w:szCs w:val="20"/>
              </w:rPr>
              <w:t xml:space="preserve"> </w:t>
            </w:r>
            <w:r>
              <w:rPr>
                <w:rFonts w:asciiTheme="majorBidi" w:hAnsiTheme="majorBidi" w:cstheme="majorBidi"/>
                <w:color w:val="000000" w:themeColor="text1"/>
                <w:sz w:val="20"/>
                <w:szCs w:val="20"/>
              </w:rPr>
              <w:t>In vitro assessments of bioaccessibility and bioavailability of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trace metals in respiratory and digestive systems and their oxidative potential. Journal of Hazardous Materials 409: 124638.</w:t>
            </w:r>
          </w:p>
        </w:tc>
      </w:tr>
      <w:tr w:rsidR="00043F49" w14:paraId="40507C40" w14:textId="77777777">
        <w:tc>
          <w:tcPr>
            <w:tcW w:w="0" w:type="auto"/>
          </w:tcPr>
          <w:p w14:paraId="36C75F7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0</w:t>
            </w:r>
          </w:p>
        </w:tc>
        <w:tc>
          <w:tcPr>
            <w:tcW w:w="0" w:type="auto"/>
          </w:tcPr>
          <w:p w14:paraId="19A7400A"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Y., Hu, J., Wang, X., Jia, J., Li, J., Wang, L., Hao, L., Gao, P., 2021. Distribution, bioaccessibility, and health risk assessment of heavy metals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and PM</w:t>
            </w:r>
            <w:r>
              <w:rPr>
                <w:rFonts w:asciiTheme="majorBidi" w:hAnsiTheme="majorBidi" w:cstheme="majorBidi"/>
                <w:color w:val="000000" w:themeColor="text1"/>
                <w:sz w:val="20"/>
                <w:szCs w:val="20"/>
                <w:vertAlign w:val="subscript"/>
              </w:rPr>
              <w:t>10</w:t>
            </w:r>
            <w:r>
              <w:rPr>
                <w:rFonts w:asciiTheme="majorBidi" w:hAnsiTheme="majorBidi" w:cstheme="majorBidi"/>
                <w:color w:val="000000" w:themeColor="text1"/>
                <w:sz w:val="20"/>
                <w:szCs w:val="20"/>
              </w:rPr>
              <w:t xml:space="preserve"> during winter heating periods in five types of cities in Northeast China. Ecotoxicology and Environmental Safety 214: 112071.</w:t>
            </w:r>
          </w:p>
        </w:tc>
      </w:tr>
      <w:tr w:rsidR="00043F49" w14:paraId="341F93E3" w14:textId="77777777">
        <w:tc>
          <w:tcPr>
            <w:tcW w:w="0" w:type="auto"/>
          </w:tcPr>
          <w:p w14:paraId="6ABB7B1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1</w:t>
            </w:r>
          </w:p>
        </w:tc>
        <w:tc>
          <w:tcPr>
            <w:tcW w:w="0" w:type="auto"/>
          </w:tcPr>
          <w:p w14:paraId="356D108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J., Zhang, A., Chen, Y., Zhou, X., Zhou, A., Cao, H., 2021. Bioaccessibility, source impact and probabilistic health risk of the toxic metals in PM2.5 based on lung fluids test and Monte Carlo simulations. Journal of Cleaner Production 283: 124667.</w:t>
            </w:r>
          </w:p>
        </w:tc>
      </w:tr>
      <w:tr w:rsidR="00043F49" w14:paraId="16A498D4" w14:textId="77777777">
        <w:tc>
          <w:tcPr>
            <w:tcW w:w="0" w:type="auto"/>
          </w:tcPr>
          <w:p w14:paraId="3A792F9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2</w:t>
            </w:r>
          </w:p>
        </w:tc>
        <w:tc>
          <w:tcPr>
            <w:tcW w:w="0" w:type="auto"/>
          </w:tcPr>
          <w:p w14:paraId="5622F883"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 xml:space="preserve">uang, H., Jiang, Y., Xu, X., Cao, X., 2018. In vitro bioaccessibility and health risk assessment of heavy metals in atmospheric particulate matters from three different </w:t>
            </w:r>
            <w:r>
              <w:rPr>
                <w:rFonts w:asciiTheme="majorBidi" w:hAnsiTheme="majorBidi" w:cstheme="majorBidi"/>
                <w:color w:val="000000" w:themeColor="text1"/>
                <w:sz w:val="20"/>
                <w:szCs w:val="20"/>
              </w:rPr>
              <w:lastRenderedPageBreak/>
              <w:t>functional areas of Shanghai, China. Science of the Total Environment 610-611: 546-554.</w:t>
            </w:r>
          </w:p>
        </w:tc>
      </w:tr>
      <w:tr w:rsidR="00043F49" w14:paraId="73B29B58" w14:textId="77777777">
        <w:tc>
          <w:tcPr>
            <w:tcW w:w="0" w:type="auto"/>
          </w:tcPr>
          <w:p w14:paraId="4387AB5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2</w:t>
            </w:r>
            <w:r>
              <w:rPr>
                <w:rFonts w:asciiTheme="majorBidi" w:hAnsiTheme="majorBidi" w:cstheme="majorBidi"/>
                <w:color w:val="000000" w:themeColor="text1"/>
                <w:sz w:val="20"/>
                <w:szCs w:val="20"/>
              </w:rPr>
              <w:t>3</w:t>
            </w:r>
          </w:p>
        </w:tc>
        <w:tc>
          <w:tcPr>
            <w:tcW w:w="0" w:type="auto"/>
          </w:tcPr>
          <w:p w14:paraId="46C44C5E"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Behrooz, R., Kaskaoutis, D., Grivas, G., Mihalopoulos, N., </w:t>
            </w: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021. Human health risk assessment for toxic elements in the extreme ambient dust conditions observed in Sistan, Iran. Chemosphere 262: 127835.</w:t>
            </w:r>
          </w:p>
        </w:tc>
      </w:tr>
      <w:tr w:rsidR="00043F49" w14:paraId="77ADB8FA" w14:textId="77777777">
        <w:tc>
          <w:tcPr>
            <w:tcW w:w="0" w:type="auto"/>
          </w:tcPr>
          <w:p w14:paraId="25FE801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4</w:t>
            </w:r>
          </w:p>
        </w:tc>
        <w:tc>
          <w:tcPr>
            <w:tcW w:w="0" w:type="auto"/>
          </w:tcPr>
          <w:p w14:paraId="2F840B2E"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ao, P., Guo, H., Zhang, Z., Ou, C., Hang, J., Fan, Q., He, C., Wu, B., Feng, Y., Xing, B., 2018. Bioaccessibility and exposure assessment of trace metals from urban airborne particulate matter (PM</w:t>
            </w:r>
            <w:r>
              <w:rPr>
                <w:rFonts w:asciiTheme="majorBidi" w:hAnsiTheme="majorBidi" w:cstheme="majorBidi"/>
                <w:color w:val="000000" w:themeColor="text1"/>
                <w:sz w:val="20"/>
                <w:szCs w:val="20"/>
                <w:vertAlign w:val="subscript"/>
              </w:rPr>
              <w:t>10</w:t>
            </w:r>
            <w:r>
              <w:rPr>
                <w:rFonts w:asciiTheme="majorBidi" w:hAnsiTheme="majorBidi" w:cstheme="majorBidi"/>
                <w:color w:val="000000" w:themeColor="text1"/>
                <w:sz w:val="20"/>
                <w:szCs w:val="20"/>
              </w:rPr>
              <w:t xml:space="preserve"> and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in simulated digestive fluid. Environmental Pollution 242: 1669-1677.</w:t>
            </w:r>
          </w:p>
        </w:tc>
      </w:tr>
      <w:tr w:rsidR="00043F49" w14:paraId="76B2DADA" w14:textId="77777777">
        <w:tc>
          <w:tcPr>
            <w:tcW w:w="0" w:type="auto"/>
          </w:tcPr>
          <w:p w14:paraId="5E9E43C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5</w:t>
            </w:r>
          </w:p>
        </w:tc>
        <w:tc>
          <w:tcPr>
            <w:tcW w:w="0" w:type="auto"/>
          </w:tcPr>
          <w:p w14:paraId="789B3E5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N</w:t>
            </w:r>
            <w:r>
              <w:rPr>
                <w:rFonts w:asciiTheme="majorBidi" w:hAnsiTheme="majorBidi" w:cstheme="majorBidi"/>
                <w:color w:val="000000" w:themeColor="text1"/>
                <w:sz w:val="20"/>
                <w:szCs w:val="20"/>
              </w:rPr>
              <w:t>ie</w:t>
            </w:r>
            <w:r>
              <w:rPr>
                <w:rFonts w:asciiTheme="majorBidi" w:hAnsiTheme="majorBidi" w:cstheme="majorBidi" w:hint="eastAsia"/>
                <w:color w:val="000000" w:themeColor="text1"/>
                <w:sz w:val="20"/>
                <w:szCs w:val="20"/>
              </w:rPr>
              <w:t>,</w:t>
            </w:r>
            <w:r>
              <w:rPr>
                <w:rFonts w:asciiTheme="majorBidi" w:hAnsiTheme="majorBidi" w:cstheme="majorBidi"/>
                <w:color w:val="000000" w:themeColor="text1"/>
                <w:sz w:val="20"/>
                <w:szCs w:val="20"/>
              </w:rPr>
              <w:t xml:space="preserve"> D., Wu, Y., Chen, M., Liu, H., Zhang, K., Ge, P., Yuan, Y., Ge, X., 2018. Bioaccessibility and health risk of trace elements in fine particulate matter in different simulated body fluids. Atmospheric Environment 186: 1-8.</w:t>
            </w:r>
          </w:p>
        </w:tc>
      </w:tr>
      <w:tr w:rsidR="00043F49" w14:paraId="0EC008D6" w14:textId="77777777">
        <w:tc>
          <w:tcPr>
            <w:tcW w:w="0" w:type="auto"/>
          </w:tcPr>
          <w:p w14:paraId="4682E231"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6</w:t>
            </w:r>
          </w:p>
        </w:tc>
        <w:tc>
          <w:tcPr>
            <w:tcW w:w="0" w:type="auto"/>
          </w:tcPr>
          <w:p w14:paraId="262C5B87"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uo, X., Zhao, Z., Xie, J., Luo, J., Chen, Y., Li, H., Jin, L., 2019. Pulmonary bioaccessibility of trace metals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from different megacities simulated by lung fluid extraction and DGT method. Chemosphere 218: 915-921.</w:t>
            </w:r>
          </w:p>
        </w:tc>
      </w:tr>
      <w:tr w:rsidR="00043F49" w14:paraId="409F65D1" w14:textId="77777777">
        <w:tc>
          <w:tcPr>
            <w:tcW w:w="0" w:type="auto"/>
          </w:tcPr>
          <w:p w14:paraId="781FB575"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7</w:t>
            </w:r>
          </w:p>
        </w:tc>
        <w:tc>
          <w:tcPr>
            <w:tcW w:w="0" w:type="auto"/>
          </w:tcPr>
          <w:p w14:paraId="738140C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T</w:t>
            </w:r>
            <w:r>
              <w:rPr>
                <w:rFonts w:asciiTheme="majorBidi" w:hAnsiTheme="majorBidi" w:cstheme="majorBidi"/>
                <w:color w:val="000000" w:themeColor="text1"/>
                <w:sz w:val="20"/>
                <w:szCs w:val="20"/>
              </w:rPr>
              <w:t>ang, Z., Hu, X., Chen, Y., Qiao, J., Lian, H., 2019. Assessment of in vitro inhalation bioaccessibility of airborne particle‒bound potentially toxic elements collected using quartz and PTFE filter. Atmospheric Environment 196: 118–124.</w:t>
            </w:r>
          </w:p>
        </w:tc>
      </w:tr>
      <w:tr w:rsidR="00043F49" w14:paraId="542B9B72" w14:textId="77777777">
        <w:tc>
          <w:tcPr>
            <w:tcW w:w="0" w:type="auto"/>
          </w:tcPr>
          <w:p w14:paraId="3E11D41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8</w:t>
            </w:r>
          </w:p>
        </w:tc>
        <w:tc>
          <w:tcPr>
            <w:tcW w:w="0" w:type="auto"/>
          </w:tcPr>
          <w:p w14:paraId="4D01ABE0"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X., Ouyang, W., Shu, Y., Tian, Y., Feng, Y., Zhang, T., Chen, W., 2019. Incorporating bioaccessibility into health risk assessment of heavy metals in particulate matter originated from different sources of atmospheric pollution. Environmental Pollution 254: 113113.</w:t>
            </w:r>
          </w:p>
        </w:tc>
      </w:tr>
      <w:tr w:rsidR="00043F49" w14:paraId="74E6F54F" w14:textId="77777777">
        <w:tc>
          <w:tcPr>
            <w:tcW w:w="0" w:type="auto"/>
          </w:tcPr>
          <w:p w14:paraId="27F753E9"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9</w:t>
            </w:r>
          </w:p>
        </w:tc>
        <w:tc>
          <w:tcPr>
            <w:tcW w:w="0" w:type="auto"/>
          </w:tcPr>
          <w:p w14:paraId="565ACFE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Polezer, G., Oliveira, A., Potgieter-Vermaak, S., Godoi A., de Souza, R., Yamamoto, C., Andreoli, R., Medeiros, A., Machado, C., dos Santos, E., deAndré, P., Pauliquevis, T., Saldiva, P., Martin, S., Godoi, R., </w:t>
            </w:r>
            <w:r>
              <w:rPr>
                <w:rFonts w:asciiTheme="majorBidi" w:hAnsiTheme="majorBidi" w:cstheme="majorBidi" w:hint="eastAsia"/>
                <w:color w:val="000000" w:themeColor="text1"/>
                <w:sz w:val="20"/>
                <w:szCs w:val="20"/>
              </w:rPr>
              <w:t>2</w:t>
            </w:r>
            <w:r>
              <w:rPr>
                <w:rFonts w:asciiTheme="majorBidi" w:hAnsiTheme="majorBidi" w:cstheme="majorBidi"/>
                <w:color w:val="000000" w:themeColor="text1"/>
                <w:sz w:val="20"/>
                <w:szCs w:val="20"/>
              </w:rPr>
              <w:t>019. The influence that different urban development models has on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elemental and bioaccessible profiles. Scientific Reports 9: 14846.</w:t>
            </w:r>
          </w:p>
        </w:tc>
      </w:tr>
      <w:tr w:rsidR="00043F49" w14:paraId="7B9ABB02" w14:textId="77777777">
        <w:tc>
          <w:tcPr>
            <w:tcW w:w="0" w:type="auto"/>
          </w:tcPr>
          <w:p w14:paraId="5B5DC57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0</w:t>
            </w:r>
          </w:p>
        </w:tc>
        <w:tc>
          <w:tcPr>
            <w:tcW w:w="0" w:type="auto"/>
          </w:tcPr>
          <w:p w14:paraId="376D6A7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 X., Zhang, Y., Ding, Z., Wang, T., Lian, H., Sun, Y., Wu, J., 2012. Bioaccessibility and health risk of arsenic and heavy metals (Cd, Co, Cr, Cu, Ni, Pb, Zn and Mn) in TSP and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in Nanjing, China. Atmospheric Environment 57: 146-152.</w:t>
            </w:r>
          </w:p>
        </w:tc>
      </w:tr>
      <w:tr w:rsidR="00043F49" w14:paraId="382BE631" w14:textId="77777777">
        <w:tc>
          <w:tcPr>
            <w:tcW w:w="0" w:type="auto"/>
          </w:tcPr>
          <w:p w14:paraId="7A05431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1</w:t>
            </w:r>
          </w:p>
        </w:tc>
        <w:tc>
          <w:tcPr>
            <w:tcW w:w="0" w:type="auto"/>
          </w:tcPr>
          <w:p w14:paraId="36ECDEC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uang, R., Cheng, R., Jing, M., Yang, L., Li, Y., Chen, Q., Chen, Y., Yan, J., Lin, C., Wu, Y., Zhang, R., Haddad, I., Prevot, A., O'Dowd, C., Cao, J., 2018. Source-Specific Health Risk Analysis on Particulate Trace Elements: Coal Combustion and Traffic Emission As Major Contributors in Wintertime Beijing. Environmental Science and Technology 52, 10967-10974.</w:t>
            </w:r>
          </w:p>
        </w:tc>
      </w:tr>
      <w:tr w:rsidR="00043F49" w14:paraId="064176EF" w14:textId="77777777">
        <w:tc>
          <w:tcPr>
            <w:tcW w:w="0" w:type="auto"/>
          </w:tcPr>
          <w:p w14:paraId="072AB47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2</w:t>
            </w:r>
          </w:p>
        </w:tc>
        <w:tc>
          <w:tcPr>
            <w:tcW w:w="0" w:type="auto"/>
          </w:tcPr>
          <w:p w14:paraId="0C5A7B86"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G</w:t>
            </w:r>
            <w:r>
              <w:rPr>
                <w:rFonts w:asciiTheme="majorBidi" w:hAnsiTheme="majorBidi" w:cstheme="majorBidi"/>
                <w:color w:val="000000" w:themeColor="text1"/>
                <w:sz w:val="20"/>
                <w:szCs w:val="20"/>
              </w:rPr>
              <w:t xml:space="preserve">ao, J., Tian, H., Cheng, K., Lu, L., Wang, Y., Wu, Y., Zhu, C., Liu, K., Zhou, J., Liu, X., Chen, J., Hao, J., 2014. Seasonal and spatial variation of trace elements in multi-size airborne particulate matters of Beijing, China: Mass concentration, enrichment characteristics, source apportionment, chemical speciation and </w:t>
            </w:r>
            <w:r>
              <w:rPr>
                <w:rFonts w:asciiTheme="majorBidi" w:hAnsiTheme="majorBidi" w:cstheme="majorBidi"/>
                <w:color w:val="000000" w:themeColor="text1"/>
                <w:sz w:val="20"/>
                <w:szCs w:val="20"/>
              </w:rPr>
              <w:lastRenderedPageBreak/>
              <w:t>bioavailability. Atmospheric Environment 99: 257-265.</w:t>
            </w:r>
          </w:p>
        </w:tc>
      </w:tr>
      <w:tr w:rsidR="00043F49" w14:paraId="269EDEC6" w14:textId="77777777">
        <w:tc>
          <w:tcPr>
            <w:tcW w:w="0" w:type="auto"/>
          </w:tcPr>
          <w:p w14:paraId="187C6B9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3</w:t>
            </w:r>
            <w:r>
              <w:rPr>
                <w:rFonts w:asciiTheme="majorBidi" w:hAnsiTheme="majorBidi" w:cstheme="majorBidi"/>
                <w:color w:val="000000" w:themeColor="text1"/>
                <w:sz w:val="20"/>
                <w:szCs w:val="20"/>
              </w:rPr>
              <w:t>3</w:t>
            </w:r>
          </w:p>
        </w:tc>
        <w:tc>
          <w:tcPr>
            <w:tcW w:w="0" w:type="auto"/>
          </w:tcPr>
          <w:p w14:paraId="7838659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Fang, H., Chen, J., Duan, J., Chen, J., Lin, Q., Chen, S., 2015. Speciation Characteristics and Bioavailability of Heavy Metal Elements in PM</w:t>
            </w:r>
            <w:r>
              <w:rPr>
                <w:rFonts w:asciiTheme="majorBidi" w:hAnsiTheme="majorBidi" w:cstheme="majorBidi"/>
                <w:color w:val="000000" w:themeColor="text1"/>
                <w:sz w:val="20"/>
                <w:szCs w:val="20"/>
                <w:vertAlign w:val="subscript"/>
              </w:rPr>
              <w:t>2.5</w:t>
            </w:r>
            <w:r>
              <w:rPr>
                <w:rFonts w:asciiTheme="majorBidi" w:hAnsiTheme="majorBidi" w:cstheme="majorBidi"/>
                <w:color w:val="000000" w:themeColor="text1"/>
                <w:sz w:val="20"/>
                <w:szCs w:val="20"/>
              </w:rPr>
              <w:t xml:space="preserve"> and PM</w:t>
            </w:r>
            <w:r>
              <w:rPr>
                <w:rFonts w:asciiTheme="majorBidi" w:hAnsiTheme="majorBidi" w:cstheme="majorBidi"/>
                <w:color w:val="000000" w:themeColor="text1"/>
                <w:sz w:val="20"/>
                <w:szCs w:val="20"/>
                <w:vertAlign w:val="subscript"/>
              </w:rPr>
              <w:t>10</w:t>
            </w:r>
            <w:r>
              <w:rPr>
                <w:rFonts w:asciiTheme="majorBidi" w:hAnsiTheme="majorBidi" w:cstheme="majorBidi"/>
                <w:color w:val="000000" w:themeColor="text1"/>
                <w:sz w:val="20"/>
                <w:szCs w:val="20"/>
              </w:rPr>
              <w:t xml:space="preserve"> in the Suburbs of Xiamen. Ecology and Environmental Sciences 24(11): 1872-1877. (In Chinese)</w:t>
            </w:r>
          </w:p>
        </w:tc>
      </w:tr>
      <w:tr w:rsidR="00043F49" w14:paraId="3DD85494" w14:textId="77777777">
        <w:tc>
          <w:tcPr>
            <w:tcW w:w="0" w:type="auto"/>
          </w:tcPr>
          <w:p w14:paraId="37D5285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4</w:t>
            </w:r>
          </w:p>
        </w:tc>
        <w:tc>
          <w:tcPr>
            <w:tcW w:w="0" w:type="auto"/>
          </w:tcPr>
          <w:p w14:paraId="0778BC31"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J</w:t>
            </w:r>
            <w:r>
              <w:rPr>
                <w:rFonts w:asciiTheme="majorBidi" w:hAnsiTheme="majorBidi" w:cstheme="majorBidi"/>
                <w:color w:val="000000" w:themeColor="text1"/>
                <w:sz w:val="20"/>
                <w:szCs w:val="20"/>
              </w:rPr>
              <w:t xml:space="preserve">iang, Y., </w:t>
            </w:r>
            <w:r>
              <w:rPr>
                <w:rFonts w:asciiTheme="majorBidi" w:hAnsiTheme="majorBidi" w:cstheme="majorBidi" w:hint="eastAsia"/>
                <w:color w:val="000000" w:themeColor="text1"/>
                <w:sz w:val="20"/>
                <w:szCs w:val="20"/>
              </w:rPr>
              <w:t>S</w:t>
            </w:r>
            <w:r>
              <w:rPr>
                <w:rFonts w:asciiTheme="majorBidi" w:hAnsiTheme="majorBidi" w:cstheme="majorBidi"/>
                <w:color w:val="000000" w:themeColor="text1"/>
                <w:sz w:val="20"/>
                <w:szCs w:val="20"/>
              </w:rPr>
              <w:t>iMa,</w:t>
            </w:r>
            <w:r>
              <w:rPr>
                <w:rFonts w:asciiTheme="majorBidi" w:hAnsiTheme="majorBidi" w:cstheme="majorBidi" w:hint="eastAsia"/>
                <w:color w:val="000000" w:themeColor="text1"/>
                <w:sz w:val="20"/>
                <w:szCs w:val="20"/>
              </w:rPr>
              <w:t xml:space="preserve"> J</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 xml:space="preserve">hao, </w:t>
            </w: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 Xu, X., Cao, X., 2016.</w:t>
            </w:r>
            <w:r>
              <w:rPr>
                <w:rFonts w:asciiTheme="majorBidi" w:hAnsiTheme="majorBidi" w:cstheme="majorBidi" w:hint="eastAsia"/>
                <w:color w:val="000000" w:themeColor="text1"/>
                <w:sz w:val="20"/>
                <w:szCs w:val="20"/>
              </w:rPr>
              <w:t xml:space="preserve"> Bioaccessibility and health risk of heavy metals in particulate matters from residential and industrial</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areas in Shanghai</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China</w:t>
            </w:r>
            <w:r>
              <w:rPr>
                <w:rFonts w:asciiTheme="majorBidi" w:hAnsiTheme="majorBidi" w:cstheme="majorBidi"/>
                <w:color w:val="000000" w:themeColor="text1"/>
                <w:sz w:val="20"/>
                <w:szCs w:val="20"/>
              </w:rPr>
              <w:t>. E</w:t>
            </w:r>
            <w:r>
              <w:rPr>
                <w:rFonts w:asciiTheme="majorBidi" w:hAnsiTheme="majorBidi" w:cstheme="majorBidi" w:hint="eastAsia"/>
                <w:color w:val="000000" w:themeColor="text1"/>
                <w:sz w:val="20"/>
                <w:szCs w:val="20"/>
              </w:rPr>
              <w:t>nvironmental Chemistry 35(7): 1337</w:t>
            </w:r>
            <w:r>
              <w:rPr>
                <w:rFonts w:asciiTheme="majorBidi" w:hAnsiTheme="majorBidi" w:cstheme="majorBidi"/>
                <w:color w:val="000000" w:themeColor="text1"/>
                <w:sz w:val="20"/>
                <w:szCs w:val="20"/>
              </w:rPr>
              <w:t>-</w:t>
            </w:r>
            <w:r>
              <w:rPr>
                <w:rFonts w:asciiTheme="majorBidi" w:hAnsiTheme="majorBidi" w:cstheme="majorBidi" w:hint="eastAsia"/>
                <w:color w:val="000000" w:themeColor="text1"/>
                <w:sz w:val="20"/>
                <w:szCs w:val="20"/>
              </w:rPr>
              <w:t>1345</w:t>
            </w:r>
            <w:r>
              <w:rPr>
                <w:rFonts w:asciiTheme="majorBidi" w:hAnsiTheme="majorBidi" w:cstheme="majorBidi"/>
                <w:color w:val="000000" w:themeColor="text1"/>
                <w:sz w:val="20"/>
                <w:szCs w:val="20"/>
              </w:rPr>
              <w:t>. (In Chinese)</w:t>
            </w:r>
          </w:p>
        </w:tc>
      </w:tr>
      <w:tr w:rsidR="00043F49" w14:paraId="5C6020B0" w14:textId="77777777">
        <w:tc>
          <w:tcPr>
            <w:tcW w:w="0" w:type="auto"/>
          </w:tcPr>
          <w:p w14:paraId="2F31951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5</w:t>
            </w:r>
          </w:p>
        </w:tc>
        <w:tc>
          <w:tcPr>
            <w:tcW w:w="0" w:type="auto"/>
          </w:tcPr>
          <w:p w14:paraId="1C329A8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P</w:t>
            </w:r>
            <w:r>
              <w:rPr>
                <w:rFonts w:asciiTheme="majorBidi" w:hAnsiTheme="majorBidi" w:cstheme="majorBidi"/>
                <w:color w:val="000000" w:themeColor="text1"/>
                <w:sz w:val="20"/>
                <w:szCs w:val="20"/>
              </w:rPr>
              <w:t>an, W., Kang, Y., Li, N., Zeng, L., Zhang, Q., Wu, J., Lu, P., Luo, J., Guo, X., 2016. Bioaccessibility of heavy metals in vegetables and its association with the physicochemical characteristics. Environmental Science and Pollution Research 23: 5335-5341.</w:t>
            </w:r>
          </w:p>
        </w:tc>
      </w:tr>
      <w:tr w:rsidR="00043F49" w14:paraId="19D538C5" w14:textId="77777777">
        <w:tc>
          <w:tcPr>
            <w:tcW w:w="0" w:type="auto"/>
          </w:tcPr>
          <w:p w14:paraId="6ED2D76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6</w:t>
            </w:r>
          </w:p>
        </w:tc>
        <w:tc>
          <w:tcPr>
            <w:tcW w:w="0" w:type="auto"/>
          </w:tcPr>
          <w:p w14:paraId="299D7D1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F</w:t>
            </w:r>
            <w:r>
              <w:rPr>
                <w:rFonts w:asciiTheme="majorBidi" w:hAnsiTheme="majorBidi" w:cstheme="majorBidi"/>
                <w:color w:val="000000" w:themeColor="text1"/>
                <w:sz w:val="20"/>
                <w:szCs w:val="20"/>
              </w:rPr>
              <w:t>u, J., Cui, Y., 2013. In vitro digestion/Caco-2 cell model to estimate cadmium and lead bioaccessibility/bioavailability in two vegetables: The influence of cooking and additives. Food and Chemical Toxicology 59: 215-221.</w:t>
            </w:r>
          </w:p>
        </w:tc>
      </w:tr>
      <w:tr w:rsidR="00043F49" w14:paraId="548FF9A2" w14:textId="77777777">
        <w:tc>
          <w:tcPr>
            <w:tcW w:w="0" w:type="auto"/>
          </w:tcPr>
          <w:p w14:paraId="23EFADB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7</w:t>
            </w:r>
          </w:p>
        </w:tc>
        <w:tc>
          <w:tcPr>
            <w:tcW w:w="0" w:type="auto"/>
          </w:tcPr>
          <w:p w14:paraId="3CE91323"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u, J., Wu, F., Wu, S., Cao, Z., Lin, X., Wong, M., 2013. Bioaccessibility, dietary exposure and human risk assessment of heavy metals from market vegetables in Hong Kong revealed with an in vitro gastrointestinal model. Chemosphere 91</w:t>
            </w:r>
            <w:r>
              <w:rPr>
                <w:rFonts w:asciiTheme="majorBidi" w:hAnsiTheme="majorBidi" w:cstheme="majorBidi" w:hint="eastAsia"/>
                <w:color w:val="000000" w:themeColor="text1"/>
                <w:sz w:val="20"/>
                <w:szCs w:val="20"/>
              </w:rPr>
              <w:t>:</w:t>
            </w:r>
            <w:r>
              <w:rPr>
                <w:rFonts w:asciiTheme="majorBidi" w:hAnsiTheme="majorBidi" w:cstheme="majorBidi"/>
                <w:color w:val="000000" w:themeColor="text1"/>
                <w:sz w:val="20"/>
                <w:szCs w:val="20"/>
              </w:rPr>
              <w:t xml:space="preserve"> 455-461.</w:t>
            </w:r>
          </w:p>
        </w:tc>
      </w:tr>
      <w:tr w:rsidR="00043F49" w14:paraId="4221695B" w14:textId="77777777">
        <w:tc>
          <w:tcPr>
            <w:tcW w:w="0" w:type="auto"/>
          </w:tcPr>
          <w:p w14:paraId="3268A67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8</w:t>
            </w:r>
          </w:p>
        </w:tc>
        <w:tc>
          <w:tcPr>
            <w:tcW w:w="0" w:type="auto"/>
          </w:tcPr>
          <w:p w14:paraId="73C75C00"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in, N., Cai, X., Chen, X., Du, H., Xu, J., Wang, L., Sun, G., Cui, Y., 2017. Investigation of bioaccessibility of Cu, Fe, Mn, and Zn in market vegetables in the colon using PBET combined with SHIME. Scientific Reports 7: 17578.</w:t>
            </w:r>
          </w:p>
        </w:tc>
      </w:tr>
      <w:tr w:rsidR="00043F49" w14:paraId="4D2B7ACD" w14:textId="77777777">
        <w:tc>
          <w:tcPr>
            <w:tcW w:w="0" w:type="auto"/>
          </w:tcPr>
          <w:p w14:paraId="16D39D8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r>
              <w:rPr>
                <w:rFonts w:asciiTheme="majorBidi" w:hAnsiTheme="majorBidi" w:cstheme="majorBidi"/>
                <w:color w:val="000000" w:themeColor="text1"/>
                <w:sz w:val="20"/>
                <w:szCs w:val="20"/>
              </w:rPr>
              <w:t>9</w:t>
            </w:r>
          </w:p>
        </w:tc>
        <w:tc>
          <w:tcPr>
            <w:tcW w:w="0" w:type="auto"/>
          </w:tcPr>
          <w:p w14:paraId="4F500DBA"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C</w:t>
            </w:r>
            <w:r>
              <w:rPr>
                <w:rFonts w:asciiTheme="majorBidi" w:hAnsiTheme="majorBidi" w:cstheme="majorBidi"/>
                <w:color w:val="000000" w:themeColor="text1"/>
                <w:sz w:val="20"/>
                <w:szCs w:val="20"/>
              </w:rPr>
              <w:t>ai, X., Chen, X., Yin, N., D., Sun, G., Wang, L., Xu, Y., Chen, Y., Cui, Y., 2017. Estimation of the bioaccessibility and bioavailability of Fe, Mn, Cu, and Zn in Chinese vegetables using the in vitro digestion/Caco-2 cell model: the influence of gut microbiota. Food Function 8: 4592.</w:t>
            </w:r>
          </w:p>
        </w:tc>
      </w:tr>
      <w:tr w:rsidR="00043F49" w14:paraId="7356965C" w14:textId="77777777">
        <w:tc>
          <w:tcPr>
            <w:tcW w:w="0" w:type="auto"/>
          </w:tcPr>
          <w:p w14:paraId="1812E956"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0</w:t>
            </w:r>
          </w:p>
        </w:tc>
        <w:tc>
          <w:tcPr>
            <w:tcW w:w="0" w:type="auto"/>
          </w:tcPr>
          <w:p w14:paraId="288E3A1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 xml:space="preserve">ang, P., Yin, N., Cai, X., Du, H., Li, Z., Sun, G., Cui, Y., 2019. Variability of chromium bioaccessibility and speciation in vegetables: The influence of </w:t>
            </w:r>
            <w:r>
              <w:rPr>
                <w:rFonts w:asciiTheme="majorBidi" w:hAnsiTheme="majorBidi" w:cstheme="majorBidi"/>
                <w:i/>
                <w:iCs/>
                <w:color w:val="000000" w:themeColor="text1"/>
                <w:sz w:val="20"/>
                <w:szCs w:val="20"/>
              </w:rPr>
              <w:t>in vitro</w:t>
            </w:r>
            <w:r>
              <w:rPr>
                <w:rFonts w:asciiTheme="majorBidi" w:hAnsiTheme="majorBidi" w:cstheme="majorBidi"/>
                <w:color w:val="000000" w:themeColor="text1"/>
                <w:sz w:val="20"/>
                <w:szCs w:val="20"/>
              </w:rPr>
              <w:t xml:space="preserve"> methods, gut microbiota and vegetable species. Food Chemistry 277: 347–352.</w:t>
            </w:r>
          </w:p>
        </w:tc>
      </w:tr>
      <w:tr w:rsidR="00043F49" w14:paraId="77AA75AB" w14:textId="77777777">
        <w:tc>
          <w:tcPr>
            <w:tcW w:w="0" w:type="auto"/>
          </w:tcPr>
          <w:p w14:paraId="5BD32EB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1</w:t>
            </w:r>
          </w:p>
        </w:tc>
        <w:tc>
          <w:tcPr>
            <w:tcW w:w="0" w:type="auto"/>
          </w:tcPr>
          <w:p w14:paraId="4FB541C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M., Qin, Y., Wang, C., Wang, K., Deng, Z., X., W., Xiang, P., Ma, L., 2021. Total and bioaccessible heavy metals in cabbage</w:t>
            </w:r>
            <w:r>
              <w:rPr>
                <w:rFonts w:asciiTheme="majorBidi" w:hAnsiTheme="majorBidi" w:cstheme="majorBidi" w:hint="eastAsia"/>
                <w:color w:val="000000" w:themeColor="text1"/>
                <w:sz w:val="20"/>
                <w:szCs w:val="20"/>
              </w:rPr>
              <w:t xml:space="preserve"> </w:t>
            </w:r>
            <w:r>
              <w:rPr>
                <w:rFonts w:asciiTheme="majorBidi" w:hAnsiTheme="majorBidi" w:cstheme="majorBidi"/>
                <w:color w:val="000000" w:themeColor="text1"/>
                <w:sz w:val="20"/>
                <w:szCs w:val="20"/>
              </w:rPr>
              <w:t>from major producing cities in Southwest China: health risk assessment and cytotoxicity. RSC Advances 11: 12306.</w:t>
            </w:r>
          </w:p>
        </w:tc>
      </w:tr>
      <w:tr w:rsidR="00043F49" w14:paraId="7953B66E" w14:textId="77777777">
        <w:tc>
          <w:tcPr>
            <w:tcW w:w="0" w:type="auto"/>
          </w:tcPr>
          <w:p w14:paraId="6171084C"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2</w:t>
            </w:r>
          </w:p>
        </w:tc>
        <w:tc>
          <w:tcPr>
            <w:tcW w:w="0" w:type="auto"/>
          </w:tcPr>
          <w:p w14:paraId="48582A18"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heng, X., Zhang, Z., Chen, J., Liang, H., Chen, X., Qin, Y., Shohag, M., Wei, Y., Gu, M., 2022. Comparative evaluation of in vivo relative bioavailability and in vitro bioaccessibility of arsenic in leafy vegetables and its implication in human exposure assessment. Journal of Hazardous Materials 423: 126909.</w:t>
            </w:r>
          </w:p>
        </w:tc>
      </w:tr>
      <w:tr w:rsidR="00043F49" w14:paraId="72332F55" w14:textId="77777777">
        <w:tc>
          <w:tcPr>
            <w:tcW w:w="0" w:type="auto"/>
          </w:tcPr>
          <w:p w14:paraId="1B8A806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3</w:t>
            </w:r>
          </w:p>
        </w:tc>
        <w:tc>
          <w:tcPr>
            <w:tcW w:w="0" w:type="auto"/>
          </w:tcPr>
          <w:p w14:paraId="2B6C3B7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huang, P., Li, Y., Zou, B., Su, F., Zhang, C., Mo, H., Li, Z., 2016. Oral bioaccessibility and human exposure assessment of cadmium and lead in market vegetables in the Pearl River Delta, South China. Environmental Science and Pollution Research 23: 24402-24410.</w:t>
            </w:r>
          </w:p>
        </w:tc>
      </w:tr>
      <w:tr w:rsidR="00043F49" w14:paraId="55A9554F" w14:textId="77777777">
        <w:tc>
          <w:tcPr>
            <w:tcW w:w="0" w:type="auto"/>
          </w:tcPr>
          <w:p w14:paraId="30ABB290"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4</w:t>
            </w:r>
            <w:r>
              <w:rPr>
                <w:rFonts w:asciiTheme="majorBidi" w:hAnsiTheme="majorBidi" w:cstheme="majorBidi"/>
                <w:color w:val="000000" w:themeColor="text1"/>
                <w:sz w:val="20"/>
                <w:szCs w:val="20"/>
              </w:rPr>
              <w:t>4</w:t>
            </w:r>
          </w:p>
        </w:tc>
        <w:tc>
          <w:tcPr>
            <w:tcW w:w="0" w:type="auto"/>
          </w:tcPr>
          <w:p w14:paraId="45EDFA54"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T., Song, Y., Yuan, X., Li, J., Ji, J., Fu, X., Zhang, Q., Guo, S., 2018. Incorporating Bioaccessibility into Human Health Risk Assessment of Heavy Metals in Rice (</w:t>
            </w:r>
            <w:r>
              <w:rPr>
                <w:rFonts w:asciiTheme="majorBidi" w:hAnsiTheme="majorBidi" w:cstheme="majorBidi"/>
                <w:i/>
                <w:iCs/>
                <w:color w:val="000000" w:themeColor="text1"/>
                <w:sz w:val="20"/>
                <w:szCs w:val="20"/>
              </w:rPr>
              <w:t>Oryza sativa</w:t>
            </w:r>
            <w:r>
              <w:rPr>
                <w:rFonts w:asciiTheme="majorBidi" w:hAnsiTheme="majorBidi" w:cstheme="majorBidi"/>
                <w:color w:val="000000" w:themeColor="text1"/>
                <w:sz w:val="20"/>
                <w:szCs w:val="20"/>
              </w:rPr>
              <w:t xml:space="preserve"> L.): A Probabilistic-Based Analysis. Journal of Agricultural and Food Chemistry 66: 5683-5690.</w:t>
            </w:r>
          </w:p>
        </w:tc>
      </w:tr>
      <w:tr w:rsidR="00043F49" w14:paraId="75BEE2AD" w14:textId="77777777">
        <w:tc>
          <w:tcPr>
            <w:tcW w:w="0" w:type="auto"/>
          </w:tcPr>
          <w:p w14:paraId="5C3AAE0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5</w:t>
            </w:r>
          </w:p>
        </w:tc>
        <w:tc>
          <w:tcPr>
            <w:tcW w:w="0" w:type="auto"/>
          </w:tcPr>
          <w:p w14:paraId="52327BA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O</w:t>
            </w:r>
            <w:r>
              <w:rPr>
                <w:rFonts w:asciiTheme="majorBidi" w:hAnsiTheme="majorBidi" w:cstheme="majorBidi"/>
                <w:color w:val="000000" w:themeColor="text1"/>
                <w:sz w:val="20"/>
                <w:szCs w:val="20"/>
              </w:rPr>
              <w:t>rtiz, M., Cámara-Martos, F., 2018. Bioaccessibility and total content of iron, zinc, copper, and manganese in rice varieties (</w:t>
            </w:r>
            <w:r>
              <w:rPr>
                <w:rFonts w:asciiTheme="majorBidi" w:hAnsiTheme="majorBidi" w:cstheme="majorBidi"/>
                <w:i/>
                <w:iCs/>
                <w:color w:val="000000" w:themeColor="text1"/>
                <w:sz w:val="20"/>
                <w:szCs w:val="20"/>
              </w:rPr>
              <w:t xml:space="preserve">Oryza sativa </w:t>
            </w:r>
            <w:r>
              <w:rPr>
                <w:rFonts w:asciiTheme="majorBidi" w:hAnsiTheme="majorBidi" w:cstheme="majorBidi"/>
                <w:color w:val="000000" w:themeColor="text1"/>
                <w:sz w:val="20"/>
                <w:szCs w:val="20"/>
              </w:rPr>
              <w:t>L.): A probabilistic assessment to evaluate their contribution to dietary reference intake. Cereal Chemistry 95(6): 790-799.</w:t>
            </w:r>
          </w:p>
        </w:tc>
      </w:tr>
      <w:tr w:rsidR="00043F49" w14:paraId="300D5A36" w14:textId="77777777">
        <w:tc>
          <w:tcPr>
            <w:tcW w:w="0" w:type="auto"/>
          </w:tcPr>
          <w:p w14:paraId="370AF059"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6</w:t>
            </w:r>
          </w:p>
        </w:tc>
        <w:tc>
          <w:tcPr>
            <w:tcW w:w="0" w:type="auto"/>
          </w:tcPr>
          <w:p w14:paraId="39B35695"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u, Z., Feng, X., Li, P., Lin, C., Qiu, G., Wang, X., Zhao, H., Dong, H., 2018. Comparison of in vitro digestion methods for determining bioaccessibility of Hg in rice of China. Journal of Environmental Science 68: 185-193.</w:t>
            </w:r>
          </w:p>
        </w:tc>
      </w:tr>
      <w:tr w:rsidR="00043F49" w14:paraId="528BD763" w14:textId="77777777">
        <w:tc>
          <w:tcPr>
            <w:tcW w:w="0" w:type="auto"/>
          </w:tcPr>
          <w:p w14:paraId="0B4A996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7</w:t>
            </w:r>
          </w:p>
        </w:tc>
        <w:tc>
          <w:tcPr>
            <w:tcW w:w="0" w:type="auto"/>
          </w:tcPr>
          <w:p w14:paraId="47EC6281"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iao, W., Wang, G., Li, K., Zhao, W., Wu, Y., 2018. Effect of Cooking on Speciation and In Vitro Bioaccessibility of Hg and As from Rice, Using Ordinary and Pressure Cookers. Biological Trace Element Research 187: 329-339.</w:t>
            </w:r>
          </w:p>
        </w:tc>
      </w:tr>
      <w:tr w:rsidR="00043F49" w14:paraId="0A7E2EDD" w14:textId="77777777">
        <w:tc>
          <w:tcPr>
            <w:tcW w:w="0" w:type="auto"/>
          </w:tcPr>
          <w:p w14:paraId="59D2D9B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8</w:t>
            </w:r>
          </w:p>
        </w:tc>
        <w:tc>
          <w:tcPr>
            <w:tcW w:w="0" w:type="auto"/>
          </w:tcPr>
          <w:p w14:paraId="08F718C7"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in, H., Santa-Rios A., Barst, B., Basu, N., Bayen, S., 2019. Occurrence and bioaccessibility of mercury in commercial rice samples in Montreal (Canada). Food and Chemical Toxicology 126: 72-78.</w:t>
            </w:r>
          </w:p>
        </w:tc>
      </w:tr>
      <w:tr w:rsidR="00043F49" w14:paraId="3FF30019" w14:textId="77777777">
        <w:tc>
          <w:tcPr>
            <w:tcW w:w="0" w:type="auto"/>
          </w:tcPr>
          <w:p w14:paraId="25D879F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r>
              <w:rPr>
                <w:rFonts w:asciiTheme="majorBidi" w:hAnsiTheme="majorBidi" w:cstheme="majorBidi"/>
                <w:color w:val="000000" w:themeColor="text1"/>
                <w:sz w:val="20"/>
                <w:szCs w:val="20"/>
              </w:rPr>
              <w:t>9</w:t>
            </w:r>
          </w:p>
        </w:tc>
        <w:tc>
          <w:tcPr>
            <w:tcW w:w="0" w:type="auto"/>
          </w:tcPr>
          <w:p w14:paraId="7CCC2D4E"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B., Ai, S., Zhang, W., Huang, D., Zhang, Y., 2017. Assessment of the bioavailability, bioaccessibility and transfer of heavy metals in the soil-grain-human systems near a mining and smelting area in NW China. Science of the Total Environment 609: 822-829.</w:t>
            </w:r>
          </w:p>
        </w:tc>
      </w:tr>
      <w:tr w:rsidR="00043F49" w14:paraId="18D52BA4" w14:textId="77777777">
        <w:tc>
          <w:tcPr>
            <w:tcW w:w="0" w:type="auto"/>
          </w:tcPr>
          <w:p w14:paraId="6857952C"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0</w:t>
            </w:r>
          </w:p>
        </w:tc>
        <w:tc>
          <w:tcPr>
            <w:tcW w:w="0" w:type="auto"/>
          </w:tcPr>
          <w:p w14:paraId="0302ADE0"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e, M., Ke, C., Tian, L., Li, H., 2016. Bioaccessibility and Health Risk Assessment of Cu, Cd, and Zn in "Colored"’ Oysters. Archives of Environmental Contamination and Toxicology 70: 595-606.</w:t>
            </w:r>
          </w:p>
        </w:tc>
      </w:tr>
      <w:tr w:rsidR="00043F49" w14:paraId="06A33E78" w14:textId="77777777">
        <w:tc>
          <w:tcPr>
            <w:tcW w:w="0" w:type="auto"/>
          </w:tcPr>
          <w:p w14:paraId="44F7EE1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1</w:t>
            </w:r>
          </w:p>
        </w:tc>
        <w:tc>
          <w:tcPr>
            <w:tcW w:w="0" w:type="auto"/>
          </w:tcPr>
          <w:p w14:paraId="767521E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Martins, C., Krum, B., Queiro, L., Tinkov, A., Skalny, A., Bowman, A., Aschner, M</w:t>
            </w:r>
            <w:r>
              <w:rPr>
                <w:rFonts w:asciiTheme="majorBidi" w:hAnsiTheme="majorBidi" w:cstheme="majorBidi" w:hint="eastAsia"/>
                <w:color w:val="000000" w:themeColor="text1"/>
                <w:sz w:val="20"/>
                <w:szCs w:val="20"/>
              </w:rPr>
              <w:t>.</w:t>
            </w:r>
            <w:r>
              <w:rPr>
                <w:rFonts w:asciiTheme="majorBidi" w:hAnsiTheme="majorBidi" w:cstheme="majorBidi"/>
                <w:color w:val="000000" w:themeColor="text1"/>
                <w:sz w:val="20"/>
                <w:szCs w:val="20"/>
              </w:rPr>
              <w:t>, 2020. Manganese in the Diet-Bioaccessibility, Adequate Intake, and Neurotoxicological Effects. Journal of Agricultural and Food Chemistry 68: 12893-12903.</w:t>
            </w:r>
          </w:p>
        </w:tc>
      </w:tr>
      <w:tr w:rsidR="00043F49" w14:paraId="5338DF20" w14:textId="77777777">
        <w:tc>
          <w:tcPr>
            <w:tcW w:w="0" w:type="auto"/>
          </w:tcPr>
          <w:p w14:paraId="3FA02C1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2</w:t>
            </w:r>
          </w:p>
        </w:tc>
        <w:tc>
          <w:tcPr>
            <w:tcW w:w="0" w:type="auto"/>
          </w:tcPr>
          <w:p w14:paraId="7EC7D4BA"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agury, G., Bedeaux, C., Welfringer, B., 2009. Influence of Mercury Speciation and Fractionation on Bioaccessibility in Soils. Archives of Environmental Contamination and Toxicology 56: 371-379.</w:t>
            </w:r>
          </w:p>
        </w:tc>
      </w:tr>
      <w:tr w:rsidR="00043F49" w14:paraId="0E395BCA" w14:textId="77777777">
        <w:tc>
          <w:tcPr>
            <w:tcW w:w="0" w:type="auto"/>
          </w:tcPr>
          <w:p w14:paraId="47D4BCB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3</w:t>
            </w:r>
          </w:p>
        </w:tc>
        <w:tc>
          <w:tcPr>
            <w:tcW w:w="0" w:type="auto"/>
          </w:tcPr>
          <w:p w14:paraId="4757CBFC"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Rodrigues, S., Coelho, C., Cruz, N., Monteiro, R., Henriquesa, B., Duarte, A., Römkens, P., Pereira, E., 2014. Oral bioaccessibility and human exposure to anthropogenic and geogenic mercury in urban, industrial and mining areas. Science of The Total Environment 496: 649-661.</w:t>
            </w:r>
          </w:p>
        </w:tc>
      </w:tr>
      <w:tr w:rsidR="00043F49" w14:paraId="1CAFDFEA" w14:textId="77777777">
        <w:tc>
          <w:tcPr>
            <w:tcW w:w="0" w:type="auto"/>
          </w:tcPr>
          <w:p w14:paraId="498314AC"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4</w:t>
            </w:r>
          </w:p>
        </w:tc>
        <w:tc>
          <w:tcPr>
            <w:tcW w:w="0" w:type="auto"/>
          </w:tcPr>
          <w:p w14:paraId="44BCDE7B"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Broadway, A., Cave, M., Wragg, J., Fordyce, F., Bewley, R., Graham, M., Ngwenya, B., Farmer, J., 2010. Determination of the bioaccessibility of chromium in Glasgow soil and the implications for human health risk assessment. Science of the Total Environment 409: 267–277.</w:t>
            </w:r>
          </w:p>
        </w:tc>
      </w:tr>
      <w:tr w:rsidR="00043F49" w14:paraId="35467CAE" w14:textId="77777777">
        <w:tc>
          <w:tcPr>
            <w:tcW w:w="0" w:type="auto"/>
          </w:tcPr>
          <w:p w14:paraId="222DD59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5</w:t>
            </w:r>
          </w:p>
        </w:tc>
        <w:tc>
          <w:tcPr>
            <w:tcW w:w="0" w:type="auto"/>
          </w:tcPr>
          <w:p w14:paraId="53671968"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 xml:space="preserve">hu, X., Yang, F., Wei, C., 2015. Factors influencing the heavy metal bioaccessibility in soils were site dependent from different geographical locations. Environmental </w:t>
            </w:r>
            <w:r>
              <w:rPr>
                <w:rFonts w:asciiTheme="majorBidi" w:hAnsiTheme="majorBidi" w:cstheme="majorBidi"/>
                <w:color w:val="000000" w:themeColor="text1"/>
                <w:sz w:val="20"/>
                <w:szCs w:val="20"/>
              </w:rPr>
              <w:lastRenderedPageBreak/>
              <w:t>Science and Pollution Research 22: 13939-13949.</w:t>
            </w:r>
          </w:p>
        </w:tc>
      </w:tr>
      <w:tr w:rsidR="00043F49" w14:paraId="5D9DD549" w14:textId="77777777">
        <w:tc>
          <w:tcPr>
            <w:tcW w:w="0" w:type="auto"/>
          </w:tcPr>
          <w:p w14:paraId="6C29E72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5</w:t>
            </w:r>
            <w:r>
              <w:rPr>
                <w:rFonts w:asciiTheme="majorBidi" w:hAnsiTheme="majorBidi" w:cstheme="majorBidi"/>
                <w:color w:val="000000" w:themeColor="text1"/>
                <w:sz w:val="20"/>
                <w:szCs w:val="20"/>
              </w:rPr>
              <w:t>6</w:t>
            </w:r>
          </w:p>
        </w:tc>
        <w:tc>
          <w:tcPr>
            <w:tcW w:w="0" w:type="auto"/>
          </w:tcPr>
          <w:p w14:paraId="1E95384E"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H</w:t>
            </w:r>
            <w:r>
              <w:rPr>
                <w:rFonts w:asciiTheme="majorBidi" w:hAnsiTheme="majorBidi" w:cstheme="majorBidi"/>
                <w:color w:val="000000" w:themeColor="text1"/>
                <w:sz w:val="20"/>
                <w:szCs w:val="20"/>
              </w:rPr>
              <w:t>e, M., Wang, W., 2013. Bioaccessibility of 12 trace elements in marine molluscs. Food and Chemical Toxicology 55: 627–636.</w:t>
            </w:r>
          </w:p>
        </w:tc>
      </w:tr>
      <w:tr w:rsidR="00043F49" w14:paraId="52C6EB9A" w14:textId="77777777">
        <w:tc>
          <w:tcPr>
            <w:tcW w:w="0" w:type="auto"/>
          </w:tcPr>
          <w:p w14:paraId="0B0C404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7</w:t>
            </w:r>
          </w:p>
        </w:tc>
        <w:tc>
          <w:tcPr>
            <w:tcW w:w="0" w:type="auto"/>
          </w:tcPr>
          <w:p w14:paraId="700A360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aird, B., Chan, H., 2013. Bioaccessibility of metals in fish, shellfish, wild game, and seaweed harvested in British Columbia, Canada. Food and Chemical Toxicology 58: 381–387.</w:t>
            </w:r>
          </w:p>
        </w:tc>
      </w:tr>
      <w:tr w:rsidR="00043F49" w14:paraId="43729413" w14:textId="77777777">
        <w:tc>
          <w:tcPr>
            <w:tcW w:w="0" w:type="auto"/>
          </w:tcPr>
          <w:p w14:paraId="34495CF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8</w:t>
            </w:r>
          </w:p>
        </w:tc>
        <w:tc>
          <w:tcPr>
            <w:tcW w:w="0" w:type="auto"/>
          </w:tcPr>
          <w:p w14:paraId="7D8070C1"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Cabañero, A., Madrid, Y., Cámara, C., 2004. Selenium and mercury bioaccessibility in fish samples: an in vitro digestion method. Analytica Chimica Acta 526(1): 51-61.</w:t>
            </w:r>
          </w:p>
        </w:tc>
      </w:tr>
      <w:tr w:rsidR="00043F49" w14:paraId="57C884C4" w14:textId="77777777">
        <w:tc>
          <w:tcPr>
            <w:tcW w:w="0" w:type="auto"/>
          </w:tcPr>
          <w:p w14:paraId="1DA76F6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r>
              <w:rPr>
                <w:rFonts w:asciiTheme="majorBidi" w:hAnsiTheme="majorBidi" w:cstheme="majorBidi"/>
                <w:color w:val="000000" w:themeColor="text1"/>
                <w:sz w:val="20"/>
                <w:szCs w:val="20"/>
              </w:rPr>
              <w:t>9</w:t>
            </w:r>
          </w:p>
        </w:tc>
        <w:tc>
          <w:tcPr>
            <w:tcW w:w="0" w:type="auto"/>
          </w:tcPr>
          <w:p w14:paraId="3B69755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Alves, R., Maulvault, A., Barbosa, V., Tejedor, M., Tediosi, A., Kotterman, M., van den Heuvel, F., Robbens, J., Fernandes, J., Rasmussen, R., Sloth, J., Marques, A., 2018. Oral bioaccessibility of toxic and essential elements in raw and cooked commercial seafood species available in European markets. Food Chemistry 267 15-27.</w:t>
            </w:r>
          </w:p>
        </w:tc>
      </w:tr>
      <w:tr w:rsidR="00043F49" w14:paraId="0896CE13" w14:textId="77777777">
        <w:tc>
          <w:tcPr>
            <w:tcW w:w="0" w:type="auto"/>
          </w:tcPr>
          <w:p w14:paraId="429A4971"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6</w:t>
            </w:r>
            <w:r>
              <w:rPr>
                <w:rFonts w:asciiTheme="majorBidi" w:hAnsiTheme="majorBidi" w:cstheme="majorBidi"/>
                <w:color w:val="000000" w:themeColor="text1"/>
                <w:sz w:val="20"/>
                <w:szCs w:val="20"/>
              </w:rPr>
              <w:t>0</w:t>
            </w:r>
          </w:p>
        </w:tc>
        <w:tc>
          <w:tcPr>
            <w:tcW w:w="0" w:type="auto"/>
          </w:tcPr>
          <w:p w14:paraId="34003FA8"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Cano-Sancho, G., Perelló, G., Maulvault, A., Marques, A., Nadal, M., Domingo, J., 2015. Oral bioaccessibility of arsenic, mercury and methylmercury in marine species commercialized in Catalonia (Spain) and health risks for the consumers. Food and Chemical Toxicology 86: 34–40.</w:t>
            </w:r>
          </w:p>
        </w:tc>
      </w:tr>
    </w:tbl>
    <w:p w14:paraId="1C6C71AA" w14:textId="77777777" w:rsidR="00043F49" w:rsidRDefault="00043F49">
      <w:pPr>
        <w:spacing w:line="360" w:lineRule="auto"/>
        <w:jc w:val="left"/>
        <w:rPr>
          <w:rFonts w:asciiTheme="majorBidi" w:hAnsiTheme="majorBidi" w:cstheme="majorBidi"/>
          <w:color w:val="FF0000"/>
          <w:sz w:val="24"/>
          <w:szCs w:val="28"/>
        </w:rPr>
      </w:pPr>
    </w:p>
    <w:p w14:paraId="07515A88" w14:textId="77777777" w:rsidR="00043F49" w:rsidRDefault="00043F49">
      <w:pPr>
        <w:pStyle w:val="1"/>
        <w:spacing w:before="0" w:after="0" w:line="360" w:lineRule="auto"/>
        <w:jc w:val="center"/>
        <w:rPr>
          <w:rFonts w:ascii="Times New Roman" w:hAnsi="Times New Roman" w:cs="Times New Roman"/>
          <w:sz w:val="24"/>
          <w:szCs w:val="24"/>
        </w:rPr>
        <w:sectPr w:rsidR="00043F49">
          <w:pgSz w:w="16838" w:h="11906" w:orient="landscape"/>
          <w:pgMar w:top="1800" w:right="1440" w:bottom="1800" w:left="1440" w:header="851" w:footer="992" w:gutter="0"/>
          <w:lnNumType w:countBy="1" w:restart="continuous"/>
          <w:cols w:space="425"/>
          <w:docGrid w:type="lines" w:linePitch="312"/>
        </w:sectPr>
      </w:pPr>
    </w:p>
    <w:p w14:paraId="570AC9BA" w14:textId="77777777" w:rsidR="00043F49" w:rsidRDefault="00043F49">
      <w:pPr>
        <w:pStyle w:val="1"/>
        <w:spacing w:before="0" w:after="0" w:line="360" w:lineRule="auto"/>
        <w:jc w:val="center"/>
        <w:rPr>
          <w:rFonts w:ascii="Times New Roman" w:hAnsi="Times New Roman" w:cs="Times New Roman"/>
          <w:sz w:val="20"/>
          <w:szCs w:val="20"/>
        </w:rPr>
        <w:sectPr w:rsidR="00043F49">
          <w:type w:val="continuous"/>
          <w:pgSz w:w="16838" w:h="11906" w:orient="landscape"/>
          <w:pgMar w:top="1800" w:right="1440" w:bottom="1800" w:left="1440" w:header="851" w:footer="992" w:gutter="0"/>
          <w:lnNumType w:countBy="1" w:restart="continuous"/>
          <w:cols w:space="425"/>
          <w:docGrid w:type="lines" w:linePitch="312"/>
        </w:sectPr>
      </w:pPr>
    </w:p>
    <w:p w14:paraId="53E9D8DC" w14:textId="77777777" w:rsidR="00043F49" w:rsidRDefault="00000000">
      <w:pPr>
        <w:pStyle w:val="1"/>
        <w:spacing w:before="0" w:after="0" w:line="360" w:lineRule="auto"/>
        <w:jc w:val="center"/>
        <w:rPr>
          <w:rFonts w:ascii="Times New Roman" w:hAnsi="Times New Roman" w:cs="Times New Roman"/>
          <w:b w:val="0"/>
          <w:bCs w:val="0"/>
          <w:sz w:val="20"/>
          <w:szCs w:val="20"/>
        </w:rPr>
      </w:pPr>
      <w:r>
        <w:rPr>
          <w:rFonts w:ascii="Times New Roman" w:hAnsi="Times New Roman" w:cs="Times New Roman" w:hint="eastAsia"/>
          <w:sz w:val="20"/>
          <w:szCs w:val="20"/>
        </w:rPr>
        <w:lastRenderedPageBreak/>
        <w:t>Table</w:t>
      </w:r>
      <w:r>
        <w:rPr>
          <w:rFonts w:ascii="Times New Roman" w:hAnsi="Times New Roman" w:cs="Times New Roman"/>
          <w:sz w:val="20"/>
          <w:szCs w:val="20"/>
        </w:rPr>
        <w:t xml:space="preserve"> S5 </w:t>
      </w:r>
      <w:r>
        <w:rPr>
          <w:rFonts w:ascii="Times New Roman" w:hAnsi="Times New Roman" w:cs="Times New Roman"/>
          <w:b w:val="0"/>
          <w:bCs w:val="0"/>
          <w:sz w:val="20"/>
          <w:szCs w:val="20"/>
        </w:rPr>
        <w:t>T</w:t>
      </w:r>
      <w:r>
        <w:rPr>
          <w:rFonts w:ascii="Times New Roman" w:hAnsi="Times New Roman" w:cs="Times New Roman" w:hint="eastAsia"/>
          <w:b w:val="0"/>
          <w:bCs w:val="0"/>
          <w:sz w:val="20"/>
          <w:szCs w:val="20"/>
        </w:rPr>
        <w:t>he</w:t>
      </w:r>
      <w:r>
        <w:rPr>
          <w:rFonts w:ascii="Times New Roman" w:hAnsi="Times New Roman" w:cs="Times New Roman"/>
          <w:b w:val="0"/>
          <w:bCs w:val="0"/>
          <w:sz w:val="20"/>
          <w:szCs w:val="20"/>
        </w:rPr>
        <w:t xml:space="preserve"> extracted references </w:t>
      </w:r>
      <w:r>
        <w:rPr>
          <w:rFonts w:ascii="Times New Roman" w:hAnsi="Times New Roman" w:cs="Times New Roman" w:hint="eastAsia"/>
          <w:b w:val="0"/>
          <w:bCs w:val="0"/>
          <w:sz w:val="20"/>
          <w:szCs w:val="20"/>
        </w:rPr>
        <w:t>of</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heavy</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metals</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in</w:t>
      </w:r>
      <w:r>
        <w:rPr>
          <w:rFonts w:ascii="Times New Roman" w:hAnsi="Times New Roman" w:cs="Times New Roman"/>
          <w:b w:val="0"/>
          <w:bCs w:val="0"/>
          <w:sz w:val="20"/>
          <w:szCs w:val="20"/>
        </w:rPr>
        <w:t xml:space="preserve"> </w:t>
      </w:r>
      <w:r>
        <w:rPr>
          <w:rFonts w:ascii="Times New Roman" w:hAnsi="Times New Roman" w:cs="Times New Roman" w:hint="eastAsia"/>
          <w:b w:val="0"/>
          <w:bCs w:val="0"/>
          <w:sz w:val="20"/>
          <w:szCs w:val="20"/>
        </w:rPr>
        <w:t>foods</w:t>
      </w:r>
    </w:p>
    <w:tbl>
      <w:tblPr>
        <w:tblStyle w:val="a7"/>
        <w:tblW w:w="0" w:type="auto"/>
        <w:tblLook w:val="04A0" w:firstRow="1" w:lastRow="0" w:firstColumn="1" w:lastColumn="0" w:noHBand="0" w:noVBand="1"/>
      </w:tblPr>
      <w:tblGrid>
        <w:gridCol w:w="555"/>
        <w:gridCol w:w="13393"/>
      </w:tblGrid>
      <w:tr w:rsidR="00043F49" w14:paraId="7F459339" w14:textId="77777777">
        <w:tc>
          <w:tcPr>
            <w:tcW w:w="0" w:type="auto"/>
          </w:tcPr>
          <w:p w14:paraId="4D31462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N</w:t>
            </w:r>
            <w:r>
              <w:rPr>
                <w:rFonts w:asciiTheme="majorBidi" w:hAnsiTheme="majorBidi" w:cstheme="majorBidi"/>
                <w:color w:val="000000" w:themeColor="text1"/>
                <w:sz w:val="20"/>
                <w:szCs w:val="20"/>
              </w:rPr>
              <w:t>O.</w:t>
            </w:r>
          </w:p>
        </w:tc>
        <w:tc>
          <w:tcPr>
            <w:tcW w:w="0" w:type="auto"/>
          </w:tcPr>
          <w:p w14:paraId="765D95B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References</w:t>
            </w:r>
          </w:p>
        </w:tc>
      </w:tr>
      <w:tr w:rsidR="00043F49" w14:paraId="06CF30CA" w14:textId="77777777">
        <w:tc>
          <w:tcPr>
            <w:tcW w:w="0" w:type="auto"/>
          </w:tcPr>
          <w:p w14:paraId="2B2DFAC1"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p>
        </w:tc>
        <w:tc>
          <w:tcPr>
            <w:tcW w:w="0" w:type="auto"/>
          </w:tcPr>
          <w:p w14:paraId="1DF97A2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Liang</w:t>
            </w:r>
            <w:r>
              <w:rPr>
                <w:rFonts w:asciiTheme="majorBidi" w:hAnsiTheme="majorBidi" w:cstheme="majorBidi"/>
                <w:color w:val="000000" w:themeColor="text1"/>
                <w:sz w:val="20"/>
                <w:szCs w:val="20"/>
              </w:rPr>
              <w:t>, G., Gong, W., Li, B., Zuo, J., Pan, L., Liu, X., 2019. Analysis of Heavy Metals in Foodstuffs and an Assessment of the Health Risks to the General Public via Consumption in Beijing, China. International Journal of Environmental Research and Public Health 16: 909.</w:t>
            </w:r>
          </w:p>
        </w:tc>
      </w:tr>
      <w:tr w:rsidR="00043F49" w14:paraId="0FADB40B" w14:textId="77777777">
        <w:tc>
          <w:tcPr>
            <w:tcW w:w="0" w:type="auto"/>
          </w:tcPr>
          <w:p w14:paraId="558F5EF8"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2</w:t>
            </w:r>
          </w:p>
        </w:tc>
        <w:tc>
          <w:tcPr>
            <w:tcW w:w="0" w:type="auto"/>
          </w:tcPr>
          <w:p w14:paraId="783B22A9"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iang, G., Pan, L., Liu, X., 2017. Assessment of Typical Heavy Metals in Human Hair of Different Age Groups and Foodstuffs in Beijing, China. International Journal of Environmental Research and Public Health 14: 914.</w:t>
            </w:r>
          </w:p>
        </w:tc>
      </w:tr>
      <w:tr w:rsidR="00043F49" w14:paraId="1F3582EB" w14:textId="77777777">
        <w:tc>
          <w:tcPr>
            <w:tcW w:w="0" w:type="auto"/>
          </w:tcPr>
          <w:p w14:paraId="15E0CD36"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3</w:t>
            </w:r>
          </w:p>
        </w:tc>
        <w:tc>
          <w:tcPr>
            <w:tcW w:w="0" w:type="auto"/>
          </w:tcPr>
          <w:p w14:paraId="6C2D4178"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Yu</w:t>
            </w:r>
            <w:r>
              <w:rPr>
                <w:rFonts w:asciiTheme="majorBidi" w:hAnsiTheme="majorBidi" w:cstheme="majorBidi"/>
                <w:color w:val="000000" w:themeColor="text1"/>
                <w:sz w:val="20"/>
                <w:szCs w:val="20"/>
              </w:rPr>
              <w:t>,</w:t>
            </w:r>
            <w:r>
              <w:rPr>
                <w:rFonts w:asciiTheme="majorBidi" w:hAnsiTheme="majorBidi" w:cstheme="majorBidi" w:hint="eastAsia"/>
                <w:color w:val="000000" w:themeColor="text1"/>
                <w:sz w:val="20"/>
                <w:szCs w:val="20"/>
              </w:rPr>
              <w:t xml:space="preserve"> Q</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Li</w:t>
            </w:r>
            <w:r>
              <w:rPr>
                <w:rFonts w:asciiTheme="majorBidi" w:hAnsiTheme="majorBidi" w:cstheme="majorBidi"/>
                <w:color w:val="000000" w:themeColor="text1"/>
                <w:sz w:val="20"/>
                <w:szCs w:val="20"/>
              </w:rPr>
              <w:t>,</w:t>
            </w:r>
            <w:r>
              <w:rPr>
                <w:rFonts w:asciiTheme="majorBidi" w:hAnsiTheme="majorBidi" w:cstheme="majorBidi" w:hint="eastAsia"/>
                <w:color w:val="000000" w:themeColor="text1"/>
                <w:sz w:val="20"/>
                <w:szCs w:val="20"/>
              </w:rPr>
              <w:t xml:space="preserve"> Q</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Li</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B</w:t>
            </w:r>
            <w:r>
              <w:rPr>
                <w:rFonts w:asciiTheme="majorBidi" w:hAnsiTheme="majorBidi" w:cstheme="majorBidi"/>
                <w:color w:val="000000" w:themeColor="text1"/>
                <w:sz w:val="20"/>
                <w:szCs w:val="20"/>
              </w:rPr>
              <w:t>., Lu, A., Yin, J., Xu, L., 2019.</w:t>
            </w:r>
            <w:r>
              <w:rPr>
                <w:rFonts w:asciiTheme="majorBidi" w:hAnsiTheme="majorBidi" w:cstheme="majorBidi" w:hint="eastAsia"/>
                <w:color w:val="000000" w:themeColor="text1"/>
                <w:sz w:val="20"/>
                <w:szCs w:val="20"/>
              </w:rPr>
              <w:t xml:space="preserve"> Heavy metal pollution characteristics and risk assessment of typical organic facility vegetable bases in Beijing</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Asian Journal of Ecotoxicology 14(3): 258-271 (</w:t>
            </w:r>
            <w:r>
              <w:rPr>
                <w:rFonts w:asciiTheme="majorBidi" w:hAnsiTheme="majorBidi" w:cstheme="majorBidi"/>
                <w:color w:val="000000" w:themeColor="text1"/>
                <w:sz w:val="20"/>
                <w:szCs w:val="20"/>
              </w:rPr>
              <w:t>I</w:t>
            </w:r>
            <w:r>
              <w:rPr>
                <w:rFonts w:asciiTheme="majorBidi" w:hAnsiTheme="majorBidi" w:cstheme="majorBidi" w:hint="eastAsia"/>
                <w:color w:val="000000" w:themeColor="text1"/>
                <w:sz w:val="20"/>
                <w:szCs w:val="20"/>
              </w:rPr>
              <w:t>n Chinese)</w:t>
            </w:r>
          </w:p>
        </w:tc>
      </w:tr>
      <w:tr w:rsidR="00043F49" w14:paraId="7CF78644" w14:textId="77777777">
        <w:tc>
          <w:tcPr>
            <w:tcW w:w="0" w:type="auto"/>
          </w:tcPr>
          <w:p w14:paraId="62EC419E"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4</w:t>
            </w:r>
          </w:p>
        </w:tc>
        <w:tc>
          <w:tcPr>
            <w:tcW w:w="0" w:type="auto"/>
          </w:tcPr>
          <w:p w14:paraId="1C9E38D8"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Wu, Y., Zhao, Y., Li, J., 2018. The Fifth China Total Diet Study. Science Press, Beijing. (In Chinese)</w:t>
            </w:r>
          </w:p>
        </w:tc>
      </w:tr>
      <w:tr w:rsidR="00043F49" w14:paraId="1AEBC9FA" w14:textId="77777777">
        <w:tc>
          <w:tcPr>
            <w:tcW w:w="0" w:type="auto"/>
          </w:tcPr>
          <w:p w14:paraId="3EE6C9B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5</w:t>
            </w:r>
          </w:p>
        </w:tc>
        <w:tc>
          <w:tcPr>
            <w:tcW w:w="0" w:type="auto"/>
          </w:tcPr>
          <w:p w14:paraId="36D4C08E"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 xml:space="preserve">Song, B., Lei, M., Chen, T., </w:t>
            </w:r>
            <w:r>
              <w:rPr>
                <w:rFonts w:asciiTheme="majorBidi" w:hAnsiTheme="majorBidi" w:cstheme="majorBidi" w:hint="eastAsia"/>
                <w:color w:val="000000" w:themeColor="text1"/>
                <w:sz w:val="20"/>
                <w:szCs w:val="20"/>
              </w:rPr>
              <w:t>Z</w:t>
            </w:r>
            <w:r>
              <w:rPr>
                <w:rFonts w:asciiTheme="majorBidi" w:hAnsiTheme="majorBidi" w:cstheme="majorBidi"/>
                <w:color w:val="000000" w:themeColor="text1"/>
                <w:sz w:val="20"/>
                <w:szCs w:val="20"/>
              </w:rPr>
              <w:t>heng, Y., Xie, Y., Li, X., Gao, D., 2009. Assessing the health risk of heavy metals in vegetables to the general population in Beijing, China. Journal of Environmental Sciences 21(12): 1702-1709.</w:t>
            </w:r>
          </w:p>
        </w:tc>
      </w:tr>
      <w:tr w:rsidR="00043F49" w14:paraId="056EBB44" w14:textId="77777777">
        <w:tc>
          <w:tcPr>
            <w:tcW w:w="0" w:type="auto"/>
          </w:tcPr>
          <w:p w14:paraId="62B02CBF"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6</w:t>
            </w:r>
          </w:p>
        </w:tc>
        <w:tc>
          <w:tcPr>
            <w:tcW w:w="0" w:type="auto"/>
          </w:tcPr>
          <w:p w14:paraId="1BB18CAE"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F</w:t>
            </w:r>
            <w:r>
              <w:rPr>
                <w:rFonts w:asciiTheme="majorBidi" w:hAnsiTheme="majorBidi" w:cstheme="majorBidi"/>
                <w:color w:val="000000" w:themeColor="text1"/>
                <w:sz w:val="20"/>
                <w:szCs w:val="20"/>
              </w:rPr>
              <w:t>ang Y., Nie, Z., Liu, F., Die, Q., He, J., Huang, Q., 2014. Concentration and health risk evaluation of heavy metals in market-sold vegetables and fishes based on questionnaires in Beijing, China. Environmental Science and Pollution Research 21: 11401-11408.</w:t>
            </w:r>
          </w:p>
        </w:tc>
      </w:tr>
      <w:tr w:rsidR="00043F49" w14:paraId="7146AB8B" w14:textId="77777777">
        <w:tc>
          <w:tcPr>
            <w:tcW w:w="0" w:type="auto"/>
          </w:tcPr>
          <w:p w14:paraId="0412E132"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7</w:t>
            </w:r>
          </w:p>
        </w:tc>
        <w:tc>
          <w:tcPr>
            <w:tcW w:w="0" w:type="auto"/>
          </w:tcPr>
          <w:p w14:paraId="6355E532"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C</w:t>
            </w:r>
            <w:r>
              <w:rPr>
                <w:rFonts w:asciiTheme="majorBidi" w:hAnsiTheme="majorBidi" w:cstheme="majorBidi"/>
                <w:color w:val="000000" w:themeColor="text1"/>
                <w:sz w:val="20"/>
                <w:szCs w:val="20"/>
              </w:rPr>
              <w:t>hen, T., Song, B., Zheng, Y., Huang, Z., Zheng, G., Lei, M., Chen, H., 2006. A survey of nickel concentrations in vegetables and vegetable soil of Beijing and their healthy risk. Journal of Natural Resources 21(3): 349-361. (In Chinese)</w:t>
            </w:r>
          </w:p>
        </w:tc>
      </w:tr>
      <w:tr w:rsidR="00043F49" w14:paraId="0FD8FDF8" w14:textId="77777777">
        <w:tc>
          <w:tcPr>
            <w:tcW w:w="0" w:type="auto"/>
          </w:tcPr>
          <w:p w14:paraId="3F2FE16B"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8</w:t>
            </w:r>
          </w:p>
        </w:tc>
        <w:tc>
          <w:tcPr>
            <w:tcW w:w="0" w:type="auto"/>
          </w:tcPr>
          <w:p w14:paraId="2AE78B55"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X</w:t>
            </w:r>
            <w:r>
              <w:rPr>
                <w:rFonts w:asciiTheme="majorBidi" w:hAnsiTheme="majorBidi" w:cstheme="majorBidi"/>
                <w:color w:val="000000" w:themeColor="text1"/>
                <w:sz w:val="20"/>
                <w:szCs w:val="20"/>
              </w:rPr>
              <w:t>u, J., Ba, L., Lin, N., Wei, Y., Feng, L., 2019. Determination on 230 grain's heavy metals in Beijing city. Food and Nutrition in China 25(2): 26-28. (In Chinese)</w:t>
            </w:r>
          </w:p>
        </w:tc>
      </w:tr>
      <w:tr w:rsidR="00043F49" w14:paraId="2F8B17EB" w14:textId="77777777">
        <w:tc>
          <w:tcPr>
            <w:tcW w:w="0" w:type="auto"/>
          </w:tcPr>
          <w:p w14:paraId="1293CE8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9</w:t>
            </w:r>
          </w:p>
        </w:tc>
        <w:tc>
          <w:tcPr>
            <w:tcW w:w="0" w:type="auto"/>
          </w:tcPr>
          <w:p w14:paraId="4B665301"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color w:val="000000" w:themeColor="text1"/>
                <w:sz w:val="20"/>
                <w:szCs w:val="20"/>
              </w:rPr>
              <w:t>Li, X., Chen, T., Tan, Y., Fu, B., Yang, J., Song, B., Yang, S., Xie, Y., 2008. Concentrations and risk of heavy metals in grain of wheat grown in Beijing. Geographical Research 27(6): 1340-1346. (In Chinese)</w:t>
            </w:r>
          </w:p>
        </w:tc>
      </w:tr>
      <w:tr w:rsidR="00043F49" w14:paraId="1991B641" w14:textId="77777777">
        <w:tc>
          <w:tcPr>
            <w:tcW w:w="0" w:type="auto"/>
          </w:tcPr>
          <w:p w14:paraId="062161F3"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0</w:t>
            </w:r>
          </w:p>
        </w:tc>
        <w:tc>
          <w:tcPr>
            <w:tcW w:w="0" w:type="auto"/>
          </w:tcPr>
          <w:p w14:paraId="49B75702"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ei, J., Geng, Y., Cen, K., 2018. The Heavy Metal Content Monitoring and Dietary Risk Assessment of Commercial Rice in Beijing. Modern Food Science and Technology 34(6): 267-273. (In Chinese)</w:t>
            </w:r>
          </w:p>
        </w:tc>
      </w:tr>
      <w:tr w:rsidR="00043F49" w14:paraId="19BEFCD1" w14:textId="77777777">
        <w:tc>
          <w:tcPr>
            <w:tcW w:w="0" w:type="auto"/>
          </w:tcPr>
          <w:p w14:paraId="06099CE1"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1</w:t>
            </w:r>
          </w:p>
        </w:tc>
        <w:tc>
          <w:tcPr>
            <w:tcW w:w="0" w:type="auto"/>
          </w:tcPr>
          <w:p w14:paraId="39D41F3B"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 L., Feng, H., Wei, J., 2020. Toxic element (As and Hg) content and health risk assessment of commercially available rice for residents in Beijing based on their dietary consumption. Environmental Science and Pollution Research 27:13205-13214.</w:t>
            </w:r>
          </w:p>
        </w:tc>
      </w:tr>
      <w:tr w:rsidR="00043F49" w14:paraId="1B6C6816" w14:textId="77777777">
        <w:tc>
          <w:tcPr>
            <w:tcW w:w="0" w:type="auto"/>
          </w:tcPr>
          <w:p w14:paraId="4EF5A45C"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2</w:t>
            </w:r>
          </w:p>
        </w:tc>
        <w:tc>
          <w:tcPr>
            <w:tcW w:w="0" w:type="auto"/>
          </w:tcPr>
          <w:p w14:paraId="40AF2D5F"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 xml:space="preserve">ang, B., Ma, Z., Feng, X., Wang, J., 2015. Concentrations and health risk evaluation of heavy metals in vegetables in Beijing. Journal of Food Safety and Quality </w:t>
            </w:r>
            <w:r>
              <w:rPr>
                <w:rFonts w:asciiTheme="majorBidi" w:hAnsiTheme="majorBidi" w:cstheme="majorBidi"/>
                <w:color w:val="000000" w:themeColor="text1"/>
                <w:sz w:val="20"/>
                <w:szCs w:val="20"/>
              </w:rPr>
              <w:lastRenderedPageBreak/>
              <w:t>6(7): 2736-2745.</w:t>
            </w:r>
          </w:p>
        </w:tc>
      </w:tr>
      <w:tr w:rsidR="00043F49" w14:paraId="558D54B0" w14:textId="77777777">
        <w:tc>
          <w:tcPr>
            <w:tcW w:w="0" w:type="auto"/>
          </w:tcPr>
          <w:p w14:paraId="28E1CDEA"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lastRenderedPageBreak/>
              <w:t>1</w:t>
            </w:r>
            <w:r>
              <w:rPr>
                <w:rFonts w:asciiTheme="majorBidi" w:hAnsiTheme="majorBidi" w:cstheme="majorBidi"/>
                <w:color w:val="000000" w:themeColor="text1"/>
                <w:sz w:val="20"/>
                <w:szCs w:val="20"/>
              </w:rPr>
              <w:t>3</w:t>
            </w:r>
          </w:p>
        </w:tc>
        <w:tc>
          <w:tcPr>
            <w:tcW w:w="0" w:type="auto"/>
          </w:tcPr>
          <w:p w14:paraId="79A54D24"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C</w:t>
            </w:r>
            <w:r>
              <w:rPr>
                <w:rFonts w:asciiTheme="majorBidi" w:hAnsiTheme="majorBidi" w:cstheme="majorBidi"/>
                <w:color w:val="000000" w:themeColor="text1"/>
                <w:sz w:val="20"/>
                <w:szCs w:val="20"/>
              </w:rPr>
              <w:t>hen, H., Jin, L., Hu, X., Peng, T., Chang, Q., Fan, C., 2016. S</w:t>
            </w:r>
            <w:r>
              <w:rPr>
                <w:rFonts w:asciiTheme="majorBidi" w:hAnsiTheme="majorBidi" w:cstheme="majorBidi" w:hint="eastAsia"/>
                <w:color w:val="000000" w:themeColor="text1"/>
                <w:sz w:val="20"/>
                <w:szCs w:val="20"/>
              </w:rPr>
              <w:t>imultaneous</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determination</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of</w:t>
            </w:r>
            <w:r>
              <w:rPr>
                <w:rFonts w:asciiTheme="majorBidi" w:hAnsiTheme="majorBidi" w:cstheme="majorBidi"/>
                <w:color w:val="000000" w:themeColor="text1"/>
                <w:sz w:val="20"/>
                <w:szCs w:val="20"/>
              </w:rPr>
              <w:t xml:space="preserve"> 40 </w:t>
            </w:r>
            <w:r>
              <w:rPr>
                <w:rFonts w:asciiTheme="majorBidi" w:hAnsiTheme="majorBidi" w:cstheme="majorBidi" w:hint="eastAsia"/>
                <w:color w:val="000000" w:themeColor="text1"/>
                <w:sz w:val="20"/>
                <w:szCs w:val="20"/>
              </w:rPr>
              <w:t>elements</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in</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fruits</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and</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vegetables</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of</w:t>
            </w:r>
            <w:r>
              <w:rPr>
                <w:rFonts w:asciiTheme="majorBidi" w:hAnsiTheme="majorBidi" w:cstheme="majorBidi"/>
                <w:color w:val="000000" w:themeColor="text1"/>
                <w:sz w:val="20"/>
                <w:szCs w:val="20"/>
              </w:rPr>
              <w:t xml:space="preserve"> B</w:t>
            </w:r>
            <w:r>
              <w:rPr>
                <w:rFonts w:asciiTheme="majorBidi" w:hAnsiTheme="majorBidi" w:cstheme="majorBidi" w:hint="eastAsia"/>
                <w:color w:val="000000" w:themeColor="text1"/>
                <w:sz w:val="20"/>
                <w:szCs w:val="20"/>
              </w:rPr>
              <w:t>eijing</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market</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by</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inductively</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coupled</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plasma</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mass</w:t>
            </w:r>
            <w:r>
              <w:rPr>
                <w:rFonts w:asciiTheme="majorBidi" w:hAnsiTheme="majorBidi" w:cstheme="majorBidi"/>
                <w:color w:val="000000" w:themeColor="text1"/>
                <w:sz w:val="20"/>
                <w:szCs w:val="20"/>
              </w:rPr>
              <w:t xml:space="preserve"> </w:t>
            </w:r>
            <w:r>
              <w:rPr>
                <w:rFonts w:asciiTheme="majorBidi" w:hAnsiTheme="majorBidi" w:cstheme="majorBidi" w:hint="eastAsia"/>
                <w:color w:val="000000" w:themeColor="text1"/>
                <w:sz w:val="20"/>
                <w:szCs w:val="20"/>
              </w:rPr>
              <w:t>spectrometry</w:t>
            </w:r>
            <w:r>
              <w:rPr>
                <w:rFonts w:asciiTheme="majorBidi" w:hAnsiTheme="majorBidi" w:cstheme="majorBidi"/>
                <w:color w:val="000000" w:themeColor="text1"/>
                <w:sz w:val="20"/>
                <w:szCs w:val="20"/>
              </w:rPr>
              <w:t>. Science and Technology of Food Industry 37(19): 276-283. (In Chinese)</w:t>
            </w:r>
          </w:p>
        </w:tc>
      </w:tr>
      <w:tr w:rsidR="00043F49" w14:paraId="510EA2F1" w14:textId="77777777">
        <w:tc>
          <w:tcPr>
            <w:tcW w:w="0" w:type="auto"/>
          </w:tcPr>
          <w:p w14:paraId="29F6D275"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4</w:t>
            </w:r>
          </w:p>
        </w:tc>
        <w:tc>
          <w:tcPr>
            <w:tcW w:w="0" w:type="auto"/>
          </w:tcPr>
          <w:p w14:paraId="7CF4A944"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L</w:t>
            </w:r>
            <w:r>
              <w:rPr>
                <w:rFonts w:asciiTheme="majorBidi" w:hAnsiTheme="majorBidi" w:cstheme="majorBidi"/>
                <w:color w:val="000000" w:themeColor="text1"/>
                <w:sz w:val="20"/>
                <w:szCs w:val="20"/>
              </w:rPr>
              <w:t>iu, P., Zhou, Y., Zang, L., 2011. Investigation of Heavy Metal Contamination in Four Kinds of Fishes from the Different Farmer Markets in Beijing. Environmental Science 32(7): 2062-2068. (In Chinese)</w:t>
            </w:r>
          </w:p>
        </w:tc>
      </w:tr>
      <w:tr w:rsidR="00043F49" w14:paraId="6AF0564D" w14:textId="77777777">
        <w:tc>
          <w:tcPr>
            <w:tcW w:w="0" w:type="auto"/>
          </w:tcPr>
          <w:p w14:paraId="398DE087"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5</w:t>
            </w:r>
          </w:p>
        </w:tc>
        <w:tc>
          <w:tcPr>
            <w:tcW w:w="0" w:type="auto"/>
          </w:tcPr>
          <w:p w14:paraId="12EB60E1"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W</w:t>
            </w:r>
            <w:r>
              <w:rPr>
                <w:rFonts w:asciiTheme="majorBidi" w:hAnsiTheme="majorBidi" w:cstheme="majorBidi"/>
                <w:color w:val="000000" w:themeColor="text1"/>
                <w:sz w:val="20"/>
                <w:szCs w:val="20"/>
              </w:rPr>
              <w:t>ei, J., 2019. Assessment of Human Health Risk Based on Characteristics of Heavy Metal contents in Foods Sold in Beijing, China. China University of Geosciences (Beijing). (In Chinese)</w:t>
            </w:r>
          </w:p>
        </w:tc>
      </w:tr>
      <w:tr w:rsidR="00043F49" w14:paraId="221AC96D" w14:textId="77777777">
        <w:tc>
          <w:tcPr>
            <w:tcW w:w="0" w:type="auto"/>
          </w:tcPr>
          <w:p w14:paraId="212BBB84"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6</w:t>
            </w:r>
          </w:p>
        </w:tc>
        <w:tc>
          <w:tcPr>
            <w:tcW w:w="0" w:type="auto"/>
          </w:tcPr>
          <w:p w14:paraId="25C56E07" w14:textId="77777777" w:rsidR="00043F49" w:rsidRDefault="00000000">
            <w:pPr>
              <w:spacing w:line="360" w:lineRule="auto"/>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P</w:t>
            </w:r>
            <w:r>
              <w:rPr>
                <w:rFonts w:asciiTheme="majorBidi" w:hAnsiTheme="majorBidi" w:cstheme="majorBidi"/>
                <w:color w:val="000000" w:themeColor="text1"/>
                <w:sz w:val="20"/>
                <w:szCs w:val="20"/>
              </w:rPr>
              <w:t>uYang, X., Gao, C., Han, L., 2015. Risk Assessment of Heavy Metals in Water and Two Fish Species from Golf Course Ponds in Beijing, China. Bulletin of Environmental Contamination and Toxicology 94, 437–443.</w:t>
            </w:r>
          </w:p>
        </w:tc>
      </w:tr>
      <w:tr w:rsidR="00043F49" w14:paraId="773AD636" w14:textId="77777777">
        <w:tc>
          <w:tcPr>
            <w:tcW w:w="0" w:type="auto"/>
          </w:tcPr>
          <w:p w14:paraId="78AE2DFD" w14:textId="77777777" w:rsidR="00043F49" w:rsidRDefault="00000000">
            <w:pPr>
              <w:spacing w:line="360" w:lineRule="auto"/>
              <w:jc w:val="center"/>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1</w:t>
            </w:r>
            <w:r>
              <w:rPr>
                <w:rFonts w:asciiTheme="majorBidi" w:hAnsiTheme="majorBidi" w:cstheme="majorBidi"/>
                <w:color w:val="000000" w:themeColor="text1"/>
                <w:sz w:val="20"/>
                <w:szCs w:val="20"/>
              </w:rPr>
              <w:t>7</w:t>
            </w:r>
          </w:p>
        </w:tc>
        <w:tc>
          <w:tcPr>
            <w:tcW w:w="0" w:type="auto"/>
          </w:tcPr>
          <w:p w14:paraId="4D27497B" w14:textId="77777777" w:rsidR="00043F49" w:rsidRDefault="00000000">
            <w:pPr>
              <w:spacing w:line="360" w:lineRule="auto"/>
              <w:jc w:val="left"/>
              <w:rPr>
                <w:rFonts w:asciiTheme="majorBidi" w:hAnsiTheme="majorBidi" w:cstheme="majorBidi"/>
                <w:color w:val="000000" w:themeColor="text1"/>
                <w:sz w:val="20"/>
                <w:szCs w:val="20"/>
              </w:rPr>
            </w:pPr>
            <w:r>
              <w:rPr>
                <w:rFonts w:asciiTheme="majorBidi" w:hAnsiTheme="majorBidi" w:cstheme="majorBidi" w:hint="eastAsia"/>
                <w:color w:val="000000" w:themeColor="text1"/>
                <w:sz w:val="20"/>
                <w:szCs w:val="20"/>
              </w:rPr>
              <w:t>Y</w:t>
            </w:r>
            <w:r>
              <w:rPr>
                <w:rFonts w:asciiTheme="majorBidi" w:hAnsiTheme="majorBidi" w:cstheme="majorBidi"/>
                <w:color w:val="000000" w:themeColor="text1"/>
                <w:sz w:val="20"/>
                <w:szCs w:val="20"/>
              </w:rPr>
              <w:t>in, N., Cai, X., Chen, X., Du, H., Xu, J., Wang, L., Sun, G., Cui, Y., 2017. Investigation of bioaccessibility of Cu, Fe, Mn, and Zn in market vegetables in the colon using PBET combined with SHIME. Scientific Reports 7: 17578.</w:t>
            </w:r>
          </w:p>
        </w:tc>
      </w:tr>
    </w:tbl>
    <w:p w14:paraId="2738D05A" w14:textId="77777777" w:rsidR="00043F49" w:rsidRDefault="00043F49">
      <w:pPr>
        <w:spacing w:line="360" w:lineRule="auto"/>
        <w:jc w:val="left"/>
        <w:rPr>
          <w:rFonts w:asciiTheme="majorBidi" w:hAnsiTheme="majorBidi" w:cstheme="majorBidi"/>
          <w:color w:val="FF0000"/>
          <w:sz w:val="24"/>
          <w:szCs w:val="28"/>
        </w:rPr>
      </w:pPr>
    </w:p>
    <w:p w14:paraId="499DD48D" w14:textId="77777777" w:rsidR="00043F49" w:rsidRDefault="00043F49">
      <w:pPr>
        <w:pStyle w:val="1"/>
        <w:spacing w:before="0" w:after="0" w:line="360" w:lineRule="auto"/>
        <w:jc w:val="center"/>
        <w:rPr>
          <w:rFonts w:ascii="Times New Roman" w:hAnsi="Times New Roman" w:cs="Times New Roman"/>
          <w:sz w:val="20"/>
          <w:szCs w:val="20"/>
        </w:rPr>
        <w:sectPr w:rsidR="00043F49">
          <w:pgSz w:w="16838" w:h="11906" w:orient="landscape"/>
          <w:pgMar w:top="1800" w:right="1440" w:bottom="1800" w:left="1440" w:header="851" w:footer="992" w:gutter="0"/>
          <w:lnNumType w:countBy="1" w:restart="continuous"/>
          <w:cols w:space="425"/>
          <w:docGrid w:type="lines" w:linePitch="312"/>
        </w:sectPr>
      </w:pPr>
    </w:p>
    <w:p w14:paraId="46F0067B" w14:textId="77777777" w:rsidR="00043F49" w:rsidRDefault="00043F49">
      <w:pPr>
        <w:spacing w:line="360" w:lineRule="auto"/>
        <w:jc w:val="left"/>
        <w:rPr>
          <w:rFonts w:asciiTheme="majorBidi" w:hAnsiTheme="majorBidi" w:cstheme="majorBidi"/>
          <w:color w:val="FF0000"/>
          <w:sz w:val="24"/>
          <w:szCs w:val="28"/>
        </w:rPr>
        <w:sectPr w:rsidR="00043F49">
          <w:type w:val="continuous"/>
          <w:pgSz w:w="16838" w:h="11906" w:orient="landscape"/>
          <w:pgMar w:top="1134" w:right="851" w:bottom="1134" w:left="851" w:header="851" w:footer="992" w:gutter="0"/>
          <w:lnNumType w:countBy="1" w:restart="continuous"/>
          <w:cols w:space="425"/>
          <w:docGrid w:type="lines" w:linePitch="312"/>
        </w:sectPr>
      </w:pPr>
    </w:p>
    <w:p w14:paraId="01356DAF" w14:textId="77777777" w:rsidR="00043F49" w:rsidRDefault="00000000">
      <w:pPr>
        <w:pStyle w:val="1"/>
        <w:spacing w:before="0" w:after="0" w:line="360" w:lineRule="auto"/>
        <w:jc w:val="center"/>
        <w:rPr>
          <w:rFonts w:ascii="Times New Roman" w:hAnsi="Times New Roman" w:cs="Times New Roman"/>
          <w:b w:val="0"/>
          <w:bCs w:val="0"/>
          <w:sz w:val="20"/>
          <w:szCs w:val="20"/>
        </w:rPr>
      </w:pPr>
      <w:r>
        <w:rPr>
          <w:rFonts w:ascii="Times New Roman" w:hAnsi="Times New Roman" w:cs="Times New Roman"/>
          <w:sz w:val="20"/>
          <w:szCs w:val="20"/>
        </w:rPr>
        <w:lastRenderedPageBreak/>
        <w:t xml:space="preserve">Table S6 </w:t>
      </w:r>
      <w:r>
        <w:rPr>
          <w:rFonts w:ascii="Times New Roman" w:hAnsi="Times New Roman" w:cs="Times New Roman"/>
          <w:b w:val="0"/>
          <w:bCs w:val="0"/>
          <w:sz w:val="20"/>
          <w:szCs w:val="20"/>
        </w:rPr>
        <w:t xml:space="preserve">Toxic response factors of heavy metals and classification criteria of </w:t>
      </w:r>
      <w:r>
        <w:rPr>
          <w:rFonts w:ascii="Times New Roman" w:hAnsi="Times New Roman" w:cs="Times New Roman"/>
          <w:b w:val="0"/>
          <w:bCs w:val="0"/>
          <w:kern w:val="0"/>
          <w:sz w:val="20"/>
          <w:szCs w:val="20"/>
        </w:rPr>
        <w:t xml:space="preserve"> </w:t>
      </w:r>
      <m:oMath>
        <m:sSubSup>
          <m:sSubSupPr>
            <m:ctrlPr>
              <w:rPr>
                <w:rFonts w:ascii="Cambria Math" w:eastAsia="宋体" w:hAnsi="Cambria Math" w:cstheme="majorBidi"/>
                <w:b w:val="0"/>
                <w:bCs w:val="0"/>
                <w:i/>
                <w:sz w:val="20"/>
                <w:szCs w:val="20"/>
              </w:rPr>
            </m:ctrlPr>
          </m:sSubSupPr>
          <m:e>
            <m:r>
              <m:rPr>
                <m:sty m:val="bi"/>
              </m:rPr>
              <w:rPr>
                <w:rFonts w:ascii="Cambria Math" w:hAnsi="Cambria Math" w:cstheme="majorBidi"/>
                <w:kern w:val="0"/>
                <w:sz w:val="20"/>
                <w:szCs w:val="20"/>
              </w:rPr>
              <m:t>E</m:t>
            </m:r>
          </m:e>
          <m:sub>
            <m:r>
              <m:rPr>
                <m:sty m:val="bi"/>
              </m:rPr>
              <w:rPr>
                <w:rFonts w:ascii="Cambria Math" w:hAnsi="Cambria Math" w:cstheme="majorBidi"/>
                <w:kern w:val="0"/>
                <w:sz w:val="20"/>
                <w:szCs w:val="20"/>
              </w:rPr>
              <m:t>r</m:t>
            </m:r>
          </m:sub>
          <m:sup>
            <m:r>
              <m:rPr>
                <m:sty m:val="bi"/>
              </m:rPr>
              <w:rPr>
                <w:rFonts w:ascii="Cambria Math" w:hAnsi="Cambria Math" w:cstheme="majorBidi"/>
                <w:kern w:val="0"/>
                <w:sz w:val="20"/>
                <w:szCs w:val="20"/>
              </w:rPr>
              <m:t>i</m:t>
            </m:r>
          </m:sup>
        </m:sSubSup>
      </m:oMath>
      <w:r>
        <w:rPr>
          <w:rFonts w:ascii="Times New Roman" w:hAnsi="Times New Roman" w:cs="Times New Roman"/>
          <w:b w:val="0"/>
          <w:bCs w:val="0"/>
          <w:kern w:val="0"/>
          <w:sz w:val="20"/>
          <w:szCs w:val="20"/>
        </w:rPr>
        <w:t xml:space="preserve"> and </w:t>
      </w:r>
      <m:oMath>
        <m:r>
          <m:rPr>
            <m:sty m:val="bi"/>
          </m:rPr>
          <w:rPr>
            <w:rFonts w:ascii="Cambria Math" w:hAnsi="Cambria Math" w:cstheme="majorBidi"/>
            <w:kern w:val="0"/>
            <w:sz w:val="20"/>
            <w:szCs w:val="20"/>
          </w:rPr>
          <m:t>RI</m:t>
        </m:r>
      </m:oMath>
    </w:p>
    <w:tbl>
      <w:tblPr>
        <w:tblStyle w:val="a7"/>
        <w:tblW w:w="5000" w:type="pct"/>
        <w:tblLook w:val="04A0" w:firstRow="1" w:lastRow="0" w:firstColumn="1" w:lastColumn="0" w:noHBand="0" w:noVBand="1"/>
      </w:tblPr>
      <w:tblGrid>
        <w:gridCol w:w="3513"/>
        <w:gridCol w:w="1048"/>
        <w:gridCol w:w="3199"/>
        <w:gridCol w:w="2087"/>
        <w:gridCol w:w="3192"/>
        <w:gridCol w:w="2087"/>
      </w:tblGrid>
      <w:tr w:rsidR="00043F49" w14:paraId="195B41DF" w14:textId="77777777">
        <w:tc>
          <w:tcPr>
            <w:tcW w:w="1161" w:type="pct"/>
          </w:tcPr>
          <w:p w14:paraId="79BD939C"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Heavy metals</w:t>
            </w:r>
          </w:p>
        </w:tc>
        <w:tc>
          <w:tcPr>
            <w:tcW w:w="346" w:type="pct"/>
          </w:tcPr>
          <w:p w14:paraId="78D4BAFC" w14:textId="77777777" w:rsidR="00043F49" w:rsidRDefault="00000000">
            <w:pPr>
              <w:spacing w:line="360" w:lineRule="auto"/>
              <w:jc w:val="left"/>
              <w:rPr>
                <w:rFonts w:asciiTheme="majorBidi" w:hAnsiTheme="majorBidi" w:cstheme="majorBidi"/>
                <w:i/>
                <w:sz w:val="20"/>
                <w:szCs w:val="20"/>
              </w:rPr>
            </w:pPr>
            <m:oMathPara>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T</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m:oMathPara>
          </w:p>
        </w:tc>
        <w:tc>
          <w:tcPr>
            <w:tcW w:w="1057" w:type="pct"/>
          </w:tcPr>
          <w:p w14:paraId="14164FE8"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 xml:space="preserve">Range of </w:t>
            </w: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p>
        </w:tc>
        <w:tc>
          <w:tcPr>
            <w:tcW w:w="690" w:type="pct"/>
          </w:tcPr>
          <w:p w14:paraId="37044296"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 xml:space="preserve">Degree of </w:t>
            </w: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p>
        </w:tc>
        <w:tc>
          <w:tcPr>
            <w:tcW w:w="1055" w:type="pct"/>
          </w:tcPr>
          <w:p w14:paraId="397B3D06"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 xml:space="preserve">Range of </w:t>
            </w:r>
            <m:oMath>
              <m:r>
                <w:rPr>
                  <w:rFonts w:ascii="Cambria Math" w:hAnsi="Cambria Math" w:cstheme="majorBidi"/>
                  <w:kern w:val="0"/>
                  <w:sz w:val="20"/>
                  <w:szCs w:val="20"/>
                </w:rPr>
                <m:t>RI</m:t>
              </m:r>
            </m:oMath>
          </w:p>
        </w:tc>
        <w:tc>
          <w:tcPr>
            <w:tcW w:w="690" w:type="pct"/>
          </w:tcPr>
          <w:p w14:paraId="47E0E26D"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 xml:space="preserve">Degree of </w:t>
            </w:r>
            <m:oMath>
              <m:r>
                <w:rPr>
                  <w:rFonts w:ascii="Cambria Math" w:hAnsi="Cambria Math" w:cstheme="majorBidi"/>
                  <w:kern w:val="0"/>
                  <w:sz w:val="20"/>
                  <w:szCs w:val="20"/>
                </w:rPr>
                <m:t>RI</m:t>
              </m:r>
            </m:oMath>
          </w:p>
        </w:tc>
      </w:tr>
      <w:tr w:rsidR="00043F49" w14:paraId="24E78A5D" w14:textId="77777777">
        <w:tc>
          <w:tcPr>
            <w:tcW w:w="1161" w:type="pct"/>
            <w:vAlign w:val="center"/>
          </w:tcPr>
          <w:p w14:paraId="5CFACC6B"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As</w:t>
            </w:r>
          </w:p>
        </w:tc>
        <w:tc>
          <w:tcPr>
            <w:tcW w:w="346" w:type="pct"/>
          </w:tcPr>
          <w:p w14:paraId="1C811EDB"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10</w:t>
            </w:r>
          </w:p>
        </w:tc>
        <w:tc>
          <w:tcPr>
            <w:tcW w:w="1057" w:type="pct"/>
          </w:tcPr>
          <w:p w14:paraId="2089864F" w14:textId="77777777" w:rsidR="00043F49" w:rsidRDefault="00000000">
            <w:pPr>
              <w:spacing w:line="360" w:lineRule="auto"/>
              <w:jc w:val="left"/>
              <w:rPr>
                <w:rFonts w:asciiTheme="majorBidi" w:hAnsiTheme="majorBidi" w:cstheme="majorBidi"/>
                <w:sz w:val="20"/>
                <w:szCs w:val="20"/>
              </w:rPr>
            </w:pP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r>
              <w:rPr>
                <w:rFonts w:asciiTheme="majorBidi" w:hAnsiTheme="majorBidi" w:cstheme="majorBidi"/>
                <w:sz w:val="20"/>
                <w:szCs w:val="20"/>
              </w:rPr>
              <w:t>&lt;40</w:t>
            </w:r>
          </w:p>
        </w:tc>
        <w:tc>
          <w:tcPr>
            <w:tcW w:w="690" w:type="pct"/>
          </w:tcPr>
          <w:p w14:paraId="56F25ADE"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low ecological risk</w:t>
            </w:r>
          </w:p>
        </w:tc>
        <w:tc>
          <w:tcPr>
            <w:tcW w:w="1055" w:type="pct"/>
          </w:tcPr>
          <w:p w14:paraId="2A94CC25" w14:textId="77777777" w:rsidR="00043F49" w:rsidRDefault="00000000">
            <w:pPr>
              <w:spacing w:line="360" w:lineRule="auto"/>
              <w:jc w:val="left"/>
              <w:rPr>
                <w:rFonts w:asciiTheme="majorBidi" w:hAnsiTheme="majorBidi" w:cstheme="majorBidi"/>
                <w:sz w:val="20"/>
                <w:szCs w:val="20"/>
              </w:rPr>
            </w:pPr>
            <m:oMath>
              <m:r>
                <w:rPr>
                  <w:rFonts w:ascii="Cambria Math" w:hAnsi="Cambria Math" w:cstheme="majorBidi"/>
                  <w:kern w:val="0"/>
                  <w:sz w:val="20"/>
                  <w:szCs w:val="20"/>
                </w:rPr>
                <m:t>RI</m:t>
              </m:r>
            </m:oMath>
            <w:r>
              <w:rPr>
                <w:rFonts w:asciiTheme="majorBidi" w:hAnsiTheme="majorBidi" w:cstheme="majorBidi"/>
                <w:sz w:val="20"/>
                <w:szCs w:val="20"/>
              </w:rPr>
              <w:t>&lt;120</w:t>
            </w:r>
          </w:p>
        </w:tc>
        <w:tc>
          <w:tcPr>
            <w:tcW w:w="690" w:type="pct"/>
          </w:tcPr>
          <w:p w14:paraId="29686496"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low ecological risk</w:t>
            </w:r>
          </w:p>
        </w:tc>
      </w:tr>
      <w:tr w:rsidR="00043F49" w14:paraId="5CE50623" w14:textId="77777777">
        <w:tc>
          <w:tcPr>
            <w:tcW w:w="1161" w:type="pct"/>
            <w:vAlign w:val="center"/>
          </w:tcPr>
          <w:p w14:paraId="61B3CA48"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Cd</w:t>
            </w:r>
          </w:p>
        </w:tc>
        <w:tc>
          <w:tcPr>
            <w:tcW w:w="346" w:type="pct"/>
          </w:tcPr>
          <w:p w14:paraId="49640459"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30</w:t>
            </w:r>
          </w:p>
        </w:tc>
        <w:tc>
          <w:tcPr>
            <w:tcW w:w="1057" w:type="pct"/>
          </w:tcPr>
          <w:p w14:paraId="1D079C28"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40≤</w:t>
            </w: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r>
              <w:rPr>
                <w:rFonts w:asciiTheme="majorBidi" w:hAnsiTheme="majorBidi" w:cstheme="majorBidi"/>
                <w:sz w:val="20"/>
                <w:szCs w:val="20"/>
              </w:rPr>
              <w:t>&lt;80</w:t>
            </w:r>
          </w:p>
        </w:tc>
        <w:tc>
          <w:tcPr>
            <w:tcW w:w="690" w:type="pct"/>
          </w:tcPr>
          <w:p w14:paraId="47FE6B7E"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moderate risk</w:t>
            </w:r>
          </w:p>
        </w:tc>
        <w:tc>
          <w:tcPr>
            <w:tcW w:w="1055" w:type="pct"/>
          </w:tcPr>
          <w:p w14:paraId="066EAD20"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120≤</w:t>
            </w:r>
            <m:oMath>
              <m:r>
                <w:rPr>
                  <w:rFonts w:ascii="Cambria Math" w:hAnsi="Cambria Math" w:cstheme="majorBidi"/>
                  <w:kern w:val="0"/>
                  <w:sz w:val="20"/>
                  <w:szCs w:val="20"/>
                </w:rPr>
                <m:t>RI</m:t>
              </m:r>
            </m:oMath>
            <w:r>
              <w:rPr>
                <w:rFonts w:asciiTheme="majorBidi" w:hAnsiTheme="majorBidi" w:cstheme="majorBidi"/>
                <w:sz w:val="20"/>
                <w:szCs w:val="20"/>
              </w:rPr>
              <w:t>&lt;240</w:t>
            </w:r>
          </w:p>
        </w:tc>
        <w:tc>
          <w:tcPr>
            <w:tcW w:w="690" w:type="pct"/>
          </w:tcPr>
          <w:p w14:paraId="5EF44AC3"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moderate risk</w:t>
            </w:r>
          </w:p>
        </w:tc>
      </w:tr>
      <w:tr w:rsidR="00043F49" w14:paraId="267E54C4" w14:textId="77777777">
        <w:tc>
          <w:tcPr>
            <w:tcW w:w="1161" w:type="pct"/>
            <w:vAlign w:val="center"/>
          </w:tcPr>
          <w:p w14:paraId="59294AC0"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Cr</w:t>
            </w:r>
          </w:p>
        </w:tc>
        <w:tc>
          <w:tcPr>
            <w:tcW w:w="346" w:type="pct"/>
          </w:tcPr>
          <w:p w14:paraId="20258005"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2</w:t>
            </w:r>
          </w:p>
        </w:tc>
        <w:tc>
          <w:tcPr>
            <w:tcW w:w="1057" w:type="pct"/>
          </w:tcPr>
          <w:p w14:paraId="59ACF23E"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80≤</w:t>
            </w: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r>
              <w:rPr>
                <w:rFonts w:asciiTheme="majorBidi" w:hAnsiTheme="majorBidi" w:cstheme="majorBidi"/>
                <w:sz w:val="20"/>
                <w:szCs w:val="20"/>
              </w:rPr>
              <w:t>&lt;160</w:t>
            </w:r>
          </w:p>
        </w:tc>
        <w:tc>
          <w:tcPr>
            <w:tcW w:w="690" w:type="pct"/>
          </w:tcPr>
          <w:p w14:paraId="5AD617BA"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strong risk</w:t>
            </w:r>
          </w:p>
        </w:tc>
        <w:tc>
          <w:tcPr>
            <w:tcW w:w="1055" w:type="pct"/>
          </w:tcPr>
          <w:p w14:paraId="6259274A"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240≤</w:t>
            </w:r>
            <m:oMath>
              <m:r>
                <w:rPr>
                  <w:rFonts w:ascii="Cambria Math" w:hAnsi="Cambria Math" w:cstheme="majorBidi"/>
                  <w:kern w:val="0"/>
                  <w:sz w:val="20"/>
                  <w:szCs w:val="20"/>
                </w:rPr>
                <m:t>RI</m:t>
              </m:r>
            </m:oMath>
            <w:r>
              <w:rPr>
                <w:rFonts w:asciiTheme="majorBidi" w:hAnsiTheme="majorBidi" w:cstheme="majorBidi"/>
                <w:sz w:val="20"/>
                <w:szCs w:val="20"/>
              </w:rPr>
              <w:t>&lt;480</w:t>
            </w:r>
          </w:p>
        </w:tc>
        <w:tc>
          <w:tcPr>
            <w:tcW w:w="690" w:type="pct"/>
          </w:tcPr>
          <w:p w14:paraId="1145313B"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strong risk</w:t>
            </w:r>
          </w:p>
        </w:tc>
      </w:tr>
      <w:tr w:rsidR="00043F49" w14:paraId="745BEBBF" w14:textId="77777777">
        <w:tc>
          <w:tcPr>
            <w:tcW w:w="1161" w:type="pct"/>
            <w:vAlign w:val="center"/>
          </w:tcPr>
          <w:p w14:paraId="57869CBF"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Cu</w:t>
            </w:r>
          </w:p>
        </w:tc>
        <w:tc>
          <w:tcPr>
            <w:tcW w:w="346" w:type="pct"/>
          </w:tcPr>
          <w:p w14:paraId="62383868"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5</w:t>
            </w:r>
          </w:p>
        </w:tc>
        <w:tc>
          <w:tcPr>
            <w:tcW w:w="1057" w:type="pct"/>
          </w:tcPr>
          <w:p w14:paraId="21D8D2A3"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160≤</w:t>
            </w: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r>
              <w:rPr>
                <w:rFonts w:asciiTheme="majorBidi" w:hAnsiTheme="majorBidi" w:cstheme="majorBidi"/>
                <w:sz w:val="20"/>
                <w:szCs w:val="20"/>
              </w:rPr>
              <w:t>&lt;320</w:t>
            </w:r>
          </w:p>
        </w:tc>
        <w:tc>
          <w:tcPr>
            <w:tcW w:w="690" w:type="pct"/>
          </w:tcPr>
          <w:p w14:paraId="16157D6D" w14:textId="77777777" w:rsidR="00043F49" w:rsidRDefault="00000000">
            <w:pPr>
              <w:spacing w:line="360" w:lineRule="auto"/>
              <w:rPr>
                <w:rFonts w:asciiTheme="majorBidi" w:hAnsiTheme="majorBidi" w:cstheme="majorBidi"/>
                <w:sz w:val="20"/>
                <w:szCs w:val="20"/>
              </w:rPr>
            </w:pPr>
            <w:r>
              <w:rPr>
                <w:rFonts w:asciiTheme="majorBidi" w:hAnsiTheme="majorBidi" w:cstheme="majorBidi"/>
                <w:sz w:val="20"/>
                <w:szCs w:val="20"/>
              </w:rPr>
              <w:t>quite strong risk</w:t>
            </w:r>
          </w:p>
        </w:tc>
        <w:tc>
          <w:tcPr>
            <w:tcW w:w="1055" w:type="pct"/>
          </w:tcPr>
          <w:p w14:paraId="517979A4" w14:textId="77777777" w:rsidR="00043F49" w:rsidRDefault="00000000">
            <w:pPr>
              <w:spacing w:line="360" w:lineRule="auto"/>
              <w:jc w:val="left"/>
              <w:rPr>
                <w:rFonts w:asciiTheme="majorBidi" w:hAnsiTheme="majorBidi" w:cstheme="majorBidi"/>
                <w:sz w:val="20"/>
                <w:szCs w:val="20"/>
              </w:rPr>
            </w:pPr>
            <m:oMath>
              <m:r>
                <w:rPr>
                  <w:rFonts w:ascii="Cambria Math" w:hAnsi="Cambria Math" w:cstheme="majorBidi"/>
                  <w:kern w:val="0"/>
                  <w:sz w:val="20"/>
                  <w:szCs w:val="20"/>
                </w:rPr>
                <m:t>RI</m:t>
              </m:r>
            </m:oMath>
            <w:r>
              <w:rPr>
                <w:rFonts w:asciiTheme="majorBidi" w:hAnsiTheme="majorBidi" w:cstheme="majorBidi"/>
                <w:kern w:val="0"/>
                <w:sz w:val="20"/>
                <w:szCs w:val="20"/>
              </w:rPr>
              <w:t>≥</w:t>
            </w:r>
            <w:r>
              <w:rPr>
                <w:rFonts w:asciiTheme="majorBidi" w:hAnsiTheme="majorBidi" w:cstheme="majorBidi"/>
                <w:sz w:val="20"/>
                <w:szCs w:val="20"/>
              </w:rPr>
              <w:t>480</w:t>
            </w:r>
          </w:p>
        </w:tc>
        <w:tc>
          <w:tcPr>
            <w:tcW w:w="690" w:type="pct"/>
          </w:tcPr>
          <w:p w14:paraId="3C3C6783"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quite strong risk</w:t>
            </w:r>
          </w:p>
        </w:tc>
      </w:tr>
      <w:tr w:rsidR="00043F49" w14:paraId="30553EE1" w14:textId="77777777">
        <w:tc>
          <w:tcPr>
            <w:tcW w:w="1161" w:type="pct"/>
            <w:vAlign w:val="center"/>
          </w:tcPr>
          <w:p w14:paraId="056FF274"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Hg</w:t>
            </w:r>
          </w:p>
        </w:tc>
        <w:tc>
          <w:tcPr>
            <w:tcW w:w="346" w:type="pct"/>
          </w:tcPr>
          <w:p w14:paraId="32B50D8E"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40</w:t>
            </w:r>
          </w:p>
        </w:tc>
        <w:tc>
          <w:tcPr>
            <w:tcW w:w="1057" w:type="pct"/>
          </w:tcPr>
          <w:p w14:paraId="66D5CA03" w14:textId="77777777" w:rsidR="00043F49" w:rsidRDefault="00000000">
            <w:pPr>
              <w:spacing w:line="360" w:lineRule="auto"/>
              <w:jc w:val="left"/>
              <w:rPr>
                <w:rFonts w:asciiTheme="majorBidi" w:hAnsiTheme="majorBidi" w:cstheme="majorBidi"/>
                <w:sz w:val="20"/>
                <w:szCs w:val="20"/>
              </w:rPr>
            </w:pPr>
            <m:oMath>
              <m:sSubSup>
                <m:sSubSupPr>
                  <m:ctrlPr>
                    <w:rPr>
                      <w:rFonts w:ascii="Cambria Math" w:eastAsia="宋体" w:hAnsi="Cambria Math" w:cstheme="majorBidi"/>
                      <w:i/>
                      <w:sz w:val="20"/>
                      <w:szCs w:val="20"/>
                    </w:rPr>
                  </m:ctrlPr>
                </m:sSubSupPr>
                <m:e>
                  <m:r>
                    <w:rPr>
                      <w:rFonts w:ascii="Cambria Math" w:hAnsi="Cambria Math" w:cstheme="majorBidi"/>
                      <w:kern w:val="0"/>
                      <w:sz w:val="20"/>
                      <w:szCs w:val="20"/>
                    </w:rPr>
                    <m:t>E</m:t>
                  </m:r>
                </m:e>
                <m:sub>
                  <m:r>
                    <w:rPr>
                      <w:rFonts w:ascii="Cambria Math" w:hAnsi="Cambria Math" w:cstheme="majorBidi"/>
                      <w:kern w:val="0"/>
                      <w:sz w:val="20"/>
                      <w:szCs w:val="20"/>
                    </w:rPr>
                    <m:t>r</m:t>
                  </m:r>
                </m:sub>
                <m:sup>
                  <m:r>
                    <w:rPr>
                      <w:rFonts w:ascii="Cambria Math" w:hAnsi="Cambria Math" w:cstheme="majorBidi"/>
                      <w:kern w:val="0"/>
                      <w:sz w:val="20"/>
                      <w:szCs w:val="20"/>
                    </w:rPr>
                    <m:t>i</m:t>
                  </m:r>
                </m:sup>
              </m:sSubSup>
            </m:oMath>
            <w:r>
              <w:rPr>
                <w:rFonts w:asciiTheme="majorBidi" w:hAnsiTheme="majorBidi" w:cstheme="majorBidi"/>
                <w:sz w:val="20"/>
                <w:szCs w:val="20"/>
              </w:rPr>
              <w:t>≥320</w:t>
            </w:r>
          </w:p>
        </w:tc>
        <w:tc>
          <w:tcPr>
            <w:tcW w:w="690" w:type="pct"/>
          </w:tcPr>
          <w:p w14:paraId="32B3D598"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extremely strong risk</w:t>
            </w:r>
          </w:p>
        </w:tc>
        <w:tc>
          <w:tcPr>
            <w:tcW w:w="1055" w:type="pct"/>
          </w:tcPr>
          <w:p w14:paraId="3815EF67" w14:textId="77777777" w:rsidR="00043F49" w:rsidRDefault="00043F49">
            <w:pPr>
              <w:spacing w:line="360" w:lineRule="auto"/>
              <w:jc w:val="left"/>
              <w:rPr>
                <w:rFonts w:asciiTheme="majorBidi" w:hAnsiTheme="majorBidi" w:cstheme="majorBidi"/>
                <w:sz w:val="20"/>
                <w:szCs w:val="20"/>
              </w:rPr>
            </w:pPr>
          </w:p>
        </w:tc>
        <w:tc>
          <w:tcPr>
            <w:tcW w:w="690" w:type="pct"/>
          </w:tcPr>
          <w:p w14:paraId="3C8E0B53" w14:textId="77777777" w:rsidR="00043F49" w:rsidRDefault="00043F49">
            <w:pPr>
              <w:spacing w:line="360" w:lineRule="auto"/>
              <w:jc w:val="left"/>
              <w:rPr>
                <w:rFonts w:asciiTheme="majorBidi" w:hAnsiTheme="majorBidi" w:cstheme="majorBidi"/>
                <w:sz w:val="20"/>
                <w:szCs w:val="20"/>
              </w:rPr>
            </w:pPr>
          </w:p>
        </w:tc>
      </w:tr>
      <w:tr w:rsidR="00043F49" w14:paraId="3A315BA0" w14:textId="77777777">
        <w:tc>
          <w:tcPr>
            <w:tcW w:w="1161" w:type="pct"/>
            <w:vAlign w:val="center"/>
          </w:tcPr>
          <w:p w14:paraId="5159FB67"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Mn</w:t>
            </w:r>
          </w:p>
        </w:tc>
        <w:tc>
          <w:tcPr>
            <w:tcW w:w="346" w:type="pct"/>
          </w:tcPr>
          <w:p w14:paraId="040E8B11"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1</w:t>
            </w:r>
          </w:p>
        </w:tc>
        <w:tc>
          <w:tcPr>
            <w:tcW w:w="1057" w:type="pct"/>
          </w:tcPr>
          <w:p w14:paraId="3CF9CD30" w14:textId="77777777" w:rsidR="00043F49" w:rsidRDefault="00043F49">
            <w:pPr>
              <w:spacing w:line="360" w:lineRule="auto"/>
              <w:jc w:val="left"/>
              <w:rPr>
                <w:rFonts w:asciiTheme="majorBidi" w:hAnsiTheme="majorBidi" w:cstheme="majorBidi"/>
                <w:sz w:val="20"/>
                <w:szCs w:val="20"/>
              </w:rPr>
            </w:pPr>
          </w:p>
        </w:tc>
        <w:tc>
          <w:tcPr>
            <w:tcW w:w="690" w:type="pct"/>
          </w:tcPr>
          <w:p w14:paraId="56418540" w14:textId="77777777" w:rsidR="00043F49" w:rsidRDefault="00043F49">
            <w:pPr>
              <w:spacing w:line="360" w:lineRule="auto"/>
              <w:jc w:val="left"/>
              <w:rPr>
                <w:rFonts w:asciiTheme="majorBidi" w:hAnsiTheme="majorBidi" w:cstheme="majorBidi"/>
                <w:sz w:val="20"/>
                <w:szCs w:val="20"/>
              </w:rPr>
            </w:pPr>
          </w:p>
        </w:tc>
        <w:tc>
          <w:tcPr>
            <w:tcW w:w="1055" w:type="pct"/>
          </w:tcPr>
          <w:p w14:paraId="2AA1C7C9" w14:textId="77777777" w:rsidR="00043F49" w:rsidRDefault="00043F49">
            <w:pPr>
              <w:spacing w:line="360" w:lineRule="auto"/>
              <w:jc w:val="left"/>
              <w:rPr>
                <w:rFonts w:asciiTheme="majorBidi" w:hAnsiTheme="majorBidi" w:cstheme="majorBidi"/>
                <w:sz w:val="20"/>
                <w:szCs w:val="20"/>
              </w:rPr>
            </w:pPr>
          </w:p>
        </w:tc>
        <w:tc>
          <w:tcPr>
            <w:tcW w:w="690" w:type="pct"/>
          </w:tcPr>
          <w:p w14:paraId="1B7A3433" w14:textId="77777777" w:rsidR="00043F49" w:rsidRDefault="00043F49">
            <w:pPr>
              <w:spacing w:line="360" w:lineRule="auto"/>
              <w:jc w:val="left"/>
              <w:rPr>
                <w:rFonts w:asciiTheme="majorBidi" w:hAnsiTheme="majorBidi" w:cstheme="majorBidi"/>
                <w:sz w:val="20"/>
                <w:szCs w:val="20"/>
              </w:rPr>
            </w:pPr>
          </w:p>
        </w:tc>
      </w:tr>
      <w:tr w:rsidR="00043F49" w14:paraId="3D73D62F" w14:textId="77777777">
        <w:tc>
          <w:tcPr>
            <w:tcW w:w="1161" w:type="pct"/>
            <w:vAlign w:val="center"/>
          </w:tcPr>
          <w:p w14:paraId="1294CD76"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Ni</w:t>
            </w:r>
          </w:p>
        </w:tc>
        <w:tc>
          <w:tcPr>
            <w:tcW w:w="346" w:type="pct"/>
          </w:tcPr>
          <w:p w14:paraId="719AF484"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5</w:t>
            </w:r>
          </w:p>
        </w:tc>
        <w:tc>
          <w:tcPr>
            <w:tcW w:w="1057" w:type="pct"/>
          </w:tcPr>
          <w:p w14:paraId="60A3652F" w14:textId="77777777" w:rsidR="00043F49" w:rsidRDefault="00043F49">
            <w:pPr>
              <w:spacing w:line="360" w:lineRule="auto"/>
              <w:jc w:val="left"/>
              <w:rPr>
                <w:rFonts w:asciiTheme="majorBidi" w:hAnsiTheme="majorBidi" w:cstheme="majorBidi"/>
                <w:sz w:val="20"/>
                <w:szCs w:val="20"/>
              </w:rPr>
            </w:pPr>
          </w:p>
        </w:tc>
        <w:tc>
          <w:tcPr>
            <w:tcW w:w="690" w:type="pct"/>
          </w:tcPr>
          <w:p w14:paraId="776DB861" w14:textId="77777777" w:rsidR="00043F49" w:rsidRDefault="00043F49">
            <w:pPr>
              <w:spacing w:line="360" w:lineRule="auto"/>
              <w:jc w:val="left"/>
              <w:rPr>
                <w:rFonts w:asciiTheme="majorBidi" w:hAnsiTheme="majorBidi" w:cstheme="majorBidi"/>
                <w:sz w:val="20"/>
                <w:szCs w:val="20"/>
              </w:rPr>
            </w:pPr>
          </w:p>
        </w:tc>
        <w:tc>
          <w:tcPr>
            <w:tcW w:w="1055" w:type="pct"/>
          </w:tcPr>
          <w:p w14:paraId="47474831" w14:textId="77777777" w:rsidR="00043F49" w:rsidRDefault="00043F49">
            <w:pPr>
              <w:spacing w:line="360" w:lineRule="auto"/>
              <w:jc w:val="left"/>
              <w:rPr>
                <w:rFonts w:asciiTheme="majorBidi" w:hAnsiTheme="majorBidi" w:cstheme="majorBidi"/>
                <w:sz w:val="20"/>
                <w:szCs w:val="20"/>
              </w:rPr>
            </w:pPr>
          </w:p>
        </w:tc>
        <w:tc>
          <w:tcPr>
            <w:tcW w:w="690" w:type="pct"/>
          </w:tcPr>
          <w:p w14:paraId="14A94975" w14:textId="77777777" w:rsidR="00043F49" w:rsidRDefault="00043F49">
            <w:pPr>
              <w:spacing w:line="360" w:lineRule="auto"/>
              <w:jc w:val="left"/>
              <w:rPr>
                <w:rFonts w:asciiTheme="majorBidi" w:hAnsiTheme="majorBidi" w:cstheme="majorBidi"/>
                <w:sz w:val="20"/>
                <w:szCs w:val="20"/>
              </w:rPr>
            </w:pPr>
          </w:p>
        </w:tc>
      </w:tr>
      <w:tr w:rsidR="00043F49" w14:paraId="245D7404" w14:textId="77777777">
        <w:tc>
          <w:tcPr>
            <w:tcW w:w="1161" w:type="pct"/>
            <w:vAlign w:val="center"/>
          </w:tcPr>
          <w:p w14:paraId="1FECAA42"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Pb</w:t>
            </w:r>
          </w:p>
        </w:tc>
        <w:tc>
          <w:tcPr>
            <w:tcW w:w="346" w:type="pct"/>
          </w:tcPr>
          <w:p w14:paraId="554C7001"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sz w:val="20"/>
                <w:szCs w:val="20"/>
              </w:rPr>
              <w:t>5</w:t>
            </w:r>
          </w:p>
        </w:tc>
        <w:tc>
          <w:tcPr>
            <w:tcW w:w="1057" w:type="pct"/>
          </w:tcPr>
          <w:p w14:paraId="7071C1E2" w14:textId="77777777" w:rsidR="00043F49" w:rsidRDefault="00043F49">
            <w:pPr>
              <w:spacing w:line="360" w:lineRule="auto"/>
              <w:jc w:val="left"/>
              <w:rPr>
                <w:rFonts w:asciiTheme="majorBidi" w:hAnsiTheme="majorBidi" w:cstheme="majorBidi"/>
                <w:sz w:val="20"/>
                <w:szCs w:val="20"/>
              </w:rPr>
            </w:pPr>
          </w:p>
        </w:tc>
        <w:tc>
          <w:tcPr>
            <w:tcW w:w="690" w:type="pct"/>
          </w:tcPr>
          <w:p w14:paraId="5727EE0A" w14:textId="77777777" w:rsidR="00043F49" w:rsidRDefault="00043F49">
            <w:pPr>
              <w:spacing w:line="360" w:lineRule="auto"/>
              <w:jc w:val="left"/>
              <w:rPr>
                <w:rFonts w:asciiTheme="majorBidi" w:hAnsiTheme="majorBidi" w:cstheme="majorBidi"/>
                <w:sz w:val="20"/>
                <w:szCs w:val="20"/>
              </w:rPr>
            </w:pPr>
          </w:p>
        </w:tc>
        <w:tc>
          <w:tcPr>
            <w:tcW w:w="1055" w:type="pct"/>
          </w:tcPr>
          <w:p w14:paraId="31E3E80D" w14:textId="77777777" w:rsidR="00043F49" w:rsidRDefault="00043F49">
            <w:pPr>
              <w:spacing w:line="360" w:lineRule="auto"/>
              <w:jc w:val="left"/>
              <w:rPr>
                <w:rFonts w:asciiTheme="majorBidi" w:hAnsiTheme="majorBidi" w:cstheme="majorBidi"/>
                <w:sz w:val="20"/>
                <w:szCs w:val="20"/>
              </w:rPr>
            </w:pPr>
          </w:p>
        </w:tc>
        <w:tc>
          <w:tcPr>
            <w:tcW w:w="690" w:type="pct"/>
          </w:tcPr>
          <w:p w14:paraId="0F49FC37" w14:textId="77777777" w:rsidR="00043F49" w:rsidRDefault="00043F49">
            <w:pPr>
              <w:spacing w:line="360" w:lineRule="auto"/>
              <w:jc w:val="left"/>
              <w:rPr>
                <w:rFonts w:asciiTheme="majorBidi" w:hAnsiTheme="majorBidi" w:cstheme="majorBidi"/>
                <w:sz w:val="20"/>
                <w:szCs w:val="20"/>
              </w:rPr>
            </w:pPr>
          </w:p>
        </w:tc>
      </w:tr>
      <w:tr w:rsidR="00043F49" w14:paraId="351B76B2" w14:textId="77777777">
        <w:tc>
          <w:tcPr>
            <w:tcW w:w="1161" w:type="pct"/>
            <w:vAlign w:val="center"/>
          </w:tcPr>
          <w:p w14:paraId="30389379" w14:textId="77777777" w:rsidR="00043F49" w:rsidRDefault="00000000">
            <w:pPr>
              <w:spacing w:line="360" w:lineRule="auto"/>
              <w:jc w:val="left"/>
              <w:rPr>
                <w:rFonts w:asciiTheme="majorBidi" w:hAnsiTheme="majorBidi" w:cstheme="majorBidi"/>
                <w:sz w:val="20"/>
                <w:szCs w:val="20"/>
              </w:rPr>
            </w:pPr>
            <w:r>
              <w:rPr>
                <w:rFonts w:asciiTheme="majorBidi" w:eastAsia="等线" w:hAnsiTheme="majorBidi" w:cstheme="majorBidi"/>
                <w:color w:val="000000"/>
                <w:sz w:val="20"/>
                <w:szCs w:val="20"/>
              </w:rPr>
              <w:t>Zn</w:t>
            </w:r>
          </w:p>
        </w:tc>
        <w:tc>
          <w:tcPr>
            <w:tcW w:w="346" w:type="pct"/>
          </w:tcPr>
          <w:p w14:paraId="057E5084" w14:textId="77777777" w:rsidR="00043F49" w:rsidRDefault="00000000">
            <w:pPr>
              <w:spacing w:line="360" w:lineRule="auto"/>
              <w:jc w:val="left"/>
              <w:rPr>
                <w:rFonts w:asciiTheme="majorBidi" w:hAnsiTheme="majorBidi" w:cstheme="majorBidi"/>
                <w:sz w:val="20"/>
                <w:szCs w:val="20"/>
              </w:rPr>
            </w:pPr>
            <w:r>
              <w:rPr>
                <w:rFonts w:asciiTheme="majorBidi" w:hAnsiTheme="majorBidi" w:cstheme="majorBidi" w:hint="eastAsia"/>
                <w:sz w:val="20"/>
                <w:szCs w:val="20"/>
              </w:rPr>
              <w:t>1</w:t>
            </w:r>
          </w:p>
        </w:tc>
        <w:tc>
          <w:tcPr>
            <w:tcW w:w="1057" w:type="pct"/>
          </w:tcPr>
          <w:p w14:paraId="59E39D56" w14:textId="77777777" w:rsidR="00043F49" w:rsidRDefault="00043F49">
            <w:pPr>
              <w:spacing w:line="360" w:lineRule="auto"/>
              <w:jc w:val="left"/>
              <w:rPr>
                <w:rFonts w:asciiTheme="majorBidi" w:hAnsiTheme="majorBidi" w:cstheme="majorBidi"/>
                <w:sz w:val="20"/>
                <w:szCs w:val="20"/>
              </w:rPr>
            </w:pPr>
          </w:p>
        </w:tc>
        <w:tc>
          <w:tcPr>
            <w:tcW w:w="690" w:type="pct"/>
          </w:tcPr>
          <w:p w14:paraId="0C17CDBA" w14:textId="77777777" w:rsidR="00043F49" w:rsidRDefault="00043F49">
            <w:pPr>
              <w:spacing w:line="360" w:lineRule="auto"/>
              <w:jc w:val="left"/>
              <w:rPr>
                <w:rFonts w:asciiTheme="majorBidi" w:hAnsiTheme="majorBidi" w:cstheme="majorBidi"/>
                <w:sz w:val="20"/>
                <w:szCs w:val="20"/>
              </w:rPr>
            </w:pPr>
          </w:p>
        </w:tc>
        <w:tc>
          <w:tcPr>
            <w:tcW w:w="1055" w:type="pct"/>
          </w:tcPr>
          <w:p w14:paraId="083C181D" w14:textId="77777777" w:rsidR="00043F49" w:rsidRDefault="00043F49">
            <w:pPr>
              <w:spacing w:line="360" w:lineRule="auto"/>
              <w:jc w:val="left"/>
              <w:rPr>
                <w:rFonts w:asciiTheme="majorBidi" w:hAnsiTheme="majorBidi" w:cstheme="majorBidi"/>
                <w:sz w:val="20"/>
                <w:szCs w:val="20"/>
              </w:rPr>
            </w:pPr>
          </w:p>
        </w:tc>
        <w:tc>
          <w:tcPr>
            <w:tcW w:w="690" w:type="pct"/>
          </w:tcPr>
          <w:p w14:paraId="0475C537" w14:textId="77777777" w:rsidR="00043F49" w:rsidRDefault="00043F49">
            <w:pPr>
              <w:spacing w:line="360" w:lineRule="auto"/>
              <w:jc w:val="left"/>
              <w:rPr>
                <w:rFonts w:asciiTheme="majorBidi" w:hAnsiTheme="majorBidi" w:cstheme="majorBidi"/>
                <w:sz w:val="20"/>
                <w:szCs w:val="20"/>
              </w:rPr>
            </w:pPr>
          </w:p>
        </w:tc>
      </w:tr>
    </w:tbl>
    <w:p w14:paraId="79A5487A" w14:textId="77777777" w:rsidR="00043F49" w:rsidRDefault="00043F49">
      <w:pPr>
        <w:rPr>
          <w:rFonts w:ascii="Times New Roman" w:hAnsi="Times New Roman" w:cs="Times New Roman"/>
          <w:sz w:val="20"/>
          <w:szCs w:val="20"/>
        </w:rPr>
      </w:pPr>
    </w:p>
    <w:p w14:paraId="54DA6AE7" w14:textId="77777777" w:rsidR="00043F49" w:rsidRDefault="00043F49">
      <w:pPr>
        <w:pStyle w:val="1"/>
        <w:spacing w:before="0" w:after="0" w:line="360" w:lineRule="auto"/>
        <w:jc w:val="center"/>
        <w:rPr>
          <w:rFonts w:ascii="Times New Roman" w:hAnsi="Times New Roman" w:cs="Times New Roman"/>
          <w:sz w:val="20"/>
          <w:szCs w:val="20"/>
        </w:rPr>
        <w:sectPr w:rsidR="00043F49">
          <w:pgSz w:w="16838" w:h="11906" w:orient="landscape"/>
          <w:pgMar w:top="1134" w:right="851" w:bottom="1134" w:left="851" w:header="851" w:footer="992" w:gutter="0"/>
          <w:lnNumType w:countBy="1" w:restart="continuous"/>
          <w:cols w:space="425"/>
          <w:docGrid w:type="lines" w:linePitch="312"/>
        </w:sectPr>
      </w:pPr>
    </w:p>
    <w:p w14:paraId="5A44000D" w14:textId="77777777" w:rsidR="00043F49" w:rsidRDefault="00000000">
      <w:pPr>
        <w:pStyle w:val="1"/>
        <w:spacing w:beforeLines="50" w:before="156" w:afterLines="50" w:after="156" w:line="360" w:lineRule="auto"/>
        <w:jc w:val="center"/>
        <w:rPr>
          <w:rFonts w:ascii="Times New Roman" w:hAnsi="Times New Roman" w:cs="Times New Roman"/>
          <w:b w:val="0"/>
          <w:bCs w:val="0"/>
          <w:sz w:val="20"/>
          <w:szCs w:val="20"/>
        </w:rPr>
      </w:pPr>
      <w:r>
        <w:rPr>
          <w:rFonts w:ascii="Times New Roman" w:hAnsi="Times New Roman" w:cs="Times New Roman"/>
          <w:sz w:val="20"/>
          <w:szCs w:val="20"/>
        </w:rPr>
        <w:lastRenderedPageBreak/>
        <w:t>Table S</w:t>
      </w:r>
      <w:r>
        <w:rPr>
          <w:rFonts w:ascii="Times New Roman" w:hAnsi="Times New Roman" w:cs="Times New Roman" w:hint="eastAsia"/>
          <w:sz w:val="20"/>
          <w:szCs w:val="20"/>
        </w:rPr>
        <w:t>7</w:t>
      </w:r>
      <w:r>
        <w:rPr>
          <w:rFonts w:ascii="Times New Roman" w:hAnsi="Times New Roman" w:cs="Times New Roman"/>
          <w:b w:val="0"/>
          <w:bCs w:val="0"/>
          <w:sz w:val="20"/>
          <w:szCs w:val="20"/>
        </w:rPr>
        <w:t xml:space="preserve"> THI from heavy metal exposure from food consumption and environmental media</w:t>
      </w:r>
    </w:p>
    <w:tbl>
      <w:tblPr>
        <w:tblW w:w="5000" w:type="pct"/>
        <w:tblLook w:val="04A0" w:firstRow="1" w:lastRow="0" w:firstColumn="1" w:lastColumn="0" w:noHBand="0" w:noVBand="1"/>
      </w:tblPr>
      <w:tblGrid>
        <w:gridCol w:w="1513"/>
        <w:gridCol w:w="1329"/>
        <w:gridCol w:w="1135"/>
        <w:gridCol w:w="1135"/>
        <w:gridCol w:w="1136"/>
        <w:gridCol w:w="1136"/>
        <w:gridCol w:w="1136"/>
        <w:gridCol w:w="1136"/>
        <w:gridCol w:w="1136"/>
        <w:gridCol w:w="1136"/>
        <w:gridCol w:w="1136"/>
        <w:gridCol w:w="1136"/>
        <w:gridCol w:w="1188"/>
      </w:tblGrid>
      <w:tr w:rsidR="00043F49" w14:paraId="75D5DAA2" w14:textId="77777777">
        <w:trPr>
          <w:trHeight w:val="287"/>
        </w:trPr>
        <w:tc>
          <w:tcPr>
            <w:tcW w:w="492" w:type="pct"/>
            <w:tcBorders>
              <w:top w:val="single" w:sz="4" w:space="0" w:color="auto"/>
              <w:left w:val="single" w:sz="4" w:space="0" w:color="auto"/>
              <w:bottom w:val="single" w:sz="4" w:space="0" w:color="auto"/>
              <w:right w:val="single" w:sz="4" w:space="0" w:color="auto"/>
            </w:tcBorders>
          </w:tcPr>
          <w:p w14:paraId="7DC2CE48" w14:textId="77777777" w:rsidR="00043F49" w:rsidRDefault="00000000">
            <w:pPr>
              <w:widowControl/>
              <w:jc w:val="center"/>
              <w:rPr>
                <w:rFonts w:asciiTheme="majorBidi" w:eastAsia="宋体" w:hAnsiTheme="majorBidi" w:cstheme="majorBidi"/>
                <w:color w:val="000000" w:themeColor="text1"/>
                <w:kern w:val="0"/>
                <w:sz w:val="20"/>
                <w:szCs w:val="20"/>
                <w:lang w:bidi="he-IL"/>
              </w:rPr>
            </w:pPr>
            <w:bookmarkStart w:id="0" w:name="OLE_LINK1"/>
            <w:r>
              <w:rPr>
                <w:rFonts w:asciiTheme="majorBidi" w:eastAsia="宋体" w:hAnsiTheme="majorBidi" w:cstheme="majorBidi"/>
                <w:color w:val="000000" w:themeColor="text1"/>
                <w:kern w:val="0"/>
                <w:sz w:val="20"/>
                <w:szCs w:val="20"/>
                <w:lang w:bidi="he-IL"/>
              </w:rPr>
              <w:t>Exposure pathway</w:t>
            </w:r>
          </w:p>
        </w:tc>
        <w:tc>
          <w:tcPr>
            <w:tcW w:w="4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09F03" w14:textId="77777777" w:rsidR="00043F49" w:rsidRDefault="00000000">
            <w:pPr>
              <w:widowControl/>
              <w:jc w:val="center"/>
              <w:rPr>
                <w:rFonts w:asciiTheme="majorBidi" w:eastAsia="宋体" w:hAnsiTheme="majorBidi" w:cstheme="majorBidi"/>
                <w:color w:val="000000" w:themeColor="text1"/>
                <w:kern w:val="0"/>
                <w:sz w:val="20"/>
                <w:szCs w:val="20"/>
                <w:lang w:bidi="he-IL"/>
              </w:rPr>
            </w:pPr>
            <w:r>
              <w:rPr>
                <w:rFonts w:asciiTheme="majorBidi" w:eastAsia="宋体" w:hAnsiTheme="majorBidi" w:cstheme="majorBidi"/>
                <w:color w:val="000000" w:themeColor="text1"/>
                <w:kern w:val="0"/>
                <w:sz w:val="20"/>
                <w:szCs w:val="20"/>
                <w:lang w:bidi="he-IL"/>
              </w:rPr>
              <w:t>Age group</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3C90FD7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As</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2159CEF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Cd</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0D6503A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Cr</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7749695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Cu</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565C1D3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Fe</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26DA316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Hg</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1BA7305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Mn</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77F72CB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Ni</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607C170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Pb</w:t>
            </w:r>
          </w:p>
        </w:tc>
        <w:tc>
          <w:tcPr>
            <w:tcW w:w="369" w:type="pct"/>
            <w:tcBorders>
              <w:top w:val="single" w:sz="4" w:space="0" w:color="auto"/>
              <w:left w:val="nil"/>
              <w:bottom w:val="single" w:sz="4" w:space="0" w:color="auto"/>
              <w:right w:val="single" w:sz="4" w:space="0" w:color="auto"/>
            </w:tcBorders>
            <w:shd w:val="clear" w:color="auto" w:fill="auto"/>
            <w:noWrap/>
            <w:vAlign w:val="center"/>
          </w:tcPr>
          <w:p w14:paraId="138CC67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Zn</w:t>
            </w:r>
          </w:p>
        </w:tc>
        <w:tc>
          <w:tcPr>
            <w:tcW w:w="386" w:type="pct"/>
            <w:tcBorders>
              <w:top w:val="single" w:sz="4" w:space="0" w:color="auto"/>
              <w:left w:val="nil"/>
              <w:bottom w:val="single" w:sz="4" w:space="0" w:color="auto"/>
              <w:right w:val="single" w:sz="4" w:space="0" w:color="auto"/>
            </w:tcBorders>
            <w:shd w:val="clear" w:color="auto" w:fill="auto"/>
            <w:noWrap/>
            <w:vAlign w:val="center"/>
          </w:tcPr>
          <w:p w14:paraId="1AA6389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THI</w:t>
            </w:r>
          </w:p>
        </w:tc>
      </w:tr>
      <w:tr w:rsidR="00043F49" w14:paraId="1C013AB9" w14:textId="77777777">
        <w:trPr>
          <w:trHeight w:val="280"/>
        </w:trPr>
        <w:tc>
          <w:tcPr>
            <w:tcW w:w="492" w:type="pct"/>
            <w:vMerge w:val="restart"/>
            <w:tcBorders>
              <w:top w:val="nil"/>
              <w:left w:val="single" w:sz="4" w:space="0" w:color="auto"/>
              <w:right w:val="single" w:sz="4" w:space="0" w:color="auto"/>
            </w:tcBorders>
          </w:tcPr>
          <w:p w14:paraId="28317AA1" w14:textId="77777777" w:rsidR="00043F49" w:rsidRDefault="00000000">
            <w:pPr>
              <w:widowControl/>
              <w:jc w:val="center"/>
              <w:rPr>
                <w:rFonts w:asciiTheme="majorBidi" w:eastAsia="等线" w:hAnsiTheme="majorBidi" w:cstheme="majorBidi"/>
                <w:color w:val="000000" w:themeColor="text1"/>
                <w:kern w:val="0"/>
                <w:sz w:val="20"/>
                <w:szCs w:val="20"/>
                <w:lang w:bidi="he-IL"/>
              </w:rPr>
            </w:pPr>
            <w:bookmarkStart w:id="1" w:name="_Hlk104277508"/>
            <w:r>
              <w:rPr>
                <w:rFonts w:asciiTheme="majorBidi" w:eastAsia="等线" w:hAnsiTheme="majorBidi" w:cstheme="majorBidi"/>
                <w:color w:val="000000" w:themeColor="text1"/>
                <w:kern w:val="0"/>
                <w:sz w:val="20"/>
                <w:szCs w:val="20"/>
                <w:lang w:bidi="he-IL"/>
              </w:rPr>
              <w:t>Ingestion</w:t>
            </w:r>
          </w:p>
        </w:tc>
        <w:tc>
          <w:tcPr>
            <w:tcW w:w="432" w:type="pct"/>
            <w:tcBorders>
              <w:top w:val="nil"/>
              <w:left w:val="single" w:sz="4" w:space="0" w:color="auto"/>
              <w:bottom w:val="single" w:sz="4" w:space="0" w:color="auto"/>
              <w:right w:val="single" w:sz="4" w:space="0" w:color="auto"/>
            </w:tcBorders>
            <w:shd w:val="clear" w:color="auto" w:fill="auto"/>
            <w:vAlign w:val="center"/>
          </w:tcPr>
          <w:p w14:paraId="0D3A3D0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2–&lt;3</w:t>
            </w:r>
          </w:p>
        </w:tc>
        <w:tc>
          <w:tcPr>
            <w:tcW w:w="369" w:type="pct"/>
            <w:tcBorders>
              <w:top w:val="nil"/>
              <w:left w:val="nil"/>
              <w:bottom w:val="single" w:sz="4" w:space="0" w:color="auto"/>
              <w:right w:val="single" w:sz="4" w:space="0" w:color="auto"/>
            </w:tcBorders>
            <w:shd w:val="clear" w:color="auto" w:fill="auto"/>
            <w:noWrap/>
            <w:vAlign w:val="center"/>
          </w:tcPr>
          <w:p w14:paraId="0E449E9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1.07E-01</w:t>
            </w:r>
          </w:p>
        </w:tc>
        <w:tc>
          <w:tcPr>
            <w:tcW w:w="369" w:type="pct"/>
            <w:tcBorders>
              <w:top w:val="nil"/>
              <w:left w:val="nil"/>
              <w:bottom w:val="single" w:sz="4" w:space="0" w:color="auto"/>
              <w:right w:val="single" w:sz="4" w:space="0" w:color="auto"/>
            </w:tcBorders>
            <w:shd w:val="clear" w:color="auto" w:fill="auto"/>
            <w:noWrap/>
            <w:vAlign w:val="center"/>
          </w:tcPr>
          <w:p w14:paraId="79841D2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8.84E-02</w:t>
            </w:r>
          </w:p>
        </w:tc>
        <w:tc>
          <w:tcPr>
            <w:tcW w:w="369" w:type="pct"/>
            <w:tcBorders>
              <w:top w:val="nil"/>
              <w:left w:val="nil"/>
              <w:bottom w:val="single" w:sz="4" w:space="0" w:color="auto"/>
              <w:right w:val="single" w:sz="4" w:space="0" w:color="auto"/>
            </w:tcBorders>
            <w:shd w:val="clear" w:color="auto" w:fill="auto"/>
            <w:noWrap/>
            <w:vAlign w:val="center"/>
          </w:tcPr>
          <w:p w14:paraId="5C5E6FE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1.87E-04</w:t>
            </w:r>
          </w:p>
        </w:tc>
        <w:tc>
          <w:tcPr>
            <w:tcW w:w="369" w:type="pct"/>
            <w:tcBorders>
              <w:top w:val="nil"/>
              <w:left w:val="nil"/>
              <w:bottom w:val="single" w:sz="4" w:space="0" w:color="auto"/>
              <w:right w:val="single" w:sz="4" w:space="0" w:color="auto"/>
            </w:tcBorders>
            <w:shd w:val="clear" w:color="auto" w:fill="auto"/>
            <w:noWrap/>
            <w:vAlign w:val="center"/>
          </w:tcPr>
          <w:p w14:paraId="2DF6CC0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2.12E-01</w:t>
            </w:r>
          </w:p>
        </w:tc>
        <w:tc>
          <w:tcPr>
            <w:tcW w:w="369" w:type="pct"/>
            <w:tcBorders>
              <w:top w:val="nil"/>
              <w:left w:val="nil"/>
              <w:bottom w:val="single" w:sz="4" w:space="0" w:color="auto"/>
              <w:right w:val="single" w:sz="4" w:space="0" w:color="auto"/>
            </w:tcBorders>
            <w:shd w:val="clear" w:color="auto" w:fill="auto"/>
            <w:noWrap/>
            <w:vAlign w:val="center"/>
          </w:tcPr>
          <w:p w14:paraId="6FFCFDD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9.49E-02</w:t>
            </w:r>
          </w:p>
        </w:tc>
        <w:tc>
          <w:tcPr>
            <w:tcW w:w="369" w:type="pct"/>
            <w:tcBorders>
              <w:top w:val="nil"/>
              <w:left w:val="nil"/>
              <w:bottom w:val="single" w:sz="4" w:space="0" w:color="auto"/>
              <w:right w:val="single" w:sz="4" w:space="0" w:color="auto"/>
            </w:tcBorders>
            <w:shd w:val="clear" w:color="auto" w:fill="auto"/>
            <w:noWrap/>
            <w:vAlign w:val="center"/>
          </w:tcPr>
          <w:p w14:paraId="57A39CF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1.76E-01</w:t>
            </w:r>
          </w:p>
        </w:tc>
        <w:tc>
          <w:tcPr>
            <w:tcW w:w="369" w:type="pct"/>
            <w:tcBorders>
              <w:top w:val="nil"/>
              <w:left w:val="nil"/>
              <w:bottom w:val="single" w:sz="4" w:space="0" w:color="auto"/>
              <w:right w:val="single" w:sz="4" w:space="0" w:color="auto"/>
            </w:tcBorders>
            <w:shd w:val="clear" w:color="auto" w:fill="auto"/>
            <w:noWrap/>
            <w:vAlign w:val="center"/>
          </w:tcPr>
          <w:p w14:paraId="3AC8900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5.66E-02</w:t>
            </w:r>
          </w:p>
        </w:tc>
        <w:tc>
          <w:tcPr>
            <w:tcW w:w="369" w:type="pct"/>
            <w:tcBorders>
              <w:top w:val="nil"/>
              <w:left w:val="nil"/>
              <w:bottom w:val="single" w:sz="4" w:space="0" w:color="auto"/>
              <w:right w:val="single" w:sz="4" w:space="0" w:color="auto"/>
            </w:tcBorders>
            <w:shd w:val="clear" w:color="auto" w:fill="auto"/>
            <w:noWrap/>
            <w:vAlign w:val="center"/>
          </w:tcPr>
          <w:p w14:paraId="3B4B665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2.21E-02</w:t>
            </w:r>
          </w:p>
        </w:tc>
        <w:tc>
          <w:tcPr>
            <w:tcW w:w="369" w:type="pct"/>
            <w:tcBorders>
              <w:top w:val="nil"/>
              <w:left w:val="nil"/>
              <w:bottom w:val="single" w:sz="4" w:space="0" w:color="auto"/>
              <w:right w:val="single" w:sz="4" w:space="0" w:color="auto"/>
            </w:tcBorders>
            <w:shd w:val="clear" w:color="auto" w:fill="auto"/>
            <w:noWrap/>
            <w:vAlign w:val="center"/>
          </w:tcPr>
          <w:p w14:paraId="56A2F29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9.17E-02</w:t>
            </w:r>
          </w:p>
        </w:tc>
        <w:tc>
          <w:tcPr>
            <w:tcW w:w="369" w:type="pct"/>
            <w:tcBorders>
              <w:top w:val="nil"/>
              <w:left w:val="nil"/>
              <w:bottom w:val="single" w:sz="4" w:space="0" w:color="auto"/>
              <w:right w:val="single" w:sz="4" w:space="0" w:color="auto"/>
            </w:tcBorders>
            <w:shd w:val="clear" w:color="auto" w:fill="auto"/>
            <w:noWrap/>
            <w:vAlign w:val="center"/>
          </w:tcPr>
          <w:p w14:paraId="4441B83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7.05E-02</w:t>
            </w:r>
          </w:p>
        </w:tc>
        <w:tc>
          <w:tcPr>
            <w:tcW w:w="386" w:type="pct"/>
            <w:tcBorders>
              <w:top w:val="nil"/>
              <w:left w:val="nil"/>
              <w:bottom w:val="single" w:sz="4" w:space="0" w:color="auto"/>
              <w:right w:val="single" w:sz="4" w:space="0" w:color="auto"/>
            </w:tcBorders>
            <w:shd w:val="clear" w:color="auto" w:fill="auto"/>
            <w:noWrap/>
            <w:vAlign w:val="center"/>
          </w:tcPr>
          <w:p w14:paraId="2845E22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9.20E-01</w:t>
            </w:r>
          </w:p>
        </w:tc>
      </w:tr>
      <w:tr w:rsidR="00043F49" w14:paraId="30FF8137" w14:textId="77777777">
        <w:trPr>
          <w:trHeight w:val="280"/>
        </w:trPr>
        <w:tc>
          <w:tcPr>
            <w:tcW w:w="492" w:type="pct"/>
            <w:vMerge/>
            <w:tcBorders>
              <w:left w:val="single" w:sz="4" w:space="0" w:color="auto"/>
              <w:right w:val="single" w:sz="4" w:space="0" w:color="auto"/>
            </w:tcBorders>
          </w:tcPr>
          <w:p w14:paraId="76369529"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27052A7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3–&lt;4</w:t>
            </w:r>
          </w:p>
        </w:tc>
        <w:tc>
          <w:tcPr>
            <w:tcW w:w="369" w:type="pct"/>
            <w:tcBorders>
              <w:top w:val="nil"/>
              <w:left w:val="nil"/>
              <w:bottom w:val="single" w:sz="4" w:space="0" w:color="auto"/>
              <w:right w:val="single" w:sz="4" w:space="0" w:color="auto"/>
            </w:tcBorders>
            <w:shd w:val="clear" w:color="auto" w:fill="auto"/>
            <w:noWrap/>
            <w:vAlign w:val="center"/>
          </w:tcPr>
          <w:p w14:paraId="0C3A4EA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7.79E-02</w:t>
            </w:r>
          </w:p>
        </w:tc>
        <w:tc>
          <w:tcPr>
            <w:tcW w:w="369" w:type="pct"/>
            <w:tcBorders>
              <w:top w:val="nil"/>
              <w:left w:val="nil"/>
              <w:bottom w:val="single" w:sz="4" w:space="0" w:color="auto"/>
              <w:right w:val="single" w:sz="4" w:space="0" w:color="auto"/>
            </w:tcBorders>
            <w:shd w:val="clear" w:color="auto" w:fill="auto"/>
            <w:noWrap/>
            <w:vAlign w:val="center"/>
          </w:tcPr>
          <w:p w14:paraId="33E7299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6.40E-02</w:t>
            </w:r>
          </w:p>
        </w:tc>
        <w:tc>
          <w:tcPr>
            <w:tcW w:w="369" w:type="pct"/>
            <w:tcBorders>
              <w:top w:val="nil"/>
              <w:left w:val="nil"/>
              <w:bottom w:val="single" w:sz="4" w:space="0" w:color="auto"/>
              <w:right w:val="single" w:sz="4" w:space="0" w:color="auto"/>
            </w:tcBorders>
            <w:shd w:val="clear" w:color="auto" w:fill="auto"/>
            <w:noWrap/>
            <w:vAlign w:val="center"/>
          </w:tcPr>
          <w:p w14:paraId="46335B0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1.39E-04</w:t>
            </w:r>
          </w:p>
        </w:tc>
        <w:tc>
          <w:tcPr>
            <w:tcW w:w="369" w:type="pct"/>
            <w:tcBorders>
              <w:top w:val="nil"/>
              <w:left w:val="nil"/>
              <w:bottom w:val="single" w:sz="4" w:space="0" w:color="auto"/>
              <w:right w:val="single" w:sz="4" w:space="0" w:color="auto"/>
            </w:tcBorders>
            <w:shd w:val="clear" w:color="auto" w:fill="auto"/>
            <w:noWrap/>
            <w:vAlign w:val="center"/>
          </w:tcPr>
          <w:p w14:paraId="3B38C95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1.53E-01</w:t>
            </w:r>
          </w:p>
        </w:tc>
        <w:tc>
          <w:tcPr>
            <w:tcW w:w="369" w:type="pct"/>
            <w:tcBorders>
              <w:top w:val="nil"/>
              <w:left w:val="nil"/>
              <w:bottom w:val="single" w:sz="4" w:space="0" w:color="auto"/>
              <w:right w:val="single" w:sz="4" w:space="0" w:color="auto"/>
            </w:tcBorders>
            <w:shd w:val="clear" w:color="auto" w:fill="auto"/>
            <w:noWrap/>
            <w:vAlign w:val="center"/>
          </w:tcPr>
          <w:p w14:paraId="0C91746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6.94E-02</w:t>
            </w:r>
          </w:p>
        </w:tc>
        <w:tc>
          <w:tcPr>
            <w:tcW w:w="369" w:type="pct"/>
            <w:tcBorders>
              <w:top w:val="nil"/>
              <w:left w:val="nil"/>
              <w:bottom w:val="single" w:sz="4" w:space="0" w:color="auto"/>
              <w:right w:val="single" w:sz="4" w:space="0" w:color="auto"/>
            </w:tcBorders>
            <w:shd w:val="clear" w:color="auto" w:fill="auto"/>
            <w:noWrap/>
            <w:vAlign w:val="center"/>
          </w:tcPr>
          <w:p w14:paraId="432BBD8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1.27E-01</w:t>
            </w:r>
          </w:p>
        </w:tc>
        <w:tc>
          <w:tcPr>
            <w:tcW w:w="369" w:type="pct"/>
            <w:tcBorders>
              <w:top w:val="nil"/>
              <w:left w:val="nil"/>
              <w:bottom w:val="single" w:sz="4" w:space="0" w:color="auto"/>
              <w:right w:val="single" w:sz="4" w:space="0" w:color="auto"/>
            </w:tcBorders>
            <w:shd w:val="clear" w:color="auto" w:fill="auto"/>
            <w:noWrap/>
            <w:vAlign w:val="center"/>
          </w:tcPr>
          <w:p w14:paraId="0011E42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4.25E-02</w:t>
            </w:r>
          </w:p>
        </w:tc>
        <w:tc>
          <w:tcPr>
            <w:tcW w:w="369" w:type="pct"/>
            <w:tcBorders>
              <w:top w:val="nil"/>
              <w:left w:val="nil"/>
              <w:bottom w:val="single" w:sz="4" w:space="0" w:color="auto"/>
              <w:right w:val="single" w:sz="4" w:space="0" w:color="auto"/>
            </w:tcBorders>
            <w:shd w:val="clear" w:color="auto" w:fill="auto"/>
            <w:noWrap/>
            <w:vAlign w:val="center"/>
          </w:tcPr>
          <w:p w14:paraId="496A109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1.62E-02</w:t>
            </w:r>
          </w:p>
        </w:tc>
        <w:tc>
          <w:tcPr>
            <w:tcW w:w="369" w:type="pct"/>
            <w:tcBorders>
              <w:top w:val="nil"/>
              <w:left w:val="nil"/>
              <w:bottom w:val="single" w:sz="4" w:space="0" w:color="auto"/>
              <w:right w:val="single" w:sz="4" w:space="0" w:color="auto"/>
            </w:tcBorders>
            <w:shd w:val="clear" w:color="auto" w:fill="auto"/>
            <w:noWrap/>
            <w:vAlign w:val="center"/>
          </w:tcPr>
          <w:p w14:paraId="050B770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7.19E-02</w:t>
            </w:r>
          </w:p>
        </w:tc>
        <w:tc>
          <w:tcPr>
            <w:tcW w:w="369" w:type="pct"/>
            <w:tcBorders>
              <w:top w:val="nil"/>
              <w:left w:val="nil"/>
              <w:bottom w:val="single" w:sz="4" w:space="0" w:color="auto"/>
              <w:right w:val="single" w:sz="4" w:space="0" w:color="auto"/>
            </w:tcBorders>
            <w:shd w:val="clear" w:color="auto" w:fill="auto"/>
            <w:noWrap/>
            <w:vAlign w:val="center"/>
          </w:tcPr>
          <w:p w14:paraId="23E3216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5.12E-02</w:t>
            </w:r>
          </w:p>
        </w:tc>
        <w:tc>
          <w:tcPr>
            <w:tcW w:w="386" w:type="pct"/>
            <w:tcBorders>
              <w:top w:val="nil"/>
              <w:left w:val="nil"/>
              <w:bottom w:val="single" w:sz="4" w:space="0" w:color="auto"/>
              <w:right w:val="single" w:sz="4" w:space="0" w:color="auto"/>
            </w:tcBorders>
            <w:shd w:val="clear" w:color="auto" w:fill="auto"/>
            <w:noWrap/>
            <w:vAlign w:val="center"/>
          </w:tcPr>
          <w:p w14:paraId="5B85A45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6.74E-01</w:t>
            </w:r>
          </w:p>
        </w:tc>
      </w:tr>
      <w:tr w:rsidR="00043F49" w14:paraId="6404C890" w14:textId="77777777">
        <w:trPr>
          <w:trHeight w:val="280"/>
        </w:trPr>
        <w:tc>
          <w:tcPr>
            <w:tcW w:w="492" w:type="pct"/>
            <w:vMerge/>
            <w:tcBorders>
              <w:left w:val="single" w:sz="4" w:space="0" w:color="auto"/>
              <w:right w:val="single" w:sz="4" w:space="0" w:color="auto"/>
            </w:tcBorders>
          </w:tcPr>
          <w:p w14:paraId="550CF75E"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6D7AA99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4–&lt;5</w:t>
            </w:r>
          </w:p>
        </w:tc>
        <w:tc>
          <w:tcPr>
            <w:tcW w:w="369" w:type="pct"/>
            <w:tcBorders>
              <w:top w:val="nil"/>
              <w:left w:val="nil"/>
              <w:bottom w:val="single" w:sz="4" w:space="0" w:color="auto"/>
              <w:right w:val="single" w:sz="4" w:space="0" w:color="auto"/>
            </w:tcBorders>
            <w:shd w:val="clear" w:color="auto" w:fill="auto"/>
            <w:noWrap/>
            <w:vAlign w:val="center"/>
          </w:tcPr>
          <w:p w14:paraId="15C7E00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9.07E-02</w:t>
            </w:r>
          </w:p>
        </w:tc>
        <w:tc>
          <w:tcPr>
            <w:tcW w:w="369" w:type="pct"/>
            <w:tcBorders>
              <w:top w:val="nil"/>
              <w:left w:val="nil"/>
              <w:bottom w:val="single" w:sz="4" w:space="0" w:color="auto"/>
              <w:right w:val="single" w:sz="4" w:space="0" w:color="auto"/>
            </w:tcBorders>
            <w:shd w:val="clear" w:color="auto" w:fill="auto"/>
            <w:noWrap/>
            <w:vAlign w:val="center"/>
          </w:tcPr>
          <w:p w14:paraId="2FEABAA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7.50E-02</w:t>
            </w:r>
          </w:p>
        </w:tc>
        <w:tc>
          <w:tcPr>
            <w:tcW w:w="369" w:type="pct"/>
            <w:tcBorders>
              <w:top w:val="nil"/>
              <w:left w:val="nil"/>
              <w:bottom w:val="single" w:sz="4" w:space="0" w:color="auto"/>
              <w:right w:val="single" w:sz="4" w:space="0" w:color="auto"/>
            </w:tcBorders>
            <w:shd w:val="clear" w:color="auto" w:fill="auto"/>
            <w:noWrap/>
            <w:vAlign w:val="center"/>
          </w:tcPr>
          <w:p w14:paraId="5B08268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1.71E-04</w:t>
            </w:r>
          </w:p>
        </w:tc>
        <w:tc>
          <w:tcPr>
            <w:tcW w:w="369" w:type="pct"/>
            <w:tcBorders>
              <w:top w:val="nil"/>
              <w:left w:val="nil"/>
              <w:bottom w:val="single" w:sz="4" w:space="0" w:color="auto"/>
              <w:right w:val="single" w:sz="4" w:space="0" w:color="auto"/>
            </w:tcBorders>
            <w:shd w:val="clear" w:color="auto" w:fill="auto"/>
            <w:noWrap/>
            <w:vAlign w:val="center"/>
          </w:tcPr>
          <w:p w14:paraId="62BC202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1.80E-01</w:t>
            </w:r>
          </w:p>
        </w:tc>
        <w:tc>
          <w:tcPr>
            <w:tcW w:w="369" w:type="pct"/>
            <w:tcBorders>
              <w:top w:val="nil"/>
              <w:left w:val="nil"/>
              <w:bottom w:val="single" w:sz="4" w:space="0" w:color="auto"/>
              <w:right w:val="single" w:sz="4" w:space="0" w:color="auto"/>
            </w:tcBorders>
            <w:shd w:val="clear" w:color="auto" w:fill="auto"/>
            <w:noWrap/>
            <w:vAlign w:val="center"/>
          </w:tcPr>
          <w:p w14:paraId="6629663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7.97E-02</w:t>
            </w:r>
          </w:p>
        </w:tc>
        <w:tc>
          <w:tcPr>
            <w:tcW w:w="369" w:type="pct"/>
            <w:tcBorders>
              <w:top w:val="nil"/>
              <w:left w:val="nil"/>
              <w:bottom w:val="single" w:sz="4" w:space="0" w:color="auto"/>
              <w:right w:val="single" w:sz="4" w:space="0" w:color="auto"/>
            </w:tcBorders>
            <w:shd w:val="clear" w:color="auto" w:fill="auto"/>
            <w:noWrap/>
            <w:vAlign w:val="center"/>
          </w:tcPr>
          <w:p w14:paraId="5D42DF6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1.50E-01</w:t>
            </w:r>
          </w:p>
        </w:tc>
        <w:tc>
          <w:tcPr>
            <w:tcW w:w="369" w:type="pct"/>
            <w:tcBorders>
              <w:top w:val="nil"/>
              <w:left w:val="nil"/>
              <w:bottom w:val="single" w:sz="4" w:space="0" w:color="auto"/>
              <w:right w:val="single" w:sz="4" w:space="0" w:color="auto"/>
            </w:tcBorders>
            <w:shd w:val="clear" w:color="auto" w:fill="auto"/>
            <w:noWrap/>
            <w:vAlign w:val="center"/>
          </w:tcPr>
          <w:p w14:paraId="6980B48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4.62E-02</w:t>
            </w:r>
          </w:p>
        </w:tc>
        <w:tc>
          <w:tcPr>
            <w:tcW w:w="369" w:type="pct"/>
            <w:tcBorders>
              <w:top w:val="nil"/>
              <w:left w:val="nil"/>
              <w:bottom w:val="single" w:sz="4" w:space="0" w:color="auto"/>
              <w:right w:val="single" w:sz="4" w:space="0" w:color="auto"/>
            </w:tcBorders>
            <w:shd w:val="clear" w:color="auto" w:fill="auto"/>
            <w:noWrap/>
            <w:vAlign w:val="center"/>
          </w:tcPr>
          <w:p w14:paraId="099A778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1.86E-02</w:t>
            </w:r>
          </w:p>
        </w:tc>
        <w:tc>
          <w:tcPr>
            <w:tcW w:w="369" w:type="pct"/>
            <w:tcBorders>
              <w:top w:val="nil"/>
              <w:left w:val="nil"/>
              <w:bottom w:val="single" w:sz="4" w:space="0" w:color="auto"/>
              <w:right w:val="single" w:sz="4" w:space="0" w:color="auto"/>
            </w:tcBorders>
            <w:shd w:val="clear" w:color="auto" w:fill="auto"/>
            <w:noWrap/>
            <w:vAlign w:val="center"/>
          </w:tcPr>
          <w:p w14:paraId="05E88A1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7.15E-02</w:t>
            </w:r>
          </w:p>
        </w:tc>
        <w:tc>
          <w:tcPr>
            <w:tcW w:w="369" w:type="pct"/>
            <w:tcBorders>
              <w:top w:val="nil"/>
              <w:left w:val="nil"/>
              <w:bottom w:val="single" w:sz="4" w:space="0" w:color="auto"/>
              <w:right w:val="single" w:sz="4" w:space="0" w:color="auto"/>
            </w:tcBorders>
            <w:shd w:val="clear" w:color="auto" w:fill="auto"/>
            <w:noWrap/>
            <w:vAlign w:val="center"/>
          </w:tcPr>
          <w:p w14:paraId="4506DE4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5.97E-02</w:t>
            </w:r>
          </w:p>
        </w:tc>
        <w:tc>
          <w:tcPr>
            <w:tcW w:w="386" w:type="pct"/>
            <w:tcBorders>
              <w:top w:val="nil"/>
              <w:left w:val="nil"/>
              <w:bottom w:val="single" w:sz="4" w:space="0" w:color="auto"/>
              <w:right w:val="single" w:sz="4" w:space="0" w:color="auto"/>
            </w:tcBorders>
            <w:shd w:val="clear" w:color="auto" w:fill="auto"/>
            <w:noWrap/>
            <w:vAlign w:val="center"/>
          </w:tcPr>
          <w:p w14:paraId="338A845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7.71E-01</w:t>
            </w:r>
          </w:p>
        </w:tc>
      </w:tr>
      <w:tr w:rsidR="00043F49" w14:paraId="2A28F6EC" w14:textId="77777777">
        <w:trPr>
          <w:trHeight w:val="280"/>
        </w:trPr>
        <w:tc>
          <w:tcPr>
            <w:tcW w:w="492" w:type="pct"/>
            <w:vMerge/>
            <w:tcBorders>
              <w:left w:val="single" w:sz="4" w:space="0" w:color="auto"/>
              <w:right w:val="single" w:sz="4" w:space="0" w:color="auto"/>
            </w:tcBorders>
          </w:tcPr>
          <w:p w14:paraId="268F21EB"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C14F38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5–&lt;6</w:t>
            </w:r>
          </w:p>
        </w:tc>
        <w:tc>
          <w:tcPr>
            <w:tcW w:w="369" w:type="pct"/>
            <w:tcBorders>
              <w:top w:val="nil"/>
              <w:left w:val="nil"/>
              <w:bottom w:val="single" w:sz="4" w:space="0" w:color="auto"/>
              <w:right w:val="single" w:sz="4" w:space="0" w:color="auto"/>
            </w:tcBorders>
            <w:shd w:val="clear" w:color="auto" w:fill="auto"/>
            <w:noWrap/>
            <w:vAlign w:val="center"/>
          </w:tcPr>
          <w:p w14:paraId="2ACFAD5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6.44E-02</w:t>
            </w:r>
          </w:p>
        </w:tc>
        <w:tc>
          <w:tcPr>
            <w:tcW w:w="369" w:type="pct"/>
            <w:tcBorders>
              <w:top w:val="nil"/>
              <w:left w:val="nil"/>
              <w:bottom w:val="single" w:sz="4" w:space="0" w:color="auto"/>
              <w:right w:val="single" w:sz="4" w:space="0" w:color="auto"/>
            </w:tcBorders>
            <w:shd w:val="clear" w:color="auto" w:fill="auto"/>
            <w:noWrap/>
            <w:vAlign w:val="center"/>
          </w:tcPr>
          <w:p w14:paraId="7C39523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5.30E-02</w:t>
            </w:r>
          </w:p>
        </w:tc>
        <w:tc>
          <w:tcPr>
            <w:tcW w:w="369" w:type="pct"/>
            <w:tcBorders>
              <w:top w:val="nil"/>
              <w:left w:val="nil"/>
              <w:bottom w:val="single" w:sz="4" w:space="0" w:color="auto"/>
              <w:right w:val="single" w:sz="4" w:space="0" w:color="auto"/>
            </w:tcBorders>
            <w:shd w:val="clear" w:color="auto" w:fill="auto"/>
            <w:noWrap/>
            <w:vAlign w:val="center"/>
          </w:tcPr>
          <w:p w14:paraId="3E132A7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1.13E-04</w:t>
            </w:r>
          </w:p>
        </w:tc>
        <w:tc>
          <w:tcPr>
            <w:tcW w:w="369" w:type="pct"/>
            <w:tcBorders>
              <w:top w:val="nil"/>
              <w:left w:val="nil"/>
              <w:bottom w:val="single" w:sz="4" w:space="0" w:color="auto"/>
              <w:right w:val="single" w:sz="4" w:space="0" w:color="auto"/>
            </w:tcBorders>
            <w:shd w:val="clear" w:color="auto" w:fill="auto"/>
            <w:noWrap/>
            <w:vAlign w:val="center"/>
          </w:tcPr>
          <w:p w14:paraId="0051236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1.27E-01</w:t>
            </w:r>
          </w:p>
        </w:tc>
        <w:tc>
          <w:tcPr>
            <w:tcW w:w="369" w:type="pct"/>
            <w:tcBorders>
              <w:top w:val="nil"/>
              <w:left w:val="nil"/>
              <w:bottom w:val="single" w:sz="4" w:space="0" w:color="auto"/>
              <w:right w:val="single" w:sz="4" w:space="0" w:color="auto"/>
            </w:tcBorders>
            <w:shd w:val="clear" w:color="auto" w:fill="auto"/>
            <w:noWrap/>
            <w:vAlign w:val="center"/>
          </w:tcPr>
          <w:p w14:paraId="43C8BA4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5.72E-02</w:t>
            </w:r>
          </w:p>
        </w:tc>
        <w:tc>
          <w:tcPr>
            <w:tcW w:w="369" w:type="pct"/>
            <w:tcBorders>
              <w:top w:val="nil"/>
              <w:left w:val="nil"/>
              <w:bottom w:val="single" w:sz="4" w:space="0" w:color="auto"/>
              <w:right w:val="single" w:sz="4" w:space="0" w:color="auto"/>
            </w:tcBorders>
            <w:shd w:val="clear" w:color="auto" w:fill="auto"/>
            <w:noWrap/>
            <w:vAlign w:val="center"/>
          </w:tcPr>
          <w:p w14:paraId="06A0148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1.06E-01</w:t>
            </w:r>
          </w:p>
        </w:tc>
        <w:tc>
          <w:tcPr>
            <w:tcW w:w="369" w:type="pct"/>
            <w:tcBorders>
              <w:top w:val="nil"/>
              <w:left w:val="nil"/>
              <w:bottom w:val="single" w:sz="4" w:space="0" w:color="auto"/>
              <w:right w:val="single" w:sz="4" w:space="0" w:color="auto"/>
            </w:tcBorders>
            <w:shd w:val="clear" w:color="auto" w:fill="auto"/>
            <w:noWrap/>
            <w:vAlign w:val="center"/>
          </w:tcPr>
          <w:p w14:paraId="4640979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3.46E-02</w:t>
            </w:r>
          </w:p>
        </w:tc>
        <w:tc>
          <w:tcPr>
            <w:tcW w:w="369" w:type="pct"/>
            <w:tcBorders>
              <w:top w:val="nil"/>
              <w:left w:val="nil"/>
              <w:bottom w:val="single" w:sz="4" w:space="0" w:color="auto"/>
              <w:right w:val="single" w:sz="4" w:space="0" w:color="auto"/>
            </w:tcBorders>
            <w:shd w:val="clear" w:color="auto" w:fill="auto"/>
            <w:noWrap/>
            <w:vAlign w:val="center"/>
          </w:tcPr>
          <w:p w14:paraId="37049B8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1.33E-02</w:t>
            </w:r>
          </w:p>
        </w:tc>
        <w:tc>
          <w:tcPr>
            <w:tcW w:w="369" w:type="pct"/>
            <w:tcBorders>
              <w:top w:val="nil"/>
              <w:left w:val="nil"/>
              <w:bottom w:val="single" w:sz="4" w:space="0" w:color="auto"/>
              <w:right w:val="single" w:sz="4" w:space="0" w:color="auto"/>
            </w:tcBorders>
            <w:shd w:val="clear" w:color="auto" w:fill="auto"/>
            <w:noWrap/>
            <w:vAlign w:val="center"/>
          </w:tcPr>
          <w:p w14:paraId="46CF66C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5.73E-02</w:t>
            </w:r>
          </w:p>
        </w:tc>
        <w:tc>
          <w:tcPr>
            <w:tcW w:w="369" w:type="pct"/>
            <w:tcBorders>
              <w:top w:val="nil"/>
              <w:left w:val="nil"/>
              <w:bottom w:val="single" w:sz="4" w:space="0" w:color="auto"/>
              <w:right w:val="single" w:sz="4" w:space="0" w:color="auto"/>
            </w:tcBorders>
            <w:shd w:val="clear" w:color="auto" w:fill="auto"/>
            <w:noWrap/>
            <w:vAlign w:val="center"/>
          </w:tcPr>
          <w:p w14:paraId="1DA7C1B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4.24E-02</w:t>
            </w:r>
          </w:p>
        </w:tc>
        <w:tc>
          <w:tcPr>
            <w:tcW w:w="386" w:type="pct"/>
            <w:tcBorders>
              <w:top w:val="nil"/>
              <w:left w:val="nil"/>
              <w:bottom w:val="single" w:sz="4" w:space="0" w:color="auto"/>
              <w:right w:val="single" w:sz="4" w:space="0" w:color="auto"/>
            </w:tcBorders>
            <w:shd w:val="clear" w:color="auto" w:fill="auto"/>
            <w:noWrap/>
            <w:vAlign w:val="center"/>
          </w:tcPr>
          <w:p w14:paraId="47BFF50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5.55E-01</w:t>
            </w:r>
          </w:p>
        </w:tc>
      </w:tr>
      <w:tr w:rsidR="00043F49" w14:paraId="05F7DA6F" w14:textId="77777777">
        <w:trPr>
          <w:trHeight w:val="280"/>
        </w:trPr>
        <w:tc>
          <w:tcPr>
            <w:tcW w:w="492" w:type="pct"/>
            <w:vMerge/>
            <w:tcBorders>
              <w:left w:val="single" w:sz="4" w:space="0" w:color="auto"/>
              <w:right w:val="single" w:sz="4" w:space="0" w:color="auto"/>
            </w:tcBorders>
          </w:tcPr>
          <w:p w14:paraId="0095979A"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05E5969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6–&lt;9</w:t>
            </w:r>
          </w:p>
        </w:tc>
        <w:tc>
          <w:tcPr>
            <w:tcW w:w="369" w:type="pct"/>
            <w:tcBorders>
              <w:top w:val="nil"/>
              <w:left w:val="nil"/>
              <w:bottom w:val="single" w:sz="4" w:space="0" w:color="auto"/>
              <w:right w:val="single" w:sz="4" w:space="0" w:color="auto"/>
            </w:tcBorders>
            <w:shd w:val="clear" w:color="auto" w:fill="auto"/>
            <w:noWrap/>
            <w:vAlign w:val="center"/>
          </w:tcPr>
          <w:p w14:paraId="53CEAF5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1.31E-01</w:t>
            </w:r>
          </w:p>
        </w:tc>
        <w:tc>
          <w:tcPr>
            <w:tcW w:w="369" w:type="pct"/>
            <w:tcBorders>
              <w:top w:val="nil"/>
              <w:left w:val="nil"/>
              <w:bottom w:val="single" w:sz="4" w:space="0" w:color="auto"/>
              <w:right w:val="single" w:sz="4" w:space="0" w:color="auto"/>
            </w:tcBorders>
            <w:shd w:val="clear" w:color="auto" w:fill="auto"/>
            <w:noWrap/>
            <w:vAlign w:val="center"/>
          </w:tcPr>
          <w:p w14:paraId="3B29807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1.09E-01</w:t>
            </w:r>
          </w:p>
        </w:tc>
        <w:tc>
          <w:tcPr>
            <w:tcW w:w="369" w:type="pct"/>
            <w:tcBorders>
              <w:top w:val="nil"/>
              <w:left w:val="nil"/>
              <w:bottom w:val="single" w:sz="4" w:space="0" w:color="auto"/>
              <w:right w:val="single" w:sz="4" w:space="0" w:color="auto"/>
            </w:tcBorders>
            <w:shd w:val="clear" w:color="auto" w:fill="auto"/>
            <w:noWrap/>
            <w:vAlign w:val="center"/>
          </w:tcPr>
          <w:p w14:paraId="423155D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2.11E-04</w:t>
            </w:r>
          </w:p>
        </w:tc>
        <w:tc>
          <w:tcPr>
            <w:tcW w:w="369" w:type="pct"/>
            <w:tcBorders>
              <w:top w:val="nil"/>
              <w:left w:val="nil"/>
              <w:bottom w:val="single" w:sz="4" w:space="0" w:color="auto"/>
              <w:right w:val="single" w:sz="4" w:space="0" w:color="auto"/>
            </w:tcBorders>
            <w:shd w:val="clear" w:color="auto" w:fill="auto"/>
            <w:noWrap/>
            <w:vAlign w:val="center"/>
          </w:tcPr>
          <w:p w14:paraId="79B76E2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2.63E-01</w:t>
            </w:r>
          </w:p>
        </w:tc>
        <w:tc>
          <w:tcPr>
            <w:tcW w:w="369" w:type="pct"/>
            <w:tcBorders>
              <w:top w:val="nil"/>
              <w:left w:val="nil"/>
              <w:bottom w:val="single" w:sz="4" w:space="0" w:color="auto"/>
              <w:right w:val="single" w:sz="4" w:space="0" w:color="auto"/>
            </w:tcBorders>
            <w:shd w:val="clear" w:color="auto" w:fill="auto"/>
            <w:noWrap/>
            <w:vAlign w:val="center"/>
          </w:tcPr>
          <w:p w14:paraId="0D08AAF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1.14E-01</w:t>
            </w:r>
          </w:p>
        </w:tc>
        <w:tc>
          <w:tcPr>
            <w:tcW w:w="369" w:type="pct"/>
            <w:tcBorders>
              <w:top w:val="nil"/>
              <w:left w:val="nil"/>
              <w:bottom w:val="single" w:sz="4" w:space="0" w:color="auto"/>
              <w:right w:val="single" w:sz="4" w:space="0" w:color="auto"/>
            </w:tcBorders>
            <w:shd w:val="clear" w:color="auto" w:fill="auto"/>
            <w:noWrap/>
            <w:vAlign w:val="center"/>
          </w:tcPr>
          <w:p w14:paraId="2093FB4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2.20E-01</w:t>
            </w:r>
          </w:p>
        </w:tc>
        <w:tc>
          <w:tcPr>
            <w:tcW w:w="369" w:type="pct"/>
            <w:tcBorders>
              <w:top w:val="nil"/>
              <w:left w:val="nil"/>
              <w:bottom w:val="single" w:sz="4" w:space="0" w:color="auto"/>
              <w:right w:val="single" w:sz="4" w:space="0" w:color="auto"/>
            </w:tcBorders>
            <w:shd w:val="clear" w:color="auto" w:fill="auto"/>
            <w:noWrap/>
            <w:vAlign w:val="center"/>
          </w:tcPr>
          <w:p w14:paraId="681BD76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6.17E-02</w:t>
            </w:r>
          </w:p>
        </w:tc>
        <w:tc>
          <w:tcPr>
            <w:tcW w:w="369" w:type="pct"/>
            <w:tcBorders>
              <w:top w:val="nil"/>
              <w:left w:val="nil"/>
              <w:bottom w:val="single" w:sz="4" w:space="0" w:color="auto"/>
              <w:right w:val="single" w:sz="4" w:space="0" w:color="auto"/>
            </w:tcBorders>
            <w:shd w:val="clear" w:color="auto" w:fill="auto"/>
            <w:noWrap/>
            <w:vAlign w:val="center"/>
          </w:tcPr>
          <w:p w14:paraId="0F23EAA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2.62E-02</w:t>
            </w:r>
          </w:p>
        </w:tc>
        <w:tc>
          <w:tcPr>
            <w:tcW w:w="369" w:type="pct"/>
            <w:tcBorders>
              <w:top w:val="nil"/>
              <w:left w:val="nil"/>
              <w:bottom w:val="single" w:sz="4" w:space="0" w:color="auto"/>
              <w:right w:val="single" w:sz="4" w:space="0" w:color="auto"/>
            </w:tcBorders>
            <w:shd w:val="clear" w:color="auto" w:fill="auto"/>
            <w:noWrap/>
            <w:vAlign w:val="center"/>
          </w:tcPr>
          <w:p w14:paraId="6FEEE1A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8.47E-02</w:t>
            </w:r>
          </w:p>
        </w:tc>
        <w:tc>
          <w:tcPr>
            <w:tcW w:w="369" w:type="pct"/>
            <w:tcBorders>
              <w:top w:val="nil"/>
              <w:left w:val="nil"/>
              <w:bottom w:val="single" w:sz="4" w:space="0" w:color="auto"/>
              <w:right w:val="single" w:sz="4" w:space="0" w:color="auto"/>
            </w:tcBorders>
            <w:shd w:val="clear" w:color="auto" w:fill="auto"/>
            <w:noWrap/>
            <w:vAlign w:val="center"/>
          </w:tcPr>
          <w:p w14:paraId="3A530E8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8.63E-02</w:t>
            </w:r>
          </w:p>
        </w:tc>
        <w:tc>
          <w:tcPr>
            <w:tcW w:w="386" w:type="pct"/>
            <w:tcBorders>
              <w:top w:val="nil"/>
              <w:left w:val="nil"/>
              <w:bottom w:val="single" w:sz="4" w:space="0" w:color="auto"/>
              <w:right w:val="single" w:sz="4" w:space="0" w:color="auto"/>
            </w:tcBorders>
            <w:shd w:val="clear" w:color="auto" w:fill="auto"/>
            <w:noWrap/>
            <w:vAlign w:val="center"/>
          </w:tcPr>
          <w:p w14:paraId="1F61CCB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1.10E+00</w:t>
            </w:r>
          </w:p>
        </w:tc>
      </w:tr>
      <w:tr w:rsidR="00043F49" w14:paraId="73457805" w14:textId="77777777">
        <w:trPr>
          <w:trHeight w:val="280"/>
        </w:trPr>
        <w:tc>
          <w:tcPr>
            <w:tcW w:w="492" w:type="pct"/>
            <w:vMerge/>
            <w:tcBorders>
              <w:left w:val="single" w:sz="4" w:space="0" w:color="auto"/>
              <w:right w:val="single" w:sz="4" w:space="0" w:color="auto"/>
            </w:tcBorders>
          </w:tcPr>
          <w:p w14:paraId="10838628"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20BE57F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9–&lt;12</w:t>
            </w:r>
          </w:p>
        </w:tc>
        <w:tc>
          <w:tcPr>
            <w:tcW w:w="369" w:type="pct"/>
            <w:tcBorders>
              <w:top w:val="nil"/>
              <w:left w:val="nil"/>
              <w:bottom w:val="single" w:sz="4" w:space="0" w:color="auto"/>
              <w:right w:val="single" w:sz="4" w:space="0" w:color="auto"/>
            </w:tcBorders>
            <w:shd w:val="clear" w:color="auto" w:fill="auto"/>
            <w:noWrap/>
            <w:vAlign w:val="center"/>
          </w:tcPr>
          <w:p w14:paraId="41426C3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1.15E-01</w:t>
            </w:r>
          </w:p>
        </w:tc>
        <w:tc>
          <w:tcPr>
            <w:tcW w:w="369" w:type="pct"/>
            <w:tcBorders>
              <w:top w:val="nil"/>
              <w:left w:val="nil"/>
              <w:bottom w:val="single" w:sz="4" w:space="0" w:color="auto"/>
              <w:right w:val="single" w:sz="4" w:space="0" w:color="auto"/>
            </w:tcBorders>
            <w:shd w:val="clear" w:color="auto" w:fill="auto"/>
            <w:noWrap/>
            <w:vAlign w:val="center"/>
          </w:tcPr>
          <w:p w14:paraId="2C3F262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9.57E-02</w:t>
            </w:r>
          </w:p>
        </w:tc>
        <w:tc>
          <w:tcPr>
            <w:tcW w:w="369" w:type="pct"/>
            <w:tcBorders>
              <w:top w:val="nil"/>
              <w:left w:val="nil"/>
              <w:bottom w:val="single" w:sz="4" w:space="0" w:color="auto"/>
              <w:right w:val="single" w:sz="4" w:space="0" w:color="auto"/>
            </w:tcBorders>
            <w:shd w:val="clear" w:color="auto" w:fill="auto"/>
            <w:noWrap/>
            <w:vAlign w:val="center"/>
          </w:tcPr>
          <w:p w14:paraId="0DA725F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1.81E-04</w:t>
            </w:r>
          </w:p>
        </w:tc>
        <w:tc>
          <w:tcPr>
            <w:tcW w:w="369" w:type="pct"/>
            <w:tcBorders>
              <w:top w:val="nil"/>
              <w:left w:val="nil"/>
              <w:bottom w:val="single" w:sz="4" w:space="0" w:color="auto"/>
              <w:right w:val="single" w:sz="4" w:space="0" w:color="auto"/>
            </w:tcBorders>
            <w:shd w:val="clear" w:color="auto" w:fill="auto"/>
            <w:noWrap/>
            <w:vAlign w:val="center"/>
          </w:tcPr>
          <w:p w14:paraId="606779D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2.31E-01</w:t>
            </w:r>
          </w:p>
        </w:tc>
        <w:tc>
          <w:tcPr>
            <w:tcW w:w="369" w:type="pct"/>
            <w:tcBorders>
              <w:top w:val="nil"/>
              <w:left w:val="nil"/>
              <w:bottom w:val="single" w:sz="4" w:space="0" w:color="auto"/>
              <w:right w:val="single" w:sz="4" w:space="0" w:color="auto"/>
            </w:tcBorders>
            <w:shd w:val="clear" w:color="auto" w:fill="auto"/>
            <w:noWrap/>
            <w:vAlign w:val="center"/>
          </w:tcPr>
          <w:p w14:paraId="7CBA57D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9.88E-02</w:t>
            </w:r>
          </w:p>
        </w:tc>
        <w:tc>
          <w:tcPr>
            <w:tcW w:w="369" w:type="pct"/>
            <w:tcBorders>
              <w:top w:val="nil"/>
              <w:left w:val="nil"/>
              <w:bottom w:val="single" w:sz="4" w:space="0" w:color="auto"/>
              <w:right w:val="single" w:sz="4" w:space="0" w:color="auto"/>
            </w:tcBorders>
            <w:shd w:val="clear" w:color="auto" w:fill="auto"/>
            <w:noWrap/>
            <w:vAlign w:val="center"/>
          </w:tcPr>
          <w:p w14:paraId="13C9B7E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1.93E-01</w:t>
            </w:r>
          </w:p>
        </w:tc>
        <w:tc>
          <w:tcPr>
            <w:tcW w:w="369" w:type="pct"/>
            <w:tcBorders>
              <w:top w:val="nil"/>
              <w:left w:val="nil"/>
              <w:bottom w:val="single" w:sz="4" w:space="0" w:color="auto"/>
              <w:right w:val="single" w:sz="4" w:space="0" w:color="auto"/>
            </w:tcBorders>
            <w:shd w:val="clear" w:color="auto" w:fill="auto"/>
            <w:noWrap/>
            <w:vAlign w:val="center"/>
          </w:tcPr>
          <w:p w14:paraId="3CA164F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5.24E-02</w:t>
            </w:r>
          </w:p>
        </w:tc>
        <w:tc>
          <w:tcPr>
            <w:tcW w:w="369" w:type="pct"/>
            <w:tcBorders>
              <w:top w:val="nil"/>
              <w:left w:val="nil"/>
              <w:bottom w:val="single" w:sz="4" w:space="0" w:color="auto"/>
              <w:right w:val="single" w:sz="4" w:space="0" w:color="auto"/>
            </w:tcBorders>
            <w:shd w:val="clear" w:color="auto" w:fill="auto"/>
            <w:noWrap/>
            <w:vAlign w:val="center"/>
          </w:tcPr>
          <w:p w14:paraId="16AA890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2.28E-02</w:t>
            </w:r>
          </w:p>
        </w:tc>
        <w:tc>
          <w:tcPr>
            <w:tcW w:w="369" w:type="pct"/>
            <w:tcBorders>
              <w:top w:val="nil"/>
              <w:left w:val="nil"/>
              <w:bottom w:val="single" w:sz="4" w:space="0" w:color="auto"/>
              <w:right w:val="single" w:sz="4" w:space="0" w:color="auto"/>
            </w:tcBorders>
            <w:shd w:val="clear" w:color="auto" w:fill="auto"/>
            <w:noWrap/>
            <w:vAlign w:val="center"/>
          </w:tcPr>
          <w:p w14:paraId="2758C29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6.79E-02</w:t>
            </w:r>
          </w:p>
        </w:tc>
        <w:tc>
          <w:tcPr>
            <w:tcW w:w="369" w:type="pct"/>
            <w:tcBorders>
              <w:top w:val="nil"/>
              <w:left w:val="nil"/>
              <w:bottom w:val="single" w:sz="4" w:space="0" w:color="auto"/>
              <w:right w:val="single" w:sz="4" w:space="0" w:color="auto"/>
            </w:tcBorders>
            <w:shd w:val="clear" w:color="auto" w:fill="auto"/>
            <w:noWrap/>
            <w:vAlign w:val="center"/>
          </w:tcPr>
          <w:p w14:paraId="132CFE6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7.55E-02</w:t>
            </w:r>
          </w:p>
        </w:tc>
        <w:tc>
          <w:tcPr>
            <w:tcW w:w="386" w:type="pct"/>
            <w:tcBorders>
              <w:top w:val="nil"/>
              <w:left w:val="nil"/>
              <w:bottom w:val="single" w:sz="4" w:space="0" w:color="auto"/>
              <w:right w:val="single" w:sz="4" w:space="0" w:color="auto"/>
            </w:tcBorders>
            <w:shd w:val="clear" w:color="auto" w:fill="auto"/>
            <w:noWrap/>
            <w:vAlign w:val="center"/>
          </w:tcPr>
          <w:p w14:paraId="4028AB6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9.52E-01</w:t>
            </w:r>
          </w:p>
        </w:tc>
      </w:tr>
      <w:tr w:rsidR="00043F49" w14:paraId="5DF39C84" w14:textId="77777777">
        <w:trPr>
          <w:trHeight w:val="280"/>
        </w:trPr>
        <w:tc>
          <w:tcPr>
            <w:tcW w:w="492" w:type="pct"/>
            <w:vMerge/>
            <w:tcBorders>
              <w:left w:val="single" w:sz="4" w:space="0" w:color="auto"/>
              <w:right w:val="single" w:sz="4" w:space="0" w:color="auto"/>
            </w:tcBorders>
          </w:tcPr>
          <w:p w14:paraId="4B1A4895"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4A5F643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12–&lt;15</w:t>
            </w:r>
          </w:p>
        </w:tc>
        <w:tc>
          <w:tcPr>
            <w:tcW w:w="369" w:type="pct"/>
            <w:tcBorders>
              <w:top w:val="nil"/>
              <w:left w:val="nil"/>
              <w:bottom w:val="single" w:sz="4" w:space="0" w:color="auto"/>
              <w:right w:val="single" w:sz="4" w:space="0" w:color="auto"/>
            </w:tcBorders>
            <w:shd w:val="clear" w:color="auto" w:fill="auto"/>
            <w:noWrap/>
            <w:vAlign w:val="center"/>
          </w:tcPr>
          <w:p w14:paraId="4894043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1.15E-01</w:t>
            </w:r>
          </w:p>
        </w:tc>
        <w:tc>
          <w:tcPr>
            <w:tcW w:w="369" w:type="pct"/>
            <w:tcBorders>
              <w:top w:val="nil"/>
              <w:left w:val="nil"/>
              <w:bottom w:val="single" w:sz="4" w:space="0" w:color="auto"/>
              <w:right w:val="single" w:sz="4" w:space="0" w:color="auto"/>
            </w:tcBorders>
            <w:shd w:val="clear" w:color="auto" w:fill="auto"/>
            <w:noWrap/>
            <w:vAlign w:val="center"/>
          </w:tcPr>
          <w:p w14:paraId="7171BBD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9.66E-02</w:t>
            </w:r>
          </w:p>
        </w:tc>
        <w:tc>
          <w:tcPr>
            <w:tcW w:w="369" w:type="pct"/>
            <w:tcBorders>
              <w:top w:val="nil"/>
              <w:left w:val="nil"/>
              <w:bottom w:val="single" w:sz="4" w:space="0" w:color="auto"/>
              <w:right w:val="single" w:sz="4" w:space="0" w:color="auto"/>
            </w:tcBorders>
            <w:shd w:val="clear" w:color="auto" w:fill="auto"/>
            <w:noWrap/>
            <w:vAlign w:val="center"/>
          </w:tcPr>
          <w:p w14:paraId="333F2FF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1.76E-04</w:t>
            </w:r>
          </w:p>
        </w:tc>
        <w:tc>
          <w:tcPr>
            <w:tcW w:w="369" w:type="pct"/>
            <w:tcBorders>
              <w:top w:val="nil"/>
              <w:left w:val="nil"/>
              <w:bottom w:val="single" w:sz="4" w:space="0" w:color="auto"/>
              <w:right w:val="single" w:sz="4" w:space="0" w:color="auto"/>
            </w:tcBorders>
            <w:shd w:val="clear" w:color="auto" w:fill="auto"/>
            <w:noWrap/>
            <w:vAlign w:val="center"/>
          </w:tcPr>
          <w:p w14:paraId="1A201E6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2.33E-01</w:t>
            </w:r>
          </w:p>
        </w:tc>
        <w:tc>
          <w:tcPr>
            <w:tcW w:w="369" w:type="pct"/>
            <w:tcBorders>
              <w:top w:val="nil"/>
              <w:left w:val="nil"/>
              <w:bottom w:val="single" w:sz="4" w:space="0" w:color="auto"/>
              <w:right w:val="single" w:sz="4" w:space="0" w:color="auto"/>
            </w:tcBorders>
            <w:shd w:val="clear" w:color="auto" w:fill="auto"/>
            <w:noWrap/>
            <w:vAlign w:val="center"/>
          </w:tcPr>
          <w:p w14:paraId="5D3C139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9.85E-02</w:t>
            </w:r>
          </w:p>
        </w:tc>
        <w:tc>
          <w:tcPr>
            <w:tcW w:w="369" w:type="pct"/>
            <w:tcBorders>
              <w:top w:val="nil"/>
              <w:left w:val="nil"/>
              <w:bottom w:val="single" w:sz="4" w:space="0" w:color="auto"/>
              <w:right w:val="single" w:sz="4" w:space="0" w:color="auto"/>
            </w:tcBorders>
            <w:shd w:val="clear" w:color="auto" w:fill="auto"/>
            <w:noWrap/>
            <w:vAlign w:val="center"/>
          </w:tcPr>
          <w:p w14:paraId="64C75E9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3.41E-02</w:t>
            </w:r>
          </w:p>
        </w:tc>
        <w:tc>
          <w:tcPr>
            <w:tcW w:w="369" w:type="pct"/>
            <w:tcBorders>
              <w:top w:val="nil"/>
              <w:left w:val="nil"/>
              <w:bottom w:val="single" w:sz="4" w:space="0" w:color="auto"/>
              <w:right w:val="single" w:sz="4" w:space="0" w:color="auto"/>
            </w:tcBorders>
            <w:shd w:val="clear" w:color="auto" w:fill="auto"/>
            <w:noWrap/>
            <w:vAlign w:val="center"/>
          </w:tcPr>
          <w:p w14:paraId="4F84BA8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5.01E-02</w:t>
            </w:r>
          </w:p>
        </w:tc>
        <w:tc>
          <w:tcPr>
            <w:tcW w:w="369" w:type="pct"/>
            <w:tcBorders>
              <w:top w:val="nil"/>
              <w:left w:val="nil"/>
              <w:bottom w:val="single" w:sz="4" w:space="0" w:color="auto"/>
              <w:right w:val="single" w:sz="4" w:space="0" w:color="auto"/>
            </w:tcBorders>
            <w:shd w:val="clear" w:color="auto" w:fill="auto"/>
            <w:noWrap/>
            <w:vAlign w:val="center"/>
          </w:tcPr>
          <w:p w14:paraId="31F551B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2.26E-02</w:t>
            </w:r>
          </w:p>
        </w:tc>
        <w:tc>
          <w:tcPr>
            <w:tcW w:w="369" w:type="pct"/>
            <w:tcBorders>
              <w:top w:val="nil"/>
              <w:left w:val="nil"/>
              <w:bottom w:val="single" w:sz="4" w:space="0" w:color="auto"/>
              <w:right w:val="single" w:sz="4" w:space="0" w:color="auto"/>
            </w:tcBorders>
            <w:shd w:val="clear" w:color="auto" w:fill="auto"/>
            <w:noWrap/>
            <w:vAlign w:val="center"/>
          </w:tcPr>
          <w:p w14:paraId="2B4CD6E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5.84E-02</w:t>
            </w:r>
          </w:p>
        </w:tc>
        <w:tc>
          <w:tcPr>
            <w:tcW w:w="369" w:type="pct"/>
            <w:tcBorders>
              <w:top w:val="nil"/>
              <w:left w:val="nil"/>
              <w:bottom w:val="single" w:sz="4" w:space="0" w:color="auto"/>
              <w:right w:val="single" w:sz="4" w:space="0" w:color="auto"/>
            </w:tcBorders>
            <w:shd w:val="clear" w:color="auto" w:fill="auto"/>
            <w:noWrap/>
            <w:vAlign w:val="center"/>
          </w:tcPr>
          <w:p w14:paraId="3DDD850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7.60E-02</w:t>
            </w:r>
          </w:p>
        </w:tc>
        <w:tc>
          <w:tcPr>
            <w:tcW w:w="386" w:type="pct"/>
            <w:tcBorders>
              <w:top w:val="nil"/>
              <w:left w:val="nil"/>
              <w:bottom w:val="single" w:sz="4" w:space="0" w:color="auto"/>
              <w:right w:val="single" w:sz="4" w:space="0" w:color="auto"/>
            </w:tcBorders>
            <w:shd w:val="clear" w:color="auto" w:fill="auto"/>
            <w:noWrap/>
            <w:vAlign w:val="center"/>
          </w:tcPr>
          <w:p w14:paraId="76455C5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7.85E-01</w:t>
            </w:r>
          </w:p>
        </w:tc>
      </w:tr>
      <w:tr w:rsidR="00043F49" w14:paraId="497FE141" w14:textId="77777777">
        <w:trPr>
          <w:trHeight w:val="280"/>
        </w:trPr>
        <w:tc>
          <w:tcPr>
            <w:tcW w:w="492" w:type="pct"/>
            <w:vMerge/>
            <w:tcBorders>
              <w:left w:val="single" w:sz="4" w:space="0" w:color="auto"/>
              <w:bottom w:val="single" w:sz="4" w:space="0" w:color="auto"/>
              <w:right w:val="single" w:sz="4" w:space="0" w:color="auto"/>
            </w:tcBorders>
          </w:tcPr>
          <w:p w14:paraId="65C84EFD"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08B345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15–&lt;18</w:t>
            </w:r>
          </w:p>
        </w:tc>
        <w:tc>
          <w:tcPr>
            <w:tcW w:w="369" w:type="pct"/>
            <w:tcBorders>
              <w:top w:val="nil"/>
              <w:left w:val="nil"/>
              <w:bottom w:val="single" w:sz="4" w:space="0" w:color="auto"/>
              <w:right w:val="single" w:sz="4" w:space="0" w:color="auto"/>
            </w:tcBorders>
            <w:shd w:val="clear" w:color="auto" w:fill="auto"/>
            <w:noWrap/>
            <w:vAlign w:val="center"/>
          </w:tcPr>
          <w:p w14:paraId="07641E8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8.37E-02</w:t>
            </w:r>
          </w:p>
        </w:tc>
        <w:tc>
          <w:tcPr>
            <w:tcW w:w="369" w:type="pct"/>
            <w:tcBorders>
              <w:top w:val="nil"/>
              <w:left w:val="nil"/>
              <w:bottom w:val="single" w:sz="4" w:space="0" w:color="auto"/>
              <w:right w:val="single" w:sz="4" w:space="0" w:color="auto"/>
            </w:tcBorders>
            <w:shd w:val="clear" w:color="auto" w:fill="auto"/>
            <w:noWrap/>
            <w:vAlign w:val="center"/>
          </w:tcPr>
          <w:p w14:paraId="26F35BD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7.00E-02</w:t>
            </w:r>
          </w:p>
        </w:tc>
        <w:tc>
          <w:tcPr>
            <w:tcW w:w="369" w:type="pct"/>
            <w:tcBorders>
              <w:top w:val="nil"/>
              <w:left w:val="nil"/>
              <w:bottom w:val="single" w:sz="4" w:space="0" w:color="auto"/>
              <w:right w:val="single" w:sz="4" w:space="0" w:color="auto"/>
            </w:tcBorders>
            <w:shd w:val="clear" w:color="auto" w:fill="auto"/>
            <w:noWrap/>
            <w:vAlign w:val="center"/>
          </w:tcPr>
          <w:p w14:paraId="6115F45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1.30E-04</w:t>
            </w:r>
          </w:p>
        </w:tc>
        <w:tc>
          <w:tcPr>
            <w:tcW w:w="369" w:type="pct"/>
            <w:tcBorders>
              <w:top w:val="nil"/>
              <w:left w:val="nil"/>
              <w:bottom w:val="single" w:sz="4" w:space="0" w:color="auto"/>
              <w:right w:val="single" w:sz="4" w:space="0" w:color="auto"/>
            </w:tcBorders>
            <w:shd w:val="clear" w:color="auto" w:fill="auto"/>
            <w:noWrap/>
            <w:vAlign w:val="center"/>
          </w:tcPr>
          <w:p w14:paraId="224B3C7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1.69E-01</w:t>
            </w:r>
          </w:p>
        </w:tc>
        <w:tc>
          <w:tcPr>
            <w:tcW w:w="369" w:type="pct"/>
            <w:tcBorders>
              <w:top w:val="nil"/>
              <w:left w:val="nil"/>
              <w:bottom w:val="single" w:sz="4" w:space="0" w:color="auto"/>
              <w:right w:val="single" w:sz="4" w:space="0" w:color="auto"/>
            </w:tcBorders>
            <w:shd w:val="clear" w:color="auto" w:fill="auto"/>
            <w:noWrap/>
            <w:vAlign w:val="center"/>
          </w:tcPr>
          <w:p w14:paraId="3B5A938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7.18E-02</w:t>
            </w:r>
          </w:p>
        </w:tc>
        <w:tc>
          <w:tcPr>
            <w:tcW w:w="369" w:type="pct"/>
            <w:tcBorders>
              <w:top w:val="nil"/>
              <w:left w:val="nil"/>
              <w:bottom w:val="single" w:sz="4" w:space="0" w:color="auto"/>
              <w:right w:val="single" w:sz="4" w:space="0" w:color="auto"/>
            </w:tcBorders>
            <w:shd w:val="clear" w:color="auto" w:fill="auto"/>
            <w:noWrap/>
            <w:vAlign w:val="center"/>
          </w:tcPr>
          <w:p w14:paraId="1CDB02D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2.94E-02</w:t>
            </w:r>
          </w:p>
        </w:tc>
        <w:tc>
          <w:tcPr>
            <w:tcW w:w="369" w:type="pct"/>
            <w:tcBorders>
              <w:top w:val="nil"/>
              <w:left w:val="nil"/>
              <w:bottom w:val="single" w:sz="4" w:space="0" w:color="auto"/>
              <w:right w:val="single" w:sz="4" w:space="0" w:color="auto"/>
            </w:tcBorders>
            <w:shd w:val="clear" w:color="auto" w:fill="auto"/>
            <w:noWrap/>
            <w:vAlign w:val="center"/>
          </w:tcPr>
          <w:p w14:paraId="190855D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3.73E-02</w:t>
            </w:r>
          </w:p>
        </w:tc>
        <w:tc>
          <w:tcPr>
            <w:tcW w:w="369" w:type="pct"/>
            <w:tcBorders>
              <w:top w:val="nil"/>
              <w:left w:val="nil"/>
              <w:bottom w:val="single" w:sz="4" w:space="0" w:color="auto"/>
              <w:right w:val="single" w:sz="4" w:space="0" w:color="auto"/>
            </w:tcBorders>
            <w:shd w:val="clear" w:color="auto" w:fill="auto"/>
            <w:noWrap/>
            <w:vAlign w:val="center"/>
          </w:tcPr>
          <w:p w14:paraId="6FD2A06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1.65E-02</w:t>
            </w:r>
          </w:p>
        </w:tc>
        <w:tc>
          <w:tcPr>
            <w:tcW w:w="369" w:type="pct"/>
            <w:tcBorders>
              <w:top w:val="nil"/>
              <w:left w:val="nil"/>
              <w:bottom w:val="single" w:sz="4" w:space="0" w:color="auto"/>
              <w:right w:val="single" w:sz="4" w:space="0" w:color="auto"/>
            </w:tcBorders>
            <w:shd w:val="clear" w:color="auto" w:fill="auto"/>
            <w:noWrap/>
            <w:vAlign w:val="center"/>
          </w:tcPr>
          <w:p w14:paraId="7E60743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4.58E-02</w:t>
            </w:r>
          </w:p>
        </w:tc>
        <w:tc>
          <w:tcPr>
            <w:tcW w:w="369" w:type="pct"/>
            <w:tcBorders>
              <w:top w:val="nil"/>
              <w:left w:val="nil"/>
              <w:bottom w:val="single" w:sz="4" w:space="0" w:color="auto"/>
              <w:right w:val="single" w:sz="4" w:space="0" w:color="auto"/>
            </w:tcBorders>
            <w:shd w:val="clear" w:color="auto" w:fill="auto"/>
            <w:noWrap/>
            <w:vAlign w:val="center"/>
          </w:tcPr>
          <w:p w14:paraId="555687D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5.52E-02</w:t>
            </w:r>
          </w:p>
        </w:tc>
        <w:tc>
          <w:tcPr>
            <w:tcW w:w="386" w:type="pct"/>
            <w:tcBorders>
              <w:top w:val="nil"/>
              <w:left w:val="nil"/>
              <w:bottom w:val="single" w:sz="4" w:space="0" w:color="auto"/>
              <w:right w:val="single" w:sz="4" w:space="0" w:color="auto"/>
            </w:tcBorders>
            <w:shd w:val="clear" w:color="auto" w:fill="auto"/>
            <w:noWrap/>
            <w:vAlign w:val="center"/>
          </w:tcPr>
          <w:p w14:paraId="73A62FA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5.79E-01</w:t>
            </w:r>
          </w:p>
        </w:tc>
      </w:tr>
      <w:bookmarkEnd w:id="1"/>
      <w:tr w:rsidR="00043F49" w14:paraId="1FC21CF8" w14:textId="77777777">
        <w:trPr>
          <w:trHeight w:val="280"/>
        </w:trPr>
        <w:tc>
          <w:tcPr>
            <w:tcW w:w="492" w:type="pct"/>
            <w:vMerge w:val="restart"/>
            <w:tcBorders>
              <w:left w:val="single" w:sz="4" w:space="0" w:color="auto"/>
              <w:right w:val="single" w:sz="4" w:space="0" w:color="auto"/>
            </w:tcBorders>
          </w:tcPr>
          <w:p w14:paraId="49F1598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 xml:space="preserve">Inhalation </w:t>
            </w:r>
          </w:p>
        </w:tc>
        <w:tc>
          <w:tcPr>
            <w:tcW w:w="432" w:type="pct"/>
            <w:tcBorders>
              <w:top w:val="nil"/>
              <w:left w:val="single" w:sz="4" w:space="0" w:color="auto"/>
              <w:bottom w:val="single" w:sz="4" w:space="0" w:color="auto"/>
              <w:right w:val="single" w:sz="4" w:space="0" w:color="auto"/>
            </w:tcBorders>
            <w:shd w:val="clear" w:color="auto" w:fill="auto"/>
            <w:vAlign w:val="center"/>
          </w:tcPr>
          <w:p w14:paraId="4B052F0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2–&lt;3</w:t>
            </w:r>
          </w:p>
        </w:tc>
        <w:tc>
          <w:tcPr>
            <w:tcW w:w="369" w:type="pct"/>
            <w:tcBorders>
              <w:top w:val="nil"/>
              <w:left w:val="nil"/>
              <w:bottom w:val="single" w:sz="4" w:space="0" w:color="auto"/>
              <w:right w:val="single" w:sz="4" w:space="0" w:color="auto"/>
            </w:tcBorders>
            <w:shd w:val="clear" w:color="auto" w:fill="auto"/>
            <w:noWrap/>
            <w:vAlign w:val="center"/>
          </w:tcPr>
          <w:p w14:paraId="20E9A08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3.43E-02</w:t>
            </w:r>
          </w:p>
        </w:tc>
        <w:tc>
          <w:tcPr>
            <w:tcW w:w="369" w:type="pct"/>
            <w:tcBorders>
              <w:top w:val="nil"/>
              <w:left w:val="nil"/>
              <w:bottom w:val="single" w:sz="4" w:space="0" w:color="auto"/>
              <w:right w:val="single" w:sz="4" w:space="0" w:color="auto"/>
            </w:tcBorders>
            <w:shd w:val="clear" w:color="auto" w:fill="auto"/>
            <w:noWrap/>
            <w:vAlign w:val="center"/>
          </w:tcPr>
          <w:p w14:paraId="3DBFCFA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7.76E-02</w:t>
            </w:r>
          </w:p>
        </w:tc>
        <w:tc>
          <w:tcPr>
            <w:tcW w:w="369" w:type="pct"/>
            <w:tcBorders>
              <w:top w:val="nil"/>
              <w:left w:val="nil"/>
              <w:bottom w:val="single" w:sz="4" w:space="0" w:color="auto"/>
              <w:right w:val="single" w:sz="4" w:space="0" w:color="auto"/>
            </w:tcBorders>
            <w:shd w:val="clear" w:color="auto" w:fill="auto"/>
            <w:noWrap/>
            <w:vAlign w:val="center"/>
          </w:tcPr>
          <w:p w14:paraId="028E227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2.49E-02</w:t>
            </w:r>
          </w:p>
        </w:tc>
        <w:tc>
          <w:tcPr>
            <w:tcW w:w="369" w:type="pct"/>
            <w:tcBorders>
              <w:top w:val="nil"/>
              <w:left w:val="nil"/>
              <w:bottom w:val="single" w:sz="4" w:space="0" w:color="auto"/>
              <w:right w:val="single" w:sz="4" w:space="0" w:color="auto"/>
            </w:tcBorders>
            <w:shd w:val="clear" w:color="auto" w:fill="auto"/>
            <w:noWrap/>
            <w:vAlign w:val="center"/>
          </w:tcPr>
          <w:p w14:paraId="21CE1A0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5.79E-04</w:t>
            </w:r>
          </w:p>
        </w:tc>
        <w:tc>
          <w:tcPr>
            <w:tcW w:w="369" w:type="pct"/>
            <w:tcBorders>
              <w:top w:val="nil"/>
              <w:left w:val="nil"/>
              <w:bottom w:val="single" w:sz="4" w:space="0" w:color="auto"/>
              <w:right w:val="single" w:sz="4" w:space="0" w:color="auto"/>
            </w:tcBorders>
            <w:shd w:val="clear" w:color="auto" w:fill="auto"/>
            <w:noWrap/>
            <w:vAlign w:val="center"/>
          </w:tcPr>
          <w:p w14:paraId="7AC9921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21F5ECB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1.03E-03</w:t>
            </w:r>
          </w:p>
        </w:tc>
        <w:tc>
          <w:tcPr>
            <w:tcW w:w="369" w:type="pct"/>
            <w:tcBorders>
              <w:top w:val="nil"/>
              <w:left w:val="nil"/>
              <w:bottom w:val="single" w:sz="4" w:space="0" w:color="auto"/>
              <w:right w:val="single" w:sz="4" w:space="0" w:color="auto"/>
            </w:tcBorders>
            <w:shd w:val="clear" w:color="auto" w:fill="auto"/>
            <w:noWrap/>
            <w:vAlign w:val="center"/>
          </w:tcPr>
          <w:p w14:paraId="7286440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8.96E-03</w:t>
            </w:r>
          </w:p>
        </w:tc>
        <w:tc>
          <w:tcPr>
            <w:tcW w:w="369" w:type="pct"/>
            <w:tcBorders>
              <w:top w:val="nil"/>
              <w:left w:val="nil"/>
              <w:bottom w:val="single" w:sz="4" w:space="0" w:color="auto"/>
              <w:right w:val="single" w:sz="4" w:space="0" w:color="auto"/>
            </w:tcBorders>
            <w:shd w:val="clear" w:color="auto" w:fill="auto"/>
            <w:noWrap/>
            <w:vAlign w:val="center"/>
          </w:tcPr>
          <w:p w14:paraId="23EB9DF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3.47E-04</w:t>
            </w:r>
          </w:p>
        </w:tc>
        <w:tc>
          <w:tcPr>
            <w:tcW w:w="369" w:type="pct"/>
            <w:tcBorders>
              <w:top w:val="nil"/>
              <w:left w:val="nil"/>
              <w:bottom w:val="single" w:sz="4" w:space="0" w:color="auto"/>
              <w:right w:val="single" w:sz="4" w:space="0" w:color="auto"/>
            </w:tcBorders>
            <w:shd w:val="clear" w:color="auto" w:fill="auto"/>
            <w:noWrap/>
            <w:vAlign w:val="center"/>
          </w:tcPr>
          <w:p w14:paraId="2117472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4.65E-03</w:t>
            </w:r>
          </w:p>
        </w:tc>
        <w:tc>
          <w:tcPr>
            <w:tcW w:w="369" w:type="pct"/>
            <w:tcBorders>
              <w:top w:val="nil"/>
              <w:left w:val="nil"/>
              <w:bottom w:val="single" w:sz="4" w:space="0" w:color="auto"/>
              <w:right w:val="single" w:sz="4" w:space="0" w:color="auto"/>
            </w:tcBorders>
            <w:shd w:val="clear" w:color="auto" w:fill="auto"/>
            <w:noWrap/>
            <w:vAlign w:val="center"/>
          </w:tcPr>
          <w:p w14:paraId="151053E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1.27E-03</w:t>
            </w:r>
          </w:p>
        </w:tc>
        <w:tc>
          <w:tcPr>
            <w:tcW w:w="386" w:type="pct"/>
            <w:tcBorders>
              <w:top w:val="nil"/>
              <w:left w:val="nil"/>
              <w:bottom w:val="single" w:sz="4" w:space="0" w:color="auto"/>
              <w:right w:val="single" w:sz="4" w:space="0" w:color="auto"/>
            </w:tcBorders>
            <w:shd w:val="clear" w:color="auto" w:fill="auto"/>
            <w:noWrap/>
            <w:vAlign w:val="center"/>
          </w:tcPr>
          <w:p w14:paraId="2E70282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1.54E-01</w:t>
            </w:r>
          </w:p>
        </w:tc>
      </w:tr>
      <w:tr w:rsidR="00043F49" w14:paraId="58703E6D" w14:textId="77777777">
        <w:trPr>
          <w:trHeight w:val="280"/>
        </w:trPr>
        <w:tc>
          <w:tcPr>
            <w:tcW w:w="492" w:type="pct"/>
            <w:vMerge/>
            <w:tcBorders>
              <w:left w:val="single" w:sz="4" w:space="0" w:color="auto"/>
              <w:right w:val="single" w:sz="4" w:space="0" w:color="auto"/>
            </w:tcBorders>
          </w:tcPr>
          <w:p w14:paraId="74DE08AB"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04FF794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3–&lt;4</w:t>
            </w:r>
          </w:p>
        </w:tc>
        <w:tc>
          <w:tcPr>
            <w:tcW w:w="369" w:type="pct"/>
            <w:tcBorders>
              <w:top w:val="nil"/>
              <w:left w:val="nil"/>
              <w:bottom w:val="single" w:sz="4" w:space="0" w:color="auto"/>
              <w:right w:val="single" w:sz="4" w:space="0" w:color="auto"/>
            </w:tcBorders>
            <w:shd w:val="clear" w:color="auto" w:fill="auto"/>
            <w:noWrap/>
            <w:vAlign w:val="center"/>
          </w:tcPr>
          <w:p w14:paraId="57DBE3F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3.26E-02</w:t>
            </w:r>
          </w:p>
        </w:tc>
        <w:tc>
          <w:tcPr>
            <w:tcW w:w="369" w:type="pct"/>
            <w:tcBorders>
              <w:top w:val="nil"/>
              <w:left w:val="nil"/>
              <w:bottom w:val="single" w:sz="4" w:space="0" w:color="auto"/>
              <w:right w:val="single" w:sz="4" w:space="0" w:color="auto"/>
            </w:tcBorders>
            <w:shd w:val="clear" w:color="auto" w:fill="auto"/>
            <w:noWrap/>
            <w:vAlign w:val="center"/>
          </w:tcPr>
          <w:p w14:paraId="29C578C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7.36E-02</w:t>
            </w:r>
          </w:p>
        </w:tc>
        <w:tc>
          <w:tcPr>
            <w:tcW w:w="369" w:type="pct"/>
            <w:tcBorders>
              <w:top w:val="nil"/>
              <w:left w:val="nil"/>
              <w:bottom w:val="single" w:sz="4" w:space="0" w:color="auto"/>
              <w:right w:val="single" w:sz="4" w:space="0" w:color="auto"/>
            </w:tcBorders>
            <w:shd w:val="clear" w:color="auto" w:fill="auto"/>
            <w:noWrap/>
            <w:vAlign w:val="center"/>
          </w:tcPr>
          <w:p w14:paraId="17B6984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2.37E-02</w:t>
            </w:r>
          </w:p>
        </w:tc>
        <w:tc>
          <w:tcPr>
            <w:tcW w:w="369" w:type="pct"/>
            <w:tcBorders>
              <w:top w:val="nil"/>
              <w:left w:val="nil"/>
              <w:bottom w:val="single" w:sz="4" w:space="0" w:color="auto"/>
              <w:right w:val="single" w:sz="4" w:space="0" w:color="auto"/>
            </w:tcBorders>
            <w:shd w:val="clear" w:color="auto" w:fill="auto"/>
            <w:noWrap/>
            <w:vAlign w:val="center"/>
          </w:tcPr>
          <w:p w14:paraId="52FB86B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5.49E-04</w:t>
            </w:r>
          </w:p>
        </w:tc>
        <w:tc>
          <w:tcPr>
            <w:tcW w:w="369" w:type="pct"/>
            <w:tcBorders>
              <w:top w:val="nil"/>
              <w:left w:val="nil"/>
              <w:bottom w:val="single" w:sz="4" w:space="0" w:color="auto"/>
              <w:right w:val="single" w:sz="4" w:space="0" w:color="auto"/>
            </w:tcBorders>
            <w:shd w:val="clear" w:color="auto" w:fill="auto"/>
            <w:noWrap/>
          </w:tcPr>
          <w:p w14:paraId="166B446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2C2B6F1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9.73E-04</w:t>
            </w:r>
          </w:p>
        </w:tc>
        <w:tc>
          <w:tcPr>
            <w:tcW w:w="369" w:type="pct"/>
            <w:tcBorders>
              <w:top w:val="nil"/>
              <w:left w:val="nil"/>
              <w:bottom w:val="single" w:sz="4" w:space="0" w:color="auto"/>
              <w:right w:val="single" w:sz="4" w:space="0" w:color="auto"/>
            </w:tcBorders>
            <w:shd w:val="clear" w:color="auto" w:fill="auto"/>
            <w:noWrap/>
            <w:vAlign w:val="center"/>
          </w:tcPr>
          <w:p w14:paraId="1952B3F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8.51E-03</w:t>
            </w:r>
          </w:p>
        </w:tc>
        <w:tc>
          <w:tcPr>
            <w:tcW w:w="369" w:type="pct"/>
            <w:tcBorders>
              <w:top w:val="nil"/>
              <w:left w:val="nil"/>
              <w:bottom w:val="single" w:sz="4" w:space="0" w:color="auto"/>
              <w:right w:val="single" w:sz="4" w:space="0" w:color="auto"/>
            </w:tcBorders>
            <w:shd w:val="clear" w:color="auto" w:fill="auto"/>
            <w:noWrap/>
            <w:vAlign w:val="center"/>
          </w:tcPr>
          <w:p w14:paraId="14CF751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3.30E-04</w:t>
            </w:r>
          </w:p>
        </w:tc>
        <w:tc>
          <w:tcPr>
            <w:tcW w:w="369" w:type="pct"/>
            <w:tcBorders>
              <w:top w:val="nil"/>
              <w:left w:val="nil"/>
              <w:bottom w:val="single" w:sz="4" w:space="0" w:color="auto"/>
              <w:right w:val="single" w:sz="4" w:space="0" w:color="auto"/>
            </w:tcBorders>
            <w:shd w:val="clear" w:color="auto" w:fill="auto"/>
            <w:noWrap/>
            <w:vAlign w:val="center"/>
          </w:tcPr>
          <w:p w14:paraId="75CC6D3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4.41E-03</w:t>
            </w:r>
          </w:p>
        </w:tc>
        <w:tc>
          <w:tcPr>
            <w:tcW w:w="369" w:type="pct"/>
            <w:tcBorders>
              <w:top w:val="nil"/>
              <w:left w:val="nil"/>
              <w:bottom w:val="single" w:sz="4" w:space="0" w:color="auto"/>
              <w:right w:val="single" w:sz="4" w:space="0" w:color="auto"/>
            </w:tcBorders>
            <w:shd w:val="clear" w:color="auto" w:fill="auto"/>
            <w:noWrap/>
            <w:vAlign w:val="center"/>
          </w:tcPr>
          <w:p w14:paraId="3E87B49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1.20E-03</w:t>
            </w:r>
          </w:p>
        </w:tc>
        <w:tc>
          <w:tcPr>
            <w:tcW w:w="386" w:type="pct"/>
            <w:tcBorders>
              <w:top w:val="nil"/>
              <w:left w:val="nil"/>
              <w:bottom w:val="single" w:sz="4" w:space="0" w:color="auto"/>
              <w:right w:val="single" w:sz="4" w:space="0" w:color="auto"/>
            </w:tcBorders>
            <w:shd w:val="clear" w:color="auto" w:fill="auto"/>
            <w:noWrap/>
            <w:vAlign w:val="center"/>
          </w:tcPr>
          <w:p w14:paraId="772819B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1.46E-01</w:t>
            </w:r>
          </w:p>
        </w:tc>
      </w:tr>
      <w:tr w:rsidR="00043F49" w14:paraId="4706C54A" w14:textId="77777777">
        <w:trPr>
          <w:trHeight w:val="280"/>
        </w:trPr>
        <w:tc>
          <w:tcPr>
            <w:tcW w:w="492" w:type="pct"/>
            <w:vMerge/>
            <w:tcBorders>
              <w:left w:val="single" w:sz="4" w:space="0" w:color="auto"/>
              <w:right w:val="single" w:sz="4" w:space="0" w:color="auto"/>
            </w:tcBorders>
          </w:tcPr>
          <w:p w14:paraId="6517C29F"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B92449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4–&lt;5</w:t>
            </w:r>
          </w:p>
        </w:tc>
        <w:tc>
          <w:tcPr>
            <w:tcW w:w="369" w:type="pct"/>
            <w:tcBorders>
              <w:top w:val="nil"/>
              <w:left w:val="nil"/>
              <w:bottom w:val="single" w:sz="4" w:space="0" w:color="auto"/>
              <w:right w:val="single" w:sz="4" w:space="0" w:color="auto"/>
            </w:tcBorders>
            <w:shd w:val="clear" w:color="auto" w:fill="auto"/>
            <w:noWrap/>
            <w:vAlign w:val="center"/>
          </w:tcPr>
          <w:p w14:paraId="155E7E9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3.04E-02</w:t>
            </w:r>
          </w:p>
        </w:tc>
        <w:tc>
          <w:tcPr>
            <w:tcW w:w="369" w:type="pct"/>
            <w:tcBorders>
              <w:top w:val="nil"/>
              <w:left w:val="nil"/>
              <w:bottom w:val="single" w:sz="4" w:space="0" w:color="auto"/>
              <w:right w:val="single" w:sz="4" w:space="0" w:color="auto"/>
            </w:tcBorders>
            <w:shd w:val="clear" w:color="auto" w:fill="auto"/>
            <w:noWrap/>
            <w:vAlign w:val="center"/>
          </w:tcPr>
          <w:p w14:paraId="652A6A7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6.87E-02</w:t>
            </w:r>
          </w:p>
        </w:tc>
        <w:tc>
          <w:tcPr>
            <w:tcW w:w="369" w:type="pct"/>
            <w:tcBorders>
              <w:top w:val="nil"/>
              <w:left w:val="nil"/>
              <w:bottom w:val="single" w:sz="4" w:space="0" w:color="auto"/>
              <w:right w:val="single" w:sz="4" w:space="0" w:color="auto"/>
            </w:tcBorders>
            <w:shd w:val="clear" w:color="auto" w:fill="auto"/>
            <w:noWrap/>
            <w:vAlign w:val="center"/>
          </w:tcPr>
          <w:p w14:paraId="2743901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2.21E-02</w:t>
            </w:r>
          </w:p>
        </w:tc>
        <w:tc>
          <w:tcPr>
            <w:tcW w:w="369" w:type="pct"/>
            <w:tcBorders>
              <w:top w:val="nil"/>
              <w:left w:val="nil"/>
              <w:bottom w:val="single" w:sz="4" w:space="0" w:color="auto"/>
              <w:right w:val="single" w:sz="4" w:space="0" w:color="auto"/>
            </w:tcBorders>
            <w:shd w:val="clear" w:color="auto" w:fill="auto"/>
            <w:noWrap/>
            <w:vAlign w:val="center"/>
          </w:tcPr>
          <w:p w14:paraId="65FB2D3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5.13E-04</w:t>
            </w:r>
          </w:p>
        </w:tc>
        <w:tc>
          <w:tcPr>
            <w:tcW w:w="369" w:type="pct"/>
            <w:tcBorders>
              <w:top w:val="nil"/>
              <w:left w:val="nil"/>
              <w:bottom w:val="single" w:sz="4" w:space="0" w:color="auto"/>
              <w:right w:val="single" w:sz="4" w:space="0" w:color="auto"/>
            </w:tcBorders>
            <w:shd w:val="clear" w:color="auto" w:fill="auto"/>
            <w:noWrap/>
          </w:tcPr>
          <w:p w14:paraId="7002DB5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38A6820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9.08E-04</w:t>
            </w:r>
          </w:p>
        </w:tc>
        <w:tc>
          <w:tcPr>
            <w:tcW w:w="369" w:type="pct"/>
            <w:tcBorders>
              <w:top w:val="nil"/>
              <w:left w:val="nil"/>
              <w:bottom w:val="single" w:sz="4" w:space="0" w:color="auto"/>
              <w:right w:val="single" w:sz="4" w:space="0" w:color="auto"/>
            </w:tcBorders>
            <w:shd w:val="clear" w:color="auto" w:fill="auto"/>
            <w:noWrap/>
            <w:vAlign w:val="center"/>
          </w:tcPr>
          <w:p w14:paraId="66D85C4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7.94E-03</w:t>
            </w:r>
          </w:p>
        </w:tc>
        <w:tc>
          <w:tcPr>
            <w:tcW w:w="369" w:type="pct"/>
            <w:tcBorders>
              <w:top w:val="nil"/>
              <w:left w:val="nil"/>
              <w:bottom w:val="single" w:sz="4" w:space="0" w:color="auto"/>
              <w:right w:val="single" w:sz="4" w:space="0" w:color="auto"/>
            </w:tcBorders>
            <w:shd w:val="clear" w:color="auto" w:fill="auto"/>
            <w:noWrap/>
            <w:vAlign w:val="center"/>
          </w:tcPr>
          <w:p w14:paraId="1559000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3.08E-04</w:t>
            </w:r>
          </w:p>
        </w:tc>
        <w:tc>
          <w:tcPr>
            <w:tcW w:w="369" w:type="pct"/>
            <w:tcBorders>
              <w:top w:val="nil"/>
              <w:left w:val="nil"/>
              <w:bottom w:val="single" w:sz="4" w:space="0" w:color="auto"/>
              <w:right w:val="single" w:sz="4" w:space="0" w:color="auto"/>
            </w:tcBorders>
            <w:shd w:val="clear" w:color="auto" w:fill="auto"/>
            <w:noWrap/>
            <w:vAlign w:val="center"/>
          </w:tcPr>
          <w:p w14:paraId="126336D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4.11E-03</w:t>
            </w:r>
          </w:p>
        </w:tc>
        <w:tc>
          <w:tcPr>
            <w:tcW w:w="369" w:type="pct"/>
            <w:tcBorders>
              <w:top w:val="nil"/>
              <w:left w:val="nil"/>
              <w:bottom w:val="single" w:sz="4" w:space="0" w:color="auto"/>
              <w:right w:val="single" w:sz="4" w:space="0" w:color="auto"/>
            </w:tcBorders>
            <w:shd w:val="clear" w:color="auto" w:fill="auto"/>
            <w:noWrap/>
            <w:vAlign w:val="center"/>
          </w:tcPr>
          <w:p w14:paraId="033C446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1.12E-03</w:t>
            </w:r>
          </w:p>
        </w:tc>
        <w:tc>
          <w:tcPr>
            <w:tcW w:w="386" w:type="pct"/>
            <w:tcBorders>
              <w:top w:val="nil"/>
              <w:left w:val="nil"/>
              <w:bottom w:val="single" w:sz="4" w:space="0" w:color="auto"/>
              <w:right w:val="single" w:sz="4" w:space="0" w:color="auto"/>
            </w:tcBorders>
            <w:shd w:val="clear" w:color="auto" w:fill="auto"/>
            <w:noWrap/>
            <w:vAlign w:val="center"/>
          </w:tcPr>
          <w:p w14:paraId="3A18086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1.36E-01</w:t>
            </w:r>
          </w:p>
        </w:tc>
      </w:tr>
      <w:tr w:rsidR="00043F49" w14:paraId="5640DACC" w14:textId="77777777">
        <w:trPr>
          <w:trHeight w:val="280"/>
        </w:trPr>
        <w:tc>
          <w:tcPr>
            <w:tcW w:w="492" w:type="pct"/>
            <w:vMerge/>
            <w:tcBorders>
              <w:left w:val="single" w:sz="4" w:space="0" w:color="auto"/>
              <w:right w:val="single" w:sz="4" w:space="0" w:color="auto"/>
            </w:tcBorders>
          </w:tcPr>
          <w:p w14:paraId="69CB7402"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3D2E5F8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5–&lt;6</w:t>
            </w:r>
          </w:p>
        </w:tc>
        <w:tc>
          <w:tcPr>
            <w:tcW w:w="369" w:type="pct"/>
            <w:tcBorders>
              <w:top w:val="nil"/>
              <w:left w:val="nil"/>
              <w:bottom w:val="single" w:sz="4" w:space="0" w:color="auto"/>
              <w:right w:val="single" w:sz="4" w:space="0" w:color="auto"/>
            </w:tcBorders>
            <w:shd w:val="clear" w:color="auto" w:fill="auto"/>
            <w:noWrap/>
            <w:vAlign w:val="center"/>
          </w:tcPr>
          <w:p w14:paraId="37144A2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2.85E-02</w:t>
            </w:r>
          </w:p>
        </w:tc>
        <w:tc>
          <w:tcPr>
            <w:tcW w:w="369" w:type="pct"/>
            <w:tcBorders>
              <w:top w:val="nil"/>
              <w:left w:val="nil"/>
              <w:bottom w:val="single" w:sz="4" w:space="0" w:color="auto"/>
              <w:right w:val="single" w:sz="4" w:space="0" w:color="auto"/>
            </w:tcBorders>
            <w:shd w:val="clear" w:color="auto" w:fill="auto"/>
            <w:noWrap/>
            <w:vAlign w:val="center"/>
          </w:tcPr>
          <w:p w14:paraId="206CF71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6.43E-02</w:t>
            </w:r>
          </w:p>
        </w:tc>
        <w:tc>
          <w:tcPr>
            <w:tcW w:w="369" w:type="pct"/>
            <w:tcBorders>
              <w:top w:val="nil"/>
              <w:left w:val="nil"/>
              <w:bottom w:val="single" w:sz="4" w:space="0" w:color="auto"/>
              <w:right w:val="single" w:sz="4" w:space="0" w:color="auto"/>
            </w:tcBorders>
            <w:shd w:val="clear" w:color="auto" w:fill="auto"/>
            <w:noWrap/>
            <w:vAlign w:val="center"/>
          </w:tcPr>
          <w:p w14:paraId="0F50B13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2.07E-02</w:t>
            </w:r>
          </w:p>
        </w:tc>
        <w:tc>
          <w:tcPr>
            <w:tcW w:w="369" w:type="pct"/>
            <w:tcBorders>
              <w:top w:val="nil"/>
              <w:left w:val="nil"/>
              <w:bottom w:val="single" w:sz="4" w:space="0" w:color="auto"/>
              <w:right w:val="single" w:sz="4" w:space="0" w:color="auto"/>
            </w:tcBorders>
            <w:shd w:val="clear" w:color="auto" w:fill="auto"/>
            <w:noWrap/>
            <w:vAlign w:val="center"/>
          </w:tcPr>
          <w:p w14:paraId="25AB156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4.80E-04</w:t>
            </w:r>
          </w:p>
        </w:tc>
        <w:tc>
          <w:tcPr>
            <w:tcW w:w="369" w:type="pct"/>
            <w:tcBorders>
              <w:top w:val="nil"/>
              <w:left w:val="nil"/>
              <w:bottom w:val="single" w:sz="4" w:space="0" w:color="auto"/>
              <w:right w:val="single" w:sz="4" w:space="0" w:color="auto"/>
            </w:tcBorders>
            <w:shd w:val="clear" w:color="auto" w:fill="auto"/>
            <w:noWrap/>
          </w:tcPr>
          <w:p w14:paraId="2F60A70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29F54BA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8.51E-04</w:t>
            </w:r>
          </w:p>
        </w:tc>
        <w:tc>
          <w:tcPr>
            <w:tcW w:w="369" w:type="pct"/>
            <w:tcBorders>
              <w:top w:val="nil"/>
              <w:left w:val="nil"/>
              <w:bottom w:val="single" w:sz="4" w:space="0" w:color="auto"/>
              <w:right w:val="single" w:sz="4" w:space="0" w:color="auto"/>
            </w:tcBorders>
            <w:shd w:val="clear" w:color="auto" w:fill="auto"/>
            <w:noWrap/>
            <w:vAlign w:val="center"/>
          </w:tcPr>
          <w:p w14:paraId="42642CC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7.44E-03</w:t>
            </w:r>
          </w:p>
        </w:tc>
        <w:tc>
          <w:tcPr>
            <w:tcW w:w="369" w:type="pct"/>
            <w:tcBorders>
              <w:top w:val="nil"/>
              <w:left w:val="nil"/>
              <w:bottom w:val="single" w:sz="4" w:space="0" w:color="auto"/>
              <w:right w:val="single" w:sz="4" w:space="0" w:color="auto"/>
            </w:tcBorders>
            <w:shd w:val="clear" w:color="auto" w:fill="auto"/>
            <w:noWrap/>
            <w:vAlign w:val="center"/>
          </w:tcPr>
          <w:p w14:paraId="1816590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2.88E-04</w:t>
            </w:r>
          </w:p>
        </w:tc>
        <w:tc>
          <w:tcPr>
            <w:tcW w:w="369" w:type="pct"/>
            <w:tcBorders>
              <w:top w:val="nil"/>
              <w:left w:val="nil"/>
              <w:bottom w:val="single" w:sz="4" w:space="0" w:color="auto"/>
              <w:right w:val="single" w:sz="4" w:space="0" w:color="auto"/>
            </w:tcBorders>
            <w:shd w:val="clear" w:color="auto" w:fill="auto"/>
            <w:noWrap/>
            <w:vAlign w:val="center"/>
          </w:tcPr>
          <w:p w14:paraId="2C617A9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3.85E-03</w:t>
            </w:r>
          </w:p>
        </w:tc>
        <w:tc>
          <w:tcPr>
            <w:tcW w:w="369" w:type="pct"/>
            <w:tcBorders>
              <w:top w:val="nil"/>
              <w:left w:val="nil"/>
              <w:bottom w:val="single" w:sz="4" w:space="0" w:color="auto"/>
              <w:right w:val="single" w:sz="4" w:space="0" w:color="auto"/>
            </w:tcBorders>
            <w:shd w:val="clear" w:color="auto" w:fill="auto"/>
            <w:noWrap/>
            <w:vAlign w:val="center"/>
          </w:tcPr>
          <w:p w14:paraId="32A8DD0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1.05E-03</w:t>
            </w:r>
          </w:p>
        </w:tc>
        <w:tc>
          <w:tcPr>
            <w:tcW w:w="386" w:type="pct"/>
            <w:tcBorders>
              <w:top w:val="nil"/>
              <w:left w:val="nil"/>
              <w:bottom w:val="single" w:sz="4" w:space="0" w:color="auto"/>
              <w:right w:val="single" w:sz="4" w:space="0" w:color="auto"/>
            </w:tcBorders>
            <w:shd w:val="clear" w:color="auto" w:fill="auto"/>
            <w:noWrap/>
            <w:vAlign w:val="center"/>
          </w:tcPr>
          <w:p w14:paraId="13343E2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1.27E-01</w:t>
            </w:r>
          </w:p>
        </w:tc>
      </w:tr>
      <w:tr w:rsidR="00043F49" w14:paraId="53D20439" w14:textId="77777777">
        <w:trPr>
          <w:trHeight w:val="280"/>
        </w:trPr>
        <w:tc>
          <w:tcPr>
            <w:tcW w:w="492" w:type="pct"/>
            <w:vMerge/>
            <w:tcBorders>
              <w:left w:val="single" w:sz="4" w:space="0" w:color="auto"/>
              <w:right w:val="single" w:sz="4" w:space="0" w:color="auto"/>
            </w:tcBorders>
          </w:tcPr>
          <w:p w14:paraId="11169748"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2AB6707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6–&lt;9</w:t>
            </w:r>
          </w:p>
        </w:tc>
        <w:tc>
          <w:tcPr>
            <w:tcW w:w="369" w:type="pct"/>
            <w:tcBorders>
              <w:top w:val="nil"/>
              <w:left w:val="nil"/>
              <w:bottom w:val="single" w:sz="4" w:space="0" w:color="auto"/>
              <w:right w:val="single" w:sz="4" w:space="0" w:color="auto"/>
            </w:tcBorders>
            <w:shd w:val="clear" w:color="auto" w:fill="auto"/>
            <w:noWrap/>
            <w:vAlign w:val="center"/>
          </w:tcPr>
          <w:p w14:paraId="3405276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2.48E-02</w:t>
            </w:r>
          </w:p>
        </w:tc>
        <w:tc>
          <w:tcPr>
            <w:tcW w:w="369" w:type="pct"/>
            <w:tcBorders>
              <w:top w:val="nil"/>
              <w:left w:val="nil"/>
              <w:bottom w:val="single" w:sz="4" w:space="0" w:color="auto"/>
              <w:right w:val="single" w:sz="4" w:space="0" w:color="auto"/>
            </w:tcBorders>
            <w:shd w:val="clear" w:color="auto" w:fill="auto"/>
            <w:noWrap/>
            <w:vAlign w:val="center"/>
          </w:tcPr>
          <w:p w14:paraId="44C5474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5.60E-02</w:t>
            </w:r>
          </w:p>
        </w:tc>
        <w:tc>
          <w:tcPr>
            <w:tcW w:w="369" w:type="pct"/>
            <w:tcBorders>
              <w:top w:val="nil"/>
              <w:left w:val="nil"/>
              <w:bottom w:val="single" w:sz="4" w:space="0" w:color="auto"/>
              <w:right w:val="single" w:sz="4" w:space="0" w:color="auto"/>
            </w:tcBorders>
            <w:shd w:val="clear" w:color="auto" w:fill="auto"/>
            <w:noWrap/>
            <w:vAlign w:val="center"/>
          </w:tcPr>
          <w:p w14:paraId="5F4D273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1.80E-02</w:t>
            </w:r>
          </w:p>
        </w:tc>
        <w:tc>
          <w:tcPr>
            <w:tcW w:w="369" w:type="pct"/>
            <w:tcBorders>
              <w:top w:val="nil"/>
              <w:left w:val="nil"/>
              <w:bottom w:val="single" w:sz="4" w:space="0" w:color="auto"/>
              <w:right w:val="single" w:sz="4" w:space="0" w:color="auto"/>
            </w:tcBorders>
            <w:shd w:val="clear" w:color="auto" w:fill="auto"/>
            <w:noWrap/>
            <w:vAlign w:val="center"/>
          </w:tcPr>
          <w:p w14:paraId="2DE7604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4.18E-04</w:t>
            </w:r>
          </w:p>
        </w:tc>
        <w:tc>
          <w:tcPr>
            <w:tcW w:w="369" w:type="pct"/>
            <w:tcBorders>
              <w:top w:val="nil"/>
              <w:left w:val="nil"/>
              <w:bottom w:val="single" w:sz="4" w:space="0" w:color="auto"/>
              <w:right w:val="single" w:sz="4" w:space="0" w:color="auto"/>
            </w:tcBorders>
            <w:shd w:val="clear" w:color="auto" w:fill="auto"/>
            <w:noWrap/>
          </w:tcPr>
          <w:p w14:paraId="2066173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0796013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7.41E-04</w:t>
            </w:r>
          </w:p>
        </w:tc>
        <w:tc>
          <w:tcPr>
            <w:tcW w:w="369" w:type="pct"/>
            <w:tcBorders>
              <w:top w:val="nil"/>
              <w:left w:val="nil"/>
              <w:bottom w:val="single" w:sz="4" w:space="0" w:color="auto"/>
              <w:right w:val="single" w:sz="4" w:space="0" w:color="auto"/>
            </w:tcBorders>
            <w:shd w:val="clear" w:color="auto" w:fill="auto"/>
            <w:noWrap/>
            <w:vAlign w:val="center"/>
          </w:tcPr>
          <w:p w14:paraId="20B83E3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6.47E-03</w:t>
            </w:r>
          </w:p>
        </w:tc>
        <w:tc>
          <w:tcPr>
            <w:tcW w:w="369" w:type="pct"/>
            <w:tcBorders>
              <w:top w:val="nil"/>
              <w:left w:val="nil"/>
              <w:bottom w:val="single" w:sz="4" w:space="0" w:color="auto"/>
              <w:right w:val="single" w:sz="4" w:space="0" w:color="auto"/>
            </w:tcBorders>
            <w:shd w:val="clear" w:color="auto" w:fill="auto"/>
            <w:noWrap/>
            <w:vAlign w:val="center"/>
          </w:tcPr>
          <w:p w14:paraId="5738A60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2.51E-04</w:t>
            </w:r>
          </w:p>
        </w:tc>
        <w:tc>
          <w:tcPr>
            <w:tcW w:w="369" w:type="pct"/>
            <w:tcBorders>
              <w:top w:val="nil"/>
              <w:left w:val="nil"/>
              <w:bottom w:val="single" w:sz="4" w:space="0" w:color="auto"/>
              <w:right w:val="single" w:sz="4" w:space="0" w:color="auto"/>
            </w:tcBorders>
            <w:shd w:val="clear" w:color="auto" w:fill="auto"/>
            <w:noWrap/>
            <w:vAlign w:val="center"/>
          </w:tcPr>
          <w:p w14:paraId="3345CAF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3.36E-03</w:t>
            </w:r>
          </w:p>
        </w:tc>
        <w:tc>
          <w:tcPr>
            <w:tcW w:w="369" w:type="pct"/>
            <w:tcBorders>
              <w:top w:val="nil"/>
              <w:left w:val="nil"/>
              <w:bottom w:val="single" w:sz="4" w:space="0" w:color="auto"/>
              <w:right w:val="single" w:sz="4" w:space="0" w:color="auto"/>
            </w:tcBorders>
            <w:shd w:val="clear" w:color="auto" w:fill="auto"/>
            <w:noWrap/>
            <w:vAlign w:val="center"/>
          </w:tcPr>
          <w:p w14:paraId="1787FB3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9.15E-04</w:t>
            </w:r>
          </w:p>
        </w:tc>
        <w:tc>
          <w:tcPr>
            <w:tcW w:w="386" w:type="pct"/>
            <w:tcBorders>
              <w:top w:val="nil"/>
              <w:left w:val="nil"/>
              <w:bottom w:val="single" w:sz="4" w:space="0" w:color="auto"/>
              <w:right w:val="single" w:sz="4" w:space="0" w:color="auto"/>
            </w:tcBorders>
            <w:shd w:val="clear" w:color="auto" w:fill="auto"/>
            <w:noWrap/>
            <w:vAlign w:val="center"/>
          </w:tcPr>
          <w:p w14:paraId="56BE0BA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1.11E-01</w:t>
            </w:r>
          </w:p>
        </w:tc>
      </w:tr>
      <w:tr w:rsidR="00043F49" w14:paraId="6E5DF34B" w14:textId="77777777">
        <w:trPr>
          <w:trHeight w:val="280"/>
        </w:trPr>
        <w:tc>
          <w:tcPr>
            <w:tcW w:w="492" w:type="pct"/>
            <w:vMerge/>
            <w:tcBorders>
              <w:left w:val="single" w:sz="4" w:space="0" w:color="auto"/>
              <w:right w:val="single" w:sz="4" w:space="0" w:color="auto"/>
            </w:tcBorders>
          </w:tcPr>
          <w:p w14:paraId="3AF8D088"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7664B25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9–&lt;12</w:t>
            </w:r>
          </w:p>
        </w:tc>
        <w:tc>
          <w:tcPr>
            <w:tcW w:w="369" w:type="pct"/>
            <w:tcBorders>
              <w:top w:val="nil"/>
              <w:left w:val="nil"/>
              <w:bottom w:val="single" w:sz="4" w:space="0" w:color="auto"/>
              <w:right w:val="single" w:sz="4" w:space="0" w:color="auto"/>
            </w:tcBorders>
            <w:shd w:val="clear" w:color="auto" w:fill="auto"/>
            <w:noWrap/>
            <w:vAlign w:val="center"/>
          </w:tcPr>
          <w:p w14:paraId="101BAC7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2.33E-02</w:t>
            </w:r>
          </w:p>
        </w:tc>
        <w:tc>
          <w:tcPr>
            <w:tcW w:w="369" w:type="pct"/>
            <w:tcBorders>
              <w:top w:val="nil"/>
              <w:left w:val="nil"/>
              <w:bottom w:val="single" w:sz="4" w:space="0" w:color="auto"/>
              <w:right w:val="single" w:sz="4" w:space="0" w:color="auto"/>
            </w:tcBorders>
            <w:shd w:val="clear" w:color="auto" w:fill="auto"/>
            <w:noWrap/>
            <w:vAlign w:val="center"/>
          </w:tcPr>
          <w:p w14:paraId="10B550C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5.27E-02</w:t>
            </w:r>
          </w:p>
        </w:tc>
        <w:tc>
          <w:tcPr>
            <w:tcW w:w="369" w:type="pct"/>
            <w:tcBorders>
              <w:top w:val="nil"/>
              <w:left w:val="nil"/>
              <w:bottom w:val="single" w:sz="4" w:space="0" w:color="auto"/>
              <w:right w:val="single" w:sz="4" w:space="0" w:color="auto"/>
            </w:tcBorders>
            <w:shd w:val="clear" w:color="auto" w:fill="auto"/>
            <w:noWrap/>
            <w:vAlign w:val="center"/>
          </w:tcPr>
          <w:p w14:paraId="16E9284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1.69E-02</w:t>
            </w:r>
          </w:p>
        </w:tc>
        <w:tc>
          <w:tcPr>
            <w:tcW w:w="369" w:type="pct"/>
            <w:tcBorders>
              <w:top w:val="nil"/>
              <w:left w:val="nil"/>
              <w:bottom w:val="single" w:sz="4" w:space="0" w:color="auto"/>
              <w:right w:val="single" w:sz="4" w:space="0" w:color="auto"/>
            </w:tcBorders>
            <w:shd w:val="clear" w:color="auto" w:fill="auto"/>
            <w:noWrap/>
            <w:vAlign w:val="center"/>
          </w:tcPr>
          <w:p w14:paraId="09BA1B6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3.93E-04</w:t>
            </w:r>
          </w:p>
        </w:tc>
        <w:tc>
          <w:tcPr>
            <w:tcW w:w="369" w:type="pct"/>
            <w:tcBorders>
              <w:top w:val="nil"/>
              <w:left w:val="nil"/>
              <w:bottom w:val="single" w:sz="4" w:space="0" w:color="auto"/>
              <w:right w:val="single" w:sz="4" w:space="0" w:color="auto"/>
            </w:tcBorders>
            <w:shd w:val="clear" w:color="auto" w:fill="auto"/>
            <w:noWrap/>
          </w:tcPr>
          <w:p w14:paraId="43BA3DC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5AE18CD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6.97E-04</w:t>
            </w:r>
          </w:p>
        </w:tc>
        <w:tc>
          <w:tcPr>
            <w:tcW w:w="369" w:type="pct"/>
            <w:tcBorders>
              <w:top w:val="nil"/>
              <w:left w:val="nil"/>
              <w:bottom w:val="single" w:sz="4" w:space="0" w:color="auto"/>
              <w:right w:val="single" w:sz="4" w:space="0" w:color="auto"/>
            </w:tcBorders>
            <w:shd w:val="clear" w:color="auto" w:fill="auto"/>
            <w:noWrap/>
            <w:vAlign w:val="center"/>
          </w:tcPr>
          <w:p w14:paraId="19E58DE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6.09E-03</w:t>
            </w:r>
          </w:p>
        </w:tc>
        <w:tc>
          <w:tcPr>
            <w:tcW w:w="369" w:type="pct"/>
            <w:tcBorders>
              <w:top w:val="nil"/>
              <w:left w:val="nil"/>
              <w:bottom w:val="single" w:sz="4" w:space="0" w:color="auto"/>
              <w:right w:val="single" w:sz="4" w:space="0" w:color="auto"/>
            </w:tcBorders>
            <w:shd w:val="clear" w:color="auto" w:fill="auto"/>
            <w:noWrap/>
            <w:vAlign w:val="center"/>
          </w:tcPr>
          <w:p w14:paraId="16823A7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2.36E-04</w:t>
            </w:r>
          </w:p>
        </w:tc>
        <w:tc>
          <w:tcPr>
            <w:tcW w:w="369" w:type="pct"/>
            <w:tcBorders>
              <w:top w:val="nil"/>
              <w:left w:val="nil"/>
              <w:bottom w:val="single" w:sz="4" w:space="0" w:color="auto"/>
              <w:right w:val="single" w:sz="4" w:space="0" w:color="auto"/>
            </w:tcBorders>
            <w:shd w:val="clear" w:color="auto" w:fill="auto"/>
            <w:noWrap/>
            <w:vAlign w:val="center"/>
          </w:tcPr>
          <w:p w14:paraId="1D0A267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3.16E-03</w:t>
            </w:r>
          </w:p>
        </w:tc>
        <w:tc>
          <w:tcPr>
            <w:tcW w:w="369" w:type="pct"/>
            <w:tcBorders>
              <w:top w:val="nil"/>
              <w:left w:val="nil"/>
              <w:bottom w:val="single" w:sz="4" w:space="0" w:color="auto"/>
              <w:right w:val="single" w:sz="4" w:space="0" w:color="auto"/>
            </w:tcBorders>
            <w:shd w:val="clear" w:color="auto" w:fill="auto"/>
            <w:noWrap/>
            <w:vAlign w:val="center"/>
          </w:tcPr>
          <w:p w14:paraId="2971D23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8.61E-04</w:t>
            </w:r>
          </w:p>
        </w:tc>
        <w:tc>
          <w:tcPr>
            <w:tcW w:w="386" w:type="pct"/>
            <w:tcBorders>
              <w:top w:val="nil"/>
              <w:left w:val="nil"/>
              <w:bottom w:val="single" w:sz="4" w:space="0" w:color="auto"/>
              <w:right w:val="single" w:sz="4" w:space="0" w:color="auto"/>
            </w:tcBorders>
            <w:shd w:val="clear" w:color="auto" w:fill="auto"/>
            <w:noWrap/>
            <w:vAlign w:val="center"/>
          </w:tcPr>
          <w:p w14:paraId="0E9B141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1.04E-01</w:t>
            </w:r>
          </w:p>
        </w:tc>
      </w:tr>
      <w:tr w:rsidR="00043F49" w14:paraId="16BD82EA" w14:textId="77777777">
        <w:trPr>
          <w:trHeight w:val="280"/>
        </w:trPr>
        <w:tc>
          <w:tcPr>
            <w:tcW w:w="492" w:type="pct"/>
            <w:vMerge/>
            <w:tcBorders>
              <w:left w:val="single" w:sz="4" w:space="0" w:color="auto"/>
              <w:right w:val="single" w:sz="4" w:space="0" w:color="auto"/>
            </w:tcBorders>
          </w:tcPr>
          <w:p w14:paraId="254B6EA5"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9E0871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12–&lt;15</w:t>
            </w:r>
          </w:p>
        </w:tc>
        <w:tc>
          <w:tcPr>
            <w:tcW w:w="369" w:type="pct"/>
            <w:tcBorders>
              <w:top w:val="nil"/>
              <w:left w:val="nil"/>
              <w:bottom w:val="single" w:sz="4" w:space="0" w:color="auto"/>
              <w:right w:val="single" w:sz="4" w:space="0" w:color="auto"/>
            </w:tcBorders>
            <w:shd w:val="clear" w:color="auto" w:fill="auto"/>
            <w:noWrap/>
            <w:vAlign w:val="center"/>
          </w:tcPr>
          <w:p w14:paraId="15AB13F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1.91E-02</w:t>
            </w:r>
          </w:p>
        </w:tc>
        <w:tc>
          <w:tcPr>
            <w:tcW w:w="369" w:type="pct"/>
            <w:tcBorders>
              <w:top w:val="nil"/>
              <w:left w:val="nil"/>
              <w:bottom w:val="single" w:sz="4" w:space="0" w:color="auto"/>
              <w:right w:val="single" w:sz="4" w:space="0" w:color="auto"/>
            </w:tcBorders>
            <w:shd w:val="clear" w:color="auto" w:fill="auto"/>
            <w:noWrap/>
            <w:vAlign w:val="center"/>
          </w:tcPr>
          <w:p w14:paraId="5F2A7ED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4.32E-02</w:t>
            </w:r>
          </w:p>
        </w:tc>
        <w:tc>
          <w:tcPr>
            <w:tcW w:w="369" w:type="pct"/>
            <w:tcBorders>
              <w:top w:val="nil"/>
              <w:left w:val="nil"/>
              <w:bottom w:val="single" w:sz="4" w:space="0" w:color="auto"/>
              <w:right w:val="single" w:sz="4" w:space="0" w:color="auto"/>
            </w:tcBorders>
            <w:shd w:val="clear" w:color="auto" w:fill="auto"/>
            <w:noWrap/>
            <w:vAlign w:val="center"/>
          </w:tcPr>
          <w:p w14:paraId="7C50E53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1.39E-02</w:t>
            </w:r>
          </w:p>
        </w:tc>
        <w:tc>
          <w:tcPr>
            <w:tcW w:w="369" w:type="pct"/>
            <w:tcBorders>
              <w:top w:val="nil"/>
              <w:left w:val="nil"/>
              <w:bottom w:val="single" w:sz="4" w:space="0" w:color="auto"/>
              <w:right w:val="single" w:sz="4" w:space="0" w:color="auto"/>
            </w:tcBorders>
            <w:shd w:val="clear" w:color="auto" w:fill="auto"/>
            <w:noWrap/>
            <w:vAlign w:val="center"/>
          </w:tcPr>
          <w:p w14:paraId="4675F9B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3.22E-04</w:t>
            </w:r>
          </w:p>
        </w:tc>
        <w:tc>
          <w:tcPr>
            <w:tcW w:w="369" w:type="pct"/>
            <w:tcBorders>
              <w:top w:val="nil"/>
              <w:left w:val="nil"/>
              <w:bottom w:val="single" w:sz="4" w:space="0" w:color="auto"/>
              <w:right w:val="single" w:sz="4" w:space="0" w:color="auto"/>
            </w:tcBorders>
            <w:shd w:val="clear" w:color="auto" w:fill="auto"/>
            <w:noWrap/>
          </w:tcPr>
          <w:p w14:paraId="36F8FA9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08B2D71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5.71E-04</w:t>
            </w:r>
          </w:p>
        </w:tc>
        <w:tc>
          <w:tcPr>
            <w:tcW w:w="369" w:type="pct"/>
            <w:tcBorders>
              <w:top w:val="nil"/>
              <w:left w:val="nil"/>
              <w:bottom w:val="single" w:sz="4" w:space="0" w:color="auto"/>
              <w:right w:val="single" w:sz="4" w:space="0" w:color="auto"/>
            </w:tcBorders>
            <w:shd w:val="clear" w:color="auto" w:fill="auto"/>
            <w:noWrap/>
            <w:vAlign w:val="center"/>
          </w:tcPr>
          <w:p w14:paraId="4FF24B7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5.00E-03</w:t>
            </w:r>
          </w:p>
        </w:tc>
        <w:tc>
          <w:tcPr>
            <w:tcW w:w="369" w:type="pct"/>
            <w:tcBorders>
              <w:top w:val="nil"/>
              <w:left w:val="nil"/>
              <w:bottom w:val="single" w:sz="4" w:space="0" w:color="auto"/>
              <w:right w:val="single" w:sz="4" w:space="0" w:color="auto"/>
            </w:tcBorders>
            <w:shd w:val="clear" w:color="auto" w:fill="auto"/>
            <w:noWrap/>
            <w:vAlign w:val="center"/>
          </w:tcPr>
          <w:p w14:paraId="1D462AB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1.94E-04</w:t>
            </w:r>
          </w:p>
        </w:tc>
        <w:tc>
          <w:tcPr>
            <w:tcW w:w="369" w:type="pct"/>
            <w:tcBorders>
              <w:top w:val="nil"/>
              <w:left w:val="nil"/>
              <w:bottom w:val="single" w:sz="4" w:space="0" w:color="auto"/>
              <w:right w:val="single" w:sz="4" w:space="0" w:color="auto"/>
            </w:tcBorders>
            <w:shd w:val="clear" w:color="auto" w:fill="auto"/>
            <w:noWrap/>
            <w:vAlign w:val="center"/>
          </w:tcPr>
          <w:p w14:paraId="27E0719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2.59E-03</w:t>
            </w:r>
          </w:p>
        </w:tc>
        <w:tc>
          <w:tcPr>
            <w:tcW w:w="369" w:type="pct"/>
            <w:tcBorders>
              <w:top w:val="nil"/>
              <w:left w:val="nil"/>
              <w:bottom w:val="single" w:sz="4" w:space="0" w:color="auto"/>
              <w:right w:val="single" w:sz="4" w:space="0" w:color="auto"/>
            </w:tcBorders>
            <w:shd w:val="clear" w:color="auto" w:fill="auto"/>
            <w:noWrap/>
            <w:vAlign w:val="center"/>
          </w:tcPr>
          <w:p w14:paraId="6872648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7.06E-04</w:t>
            </w:r>
          </w:p>
        </w:tc>
        <w:tc>
          <w:tcPr>
            <w:tcW w:w="386" w:type="pct"/>
            <w:tcBorders>
              <w:top w:val="nil"/>
              <w:left w:val="nil"/>
              <w:bottom w:val="single" w:sz="4" w:space="0" w:color="auto"/>
              <w:right w:val="single" w:sz="4" w:space="0" w:color="auto"/>
            </w:tcBorders>
            <w:shd w:val="clear" w:color="auto" w:fill="auto"/>
            <w:noWrap/>
            <w:vAlign w:val="center"/>
          </w:tcPr>
          <w:p w14:paraId="078865F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8.56E-02</w:t>
            </w:r>
          </w:p>
        </w:tc>
      </w:tr>
      <w:tr w:rsidR="00043F49" w14:paraId="7FC85180" w14:textId="77777777">
        <w:trPr>
          <w:trHeight w:val="280"/>
        </w:trPr>
        <w:tc>
          <w:tcPr>
            <w:tcW w:w="492" w:type="pct"/>
            <w:vMerge/>
            <w:tcBorders>
              <w:left w:val="single" w:sz="4" w:space="0" w:color="auto"/>
              <w:bottom w:val="single" w:sz="4" w:space="0" w:color="auto"/>
              <w:right w:val="single" w:sz="4" w:space="0" w:color="auto"/>
            </w:tcBorders>
          </w:tcPr>
          <w:p w14:paraId="7F5402FA"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50324F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15–&lt;18</w:t>
            </w:r>
          </w:p>
        </w:tc>
        <w:tc>
          <w:tcPr>
            <w:tcW w:w="369" w:type="pct"/>
            <w:tcBorders>
              <w:top w:val="nil"/>
              <w:left w:val="nil"/>
              <w:bottom w:val="single" w:sz="4" w:space="0" w:color="auto"/>
              <w:right w:val="single" w:sz="4" w:space="0" w:color="auto"/>
            </w:tcBorders>
            <w:shd w:val="clear" w:color="auto" w:fill="auto"/>
            <w:noWrap/>
            <w:vAlign w:val="center"/>
          </w:tcPr>
          <w:p w14:paraId="74ADB9D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1.56E-02</w:t>
            </w:r>
          </w:p>
        </w:tc>
        <w:tc>
          <w:tcPr>
            <w:tcW w:w="369" w:type="pct"/>
            <w:tcBorders>
              <w:top w:val="nil"/>
              <w:left w:val="nil"/>
              <w:bottom w:val="single" w:sz="4" w:space="0" w:color="auto"/>
              <w:right w:val="single" w:sz="4" w:space="0" w:color="auto"/>
            </w:tcBorders>
            <w:shd w:val="clear" w:color="auto" w:fill="auto"/>
            <w:noWrap/>
            <w:vAlign w:val="center"/>
          </w:tcPr>
          <w:p w14:paraId="47BE9FE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3.54E-02</w:t>
            </w:r>
          </w:p>
        </w:tc>
        <w:tc>
          <w:tcPr>
            <w:tcW w:w="369" w:type="pct"/>
            <w:tcBorders>
              <w:top w:val="nil"/>
              <w:left w:val="nil"/>
              <w:bottom w:val="single" w:sz="4" w:space="0" w:color="auto"/>
              <w:right w:val="single" w:sz="4" w:space="0" w:color="auto"/>
            </w:tcBorders>
            <w:shd w:val="clear" w:color="auto" w:fill="auto"/>
            <w:noWrap/>
            <w:vAlign w:val="center"/>
          </w:tcPr>
          <w:p w14:paraId="770A440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1.14E-02</w:t>
            </w:r>
          </w:p>
        </w:tc>
        <w:tc>
          <w:tcPr>
            <w:tcW w:w="369" w:type="pct"/>
            <w:tcBorders>
              <w:top w:val="nil"/>
              <w:left w:val="nil"/>
              <w:bottom w:val="single" w:sz="4" w:space="0" w:color="auto"/>
              <w:right w:val="single" w:sz="4" w:space="0" w:color="auto"/>
            </w:tcBorders>
            <w:shd w:val="clear" w:color="auto" w:fill="auto"/>
            <w:noWrap/>
            <w:vAlign w:val="center"/>
          </w:tcPr>
          <w:p w14:paraId="5FDFAC5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2.64E-04</w:t>
            </w:r>
          </w:p>
        </w:tc>
        <w:tc>
          <w:tcPr>
            <w:tcW w:w="369" w:type="pct"/>
            <w:tcBorders>
              <w:top w:val="nil"/>
              <w:left w:val="nil"/>
              <w:bottom w:val="single" w:sz="4" w:space="0" w:color="auto"/>
              <w:right w:val="single" w:sz="4" w:space="0" w:color="auto"/>
            </w:tcBorders>
            <w:shd w:val="clear" w:color="auto" w:fill="auto"/>
            <w:noWrap/>
          </w:tcPr>
          <w:p w14:paraId="22E32E4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0073BEE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4.68E-04</w:t>
            </w:r>
          </w:p>
        </w:tc>
        <w:tc>
          <w:tcPr>
            <w:tcW w:w="369" w:type="pct"/>
            <w:tcBorders>
              <w:top w:val="nil"/>
              <w:left w:val="nil"/>
              <w:bottom w:val="single" w:sz="4" w:space="0" w:color="auto"/>
              <w:right w:val="single" w:sz="4" w:space="0" w:color="auto"/>
            </w:tcBorders>
            <w:shd w:val="clear" w:color="auto" w:fill="auto"/>
            <w:noWrap/>
            <w:vAlign w:val="center"/>
          </w:tcPr>
          <w:p w14:paraId="73704F1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4.09E-03</w:t>
            </w:r>
          </w:p>
        </w:tc>
        <w:tc>
          <w:tcPr>
            <w:tcW w:w="369" w:type="pct"/>
            <w:tcBorders>
              <w:top w:val="nil"/>
              <w:left w:val="nil"/>
              <w:bottom w:val="single" w:sz="4" w:space="0" w:color="auto"/>
              <w:right w:val="single" w:sz="4" w:space="0" w:color="auto"/>
            </w:tcBorders>
            <w:shd w:val="clear" w:color="auto" w:fill="auto"/>
            <w:noWrap/>
            <w:vAlign w:val="center"/>
          </w:tcPr>
          <w:p w14:paraId="3697A3D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1.58E-04</w:t>
            </w:r>
          </w:p>
        </w:tc>
        <w:tc>
          <w:tcPr>
            <w:tcW w:w="369" w:type="pct"/>
            <w:tcBorders>
              <w:top w:val="nil"/>
              <w:left w:val="nil"/>
              <w:bottom w:val="single" w:sz="4" w:space="0" w:color="auto"/>
              <w:right w:val="single" w:sz="4" w:space="0" w:color="auto"/>
            </w:tcBorders>
            <w:shd w:val="clear" w:color="auto" w:fill="auto"/>
            <w:noWrap/>
            <w:vAlign w:val="center"/>
          </w:tcPr>
          <w:p w14:paraId="7274423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2.12E-03</w:t>
            </w:r>
          </w:p>
        </w:tc>
        <w:tc>
          <w:tcPr>
            <w:tcW w:w="369" w:type="pct"/>
            <w:tcBorders>
              <w:top w:val="nil"/>
              <w:left w:val="nil"/>
              <w:bottom w:val="single" w:sz="4" w:space="0" w:color="auto"/>
              <w:right w:val="single" w:sz="4" w:space="0" w:color="auto"/>
            </w:tcBorders>
            <w:shd w:val="clear" w:color="auto" w:fill="auto"/>
            <w:noWrap/>
            <w:vAlign w:val="center"/>
          </w:tcPr>
          <w:p w14:paraId="711E430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5.78E-04</w:t>
            </w:r>
          </w:p>
        </w:tc>
        <w:tc>
          <w:tcPr>
            <w:tcW w:w="386" w:type="pct"/>
            <w:tcBorders>
              <w:top w:val="nil"/>
              <w:left w:val="nil"/>
              <w:bottom w:val="single" w:sz="4" w:space="0" w:color="auto"/>
              <w:right w:val="single" w:sz="4" w:space="0" w:color="auto"/>
            </w:tcBorders>
            <w:shd w:val="clear" w:color="auto" w:fill="auto"/>
            <w:noWrap/>
            <w:vAlign w:val="center"/>
          </w:tcPr>
          <w:p w14:paraId="30FD483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7.01E-02</w:t>
            </w:r>
          </w:p>
        </w:tc>
      </w:tr>
      <w:tr w:rsidR="00043F49" w14:paraId="750F7E22" w14:textId="77777777">
        <w:trPr>
          <w:trHeight w:val="280"/>
        </w:trPr>
        <w:tc>
          <w:tcPr>
            <w:tcW w:w="492" w:type="pct"/>
            <w:vMerge w:val="restart"/>
            <w:tcBorders>
              <w:top w:val="nil"/>
              <w:left w:val="single" w:sz="4" w:space="0" w:color="auto"/>
              <w:right w:val="single" w:sz="4" w:space="0" w:color="auto"/>
            </w:tcBorders>
          </w:tcPr>
          <w:p w14:paraId="42EB8E7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Dermal contact</w:t>
            </w:r>
          </w:p>
        </w:tc>
        <w:tc>
          <w:tcPr>
            <w:tcW w:w="432" w:type="pct"/>
            <w:tcBorders>
              <w:top w:val="nil"/>
              <w:left w:val="single" w:sz="4" w:space="0" w:color="auto"/>
              <w:bottom w:val="single" w:sz="4" w:space="0" w:color="auto"/>
              <w:right w:val="single" w:sz="4" w:space="0" w:color="auto"/>
            </w:tcBorders>
            <w:shd w:val="clear" w:color="auto" w:fill="auto"/>
            <w:vAlign w:val="center"/>
          </w:tcPr>
          <w:p w14:paraId="61C4511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2–&lt;3</w:t>
            </w:r>
          </w:p>
        </w:tc>
        <w:tc>
          <w:tcPr>
            <w:tcW w:w="369" w:type="pct"/>
            <w:tcBorders>
              <w:top w:val="nil"/>
              <w:left w:val="nil"/>
              <w:bottom w:val="single" w:sz="4" w:space="0" w:color="auto"/>
              <w:right w:val="single" w:sz="4" w:space="0" w:color="auto"/>
            </w:tcBorders>
            <w:shd w:val="clear" w:color="auto" w:fill="auto"/>
            <w:noWrap/>
            <w:vAlign w:val="center"/>
          </w:tcPr>
          <w:p w14:paraId="43683A4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2.78E-02</w:t>
            </w:r>
          </w:p>
        </w:tc>
        <w:tc>
          <w:tcPr>
            <w:tcW w:w="369" w:type="pct"/>
            <w:tcBorders>
              <w:top w:val="nil"/>
              <w:left w:val="nil"/>
              <w:bottom w:val="single" w:sz="4" w:space="0" w:color="auto"/>
              <w:right w:val="single" w:sz="4" w:space="0" w:color="auto"/>
            </w:tcBorders>
            <w:shd w:val="clear" w:color="auto" w:fill="auto"/>
            <w:noWrap/>
            <w:vAlign w:val="center"/>
          </w:tcPr>
          <w:p w14:paraId="1091460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3.50E-02</w:t>
            </w:r>
          </w:p>
        </w:tc>
        <w:tc>
          <w:tcPr>
            <w:tcW w:w="369" w:type="pct"/>
            <w:tcBorders>
              <w:top w:val="nil"/>
              <w:left w:val="nil"/>
              <w:bottom w:val="single" w:sz="4" w:space="0" w:color="auto"/>
              <w:right w:val="single" w:sz="4" w:space="0" w:color="auto"/>
            </w:tcBorders>
            <w:shd w:val="clear" w:color="auto" w:fill="auto"/>
            <w:noWrap/>
            <w:vAlign w:val="center"/>
          </w:tcPr>
          <w:p w14:paraId="303790B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6.93E-04</w:t>
            </w:r>
          </w:p>
        </w:tc>
        <w:tc>
          <w:tcPr>
            <w:tcW w:w="369" w:type="pct"/>
            <w:tcBorders>
              <w:top w:val="nil"/>
              <w:left w:val="nil"/>
              <w:bottom w:val="single" w:sz="4" w:space="0" w:color="auto"/>
              <w:right w:val="single" w:sz="4" w:space="0" w:color="auto"/>
            </w:tcBorders>
            <w:shd w:val="clear" w:color="auto" w:fill="auto"/>
            <w:noWrap/>
            <w:vAlign w:val="center"/>
          </w:tcPr>
          <w:p w14:paraId="5EB8B6F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1.27E-03</w:t>
            </w:r>
          </w:p>
        </w:tc>
        <w:tc>
          <w:tcPr>
            <w:tcW w:w="369" w:type="pct"/>
            <w:tcBorders>
              <w:top w:val="nil"/>
              <w:left w:val="nil"/>
              <w:bottom w:val="single" w:sz="4" w:space="0" w:color="auto"/>
              <w:right w:val="single" w:sz="4" w:space="0" w:color="auto"/>
            </w:tcBorders>
            <w:shd w:val="clear" w:color="auto" w:fill="auto"/>
            <w:noWrap/>
          </w:tcPr>
          <w:p w14:paraId="6F4F274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4AA3701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5.06E-04</w:t>
            </w:r>
          </w:p>
        </w:tc>
        <w:tc>
          <w:tcPr>
            <w:tcW w:w="369" w:type="pct"/>
            <w:tcBorders>
              <w:top w:val="nil"/>
              <w:left w:val="nil"/>
              <w:bottom w:val="single" w:sz="4" w:space="0" w:color="auto"/>
              <w:right w:val="single" w:sz="4" w:space="0" w:color="auto"/>
            </w:tcBorders>
            <w:shd w:val="clear" w:color="auto" w:fill="auto"/>
            <w:noWrap/>
          </w:tcPr>
          <w:p w14:paraId="7B10085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311C86E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1.24E-01</w:t>
            </w:r>
          </w:p>
        </w:tc>
        <w:tc>
          <w:tcPr>
            <w:tcW w:w="369" w:type="pct"/>
            <w:tcBorders>
              <w:top w:val="nil"/>
              <w:left w:val="nil"/>
              <w:bottom w:val="single" w:sz="4" w:space="0" w:color="auto"/>
              <w:right w:val="single" w:sz="4" w:space="0" w:color="auto"/>
            </w:tcBorders>
            <w:shd w:val="clear" w:color="auto" w:fill="auto"/>
            <w:noWrap/>
            <w:vAlign w:val="center"/>
          </w:tcPr>
          <w:p w14:paraId="2E6F7C6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6.08E-02</w:t>
            </w:r>
          </w:p>
        </w:tc>
        <w:tc>
          <w:tcPr>
            <w:tcW w:w="369" w:type="pct"/>
            <w:tcBorders>
              <w:top w:val="nil"/>
              <w:left w:val="nil"/>
              <w:bottom w:val="single" w:sz="4" w:space="0" w:color="auto"/>
              <w:right w:val="single" w:sz="4" w:space="0" w:color="auto"/>
            </w:tcBorders>
            <w:shd w:val="clear" w:color="auto" w:fill="auto"/>
            <w:noWrap/>
            <w:vAlign w:val="center"/>
          </w:tcPr>
          <w:p w14:paraId="0604F96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6.59E-04</w:t>
            </w:r>
          </w:p>
        </w:tc>
        <w:tc>
          <w:tcPr>
            <w:tcW w:w="386" w:type="pct"/>
            <w:tcBorders>
              <w:top w:val="nil"/>
              <w:left w:val="nil"/>
              <w:bottom w:val="single" w:sz="4" w:space="0" w:color="auto"/>
              <w:right w:val="single" w:sz="4" w:space="0" w:color="auto"/>
            </w:tcBorders>
            <w:shd w:val="clear" w:color="auto" w:fill="auto"/>
            <w:noWrap/>
            <w:vAlign w:val="center"/>
          </w:tcPr>
          <w:p w14:paraId="07E19B4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2.50E-01</w:t>
            </w:r>
          </w:p>
        </w:tc>
      </w:tr>
      <w:tr w:rsidR="00043F49" w14:paraId="60FB906A" w14:textId="77777777">
        <w:trPr>
          <w:trHeight w:val="280"/>
        </w:trPr>
        <w:tc>
          <w:tcPr>
            <w:tcW w:w="492" w:type="pct"/>
            <w:vMerge/>
            <w:tcBorders>
              <w:left w:val="single" w:sz="4" w:space="0" w:color="auto"/>
              <w:right w:val="single" w:sz="4" w:space="0" w:color="auto"/>
            </w:tcBorders>
          </w:tcPr>
          <w:p w14:paraId="6E66E226"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7BFEB91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3–&lt;4</w:t>
            </w:r>
          </w:p>
        </w:tc>
        <w:tc>
          <w:tcPr>
            <w:tcW w:w="369" w:type="pct"/>
            <w:tcBorders>
              <w:top w:val="nil"/>
              <w:left w:val="nil"/>
              <w:bottom w:val="single" w:sz="4" w:space="0" w:color="auto"/>
              <w:right w:val="single" w:sz="4" w:space="0" w:color="auto"/>
            </w:tcBorders>
            <w:shd w:val="clear" w:color="auto" w:fill="auto"/>
            <w:noWrap/>
            <w:vAlign w:val="center"/>
          </w:tcPr>
          <w:p w14:paraId="7610DB0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2.04E-02</w:t>
            </w:r>
          </w:p>
        </w:tc>
        <w:tc>
          <w:tcPr>
            <w:tcW w:w="369" w:type="pct"/>
            <w:tcBorders>
              <w:top w:val="nil"/>
              <w:left w:val="nil"/>
              <w:bottom w:val="single" w:sz="4" w:space="0" w:color="auto"/>
              <w:right w:val="single" w:sz="4" w:space="0" w:color="auto"/>
            </w:tcBorders>
            <w:shd w:val="clear" w:color="auto" w:fill="auto"/>
            <w:noWrap/>
            <w:vAlign w:val="center"/>
          </w:tcPr>
          <w:p w14:paraId="7FB0D7F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2.56E-02</w:t>
            </w:r>
          </w:p>
        </w:tc>
        <w:tc>
          <w:tcPr>
            <w:tcW w:w="369" w:type="pct"/>
            <w:tcBorders>
              <w:top w:val="nil"/>
              <w:left w:val="nil"/>
              <w:bottom w:val="single" w:sz="4" w:space="0" w:color="auto"/>
              <w:right w:val="single" w:sz="4" w:space="0" w:color="auto"/>
            </w:tcBorders>
            <w:shd w:val="clear" w:color="auto" w:fill="auto"/>
            <w:noWrap/>
            <w:vAlign w:val="center"/>
          </w:tcPr>
          <w:p w14:paraId="3E591E6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5.08E-04</w:t>
            </w:r>
          </w:p>
        </w:tc>
        <w:tc>
          <w:tcPr>
            <w:tcW w:w="369" w:type="pct"/>
            <w:tcBorders>
              <w:top w:val="nil"/>
              <w:left w:val="nil"/>
              <w:bottom w:val="single" w:sz="4" w:space="0" w:color="auto"/>
              <w:right w:val="single" w:sz="4" w:space="0" w:color="auto"/>
            </w:tcBorders>
            <w:shd w:val="clear" w:color="auto" w:fill="auto"/>
            <w:noWrap/>
            <w:vAlign w:val="center"/>
          </w:tcPr>
          <w:p w14:paraId="7BEF436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9.34E-04</w:t>
            </w:r>
          </w:p>
        </w:tc>
        <w:tc>
          <w:tcPr>
            <w:tcW w:w="369" w:type="pct"/>
            <w:tcBorders>
              <w:top w:val="nil"/>
              <w:left w:val="nil"/>
              <w:bottom w:val="single" w:sz="4" w:space="0" w:color="auto"/>
              <w:right w:val="single" w:sz="4" w:space="0" w:color="auto"/>
            </w:tcBorders>
            <w:shd w:val="clear" w:color="auto" w:fill="auto"/>
            <w:noWrap/>
          </w:tcPr>
          <w:p w14:paraId="24F8DFC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7AAD420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3.71E-04</w:t>
            </w:r>
          </w:p>
        </w:tc>
        <w:tc>
          <w:tcPr>
            <w:tcW w:w="369" w:type="pct"/>
            <w:tcBorders>
              <w:top w:val="nil"/>
              <w:left w:val="nil"/>
              <w:bottom w:val="single" w:sz="4" w:space="0" w:color="auto"/>
              <w:right w:val="single" w:sz="4" w:space="0" w:color="auto"/>
            </w:tcBorders>
            <w:shd w:val="clear" w:color="auto" w:fill="auto"/>
            <w:noWrap/>
          </w:tcPr>
          <w:p w14:paraId="63CB395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0662E7E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4.10E-02</w:t>
            </w:r>
          </w:p>
        </w:tc>
        <w:tc>
          <w:tcPr>
            <w:tcW w:w="369" w:type="pct"/>
            <w:tcBorders>
              <w:top w:val="nil"/>
              <w:left w:val="nil"/>
              <w:bottom w:val="single" w:sz="4" w:space="0" w:color="auto"/>
              <w:right w:val="single" w:sz="4" w:space="0" w:color="auto"/>
            </w:tcBorders>
            <w:shd w:val="clear" w:color="auto" w:fill="auto"/>
            <w:noWrap/>
            <w:vAlign w:val="center"/>
          </w:tcPr>
          <w:p w14:paraId="1B67CFC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4.45E-02</w:t>
            </w:r>
          </w:p>
        </w:tc>
        <w:tc>
          <w:tcPr>
            <w:tcW w:w="369" w:type="pct"/>
            <w:tcBorders>
              <w:top w:val="nil"/>
              <w:left w:val="nil"/>
              <w:bottom w:val="single" w:sz="4" w:space="0" w:color="auto"/>
              <w:right w:val="single" w:sz="4" w:space="0" w:color="auto"/>
            </w:tcBorders>
            <w:shd w:val="clear" w:color="auto" w:fill="auto"/>
            <w:noWrap/>
            <w:vAlign w:val="center"/>
          </w:tcPr>
          <w:p w14:paraId="789AE1F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4.83E-04</w:t>
            </w:r>
          </w:p>
        </w:tc>
        <w:tc>
          <w:tcPr>
            <w:tcW w:w="386" w:type="pct"/>
            <w:tcBorders>
              <w:top w:val="nil"/>
              <w:left w:val="nil"/>
              <w:bottom w:val="single" w:sz="4" w:space="0" w:color="auto"/>
              <w:right w:val="single" w:sz="4" w:space="0" w:color="auto"/>
            </w:tcBorders>
            <w:shd w:val="clear" w:color="auto" w:fill="auto"/>
            <w:noWrap/>
            <w:vAlign w:val="center"/>
          </w:tcPr>
          <w:p w14:paraId="68DC281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1.34E-01</w:t>
            </w:r>
          </w:p>
        </w:tc>
      </w:tr>
      <w:tr w:rsidR="00043F49" w14:paraId="278F0623" w14:textId="77777777">
        <w:trPr>
          <w:trHeight w:val="280"/>
        </w:trPr>
        <w:tc>
          <w:tcPr>
            <w:tcW w:w="492" w:type="pct"/>
            <w:vMerge/>
            <w:tcBorders>
              <w:left w:val="single" w:sz="4" w:space="0" w:color="auto"/>
              <w:right w:val="single" w:sz="4" w:space="0" w:color="auto"/>
            </w:tcBorders>
          </w:tcPr>
          <w:p w14:paraId="2DE00EF9"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07AB1F7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4–&lt;5</w:t>
            </w:r>
          </w:p>
        </w:tc>
        <w:tc>
          <w:tcPr>
            <w:tcW w:w="369" w:type="pct"/>
            <w:tcBorders>
              <w:top w:val="nil"/>
              <w:left w:val="nil"/>
              <w:bottom w:val="single" w:sz="4" w:space="0" w:color="auto"/>
              <w:right w:val="single" w:sz="4" w:space="0" w:color="auto"/>
            </w:tcBorders>
            <w:shd w:val="clear" w:color="auto" w:fill="auto"/>
            <w:noWrap/>
            <w:vAlign w:val="center"/>
          </w:tcPr>
          <w:p w14:paraId="4AE36DE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1.63E-02</w:t>
            </w:r>
          </w:p>
        </w:tc>
        <w:tc>
          <w:tcPr>
            <w:tcW w:w="369" w:type="pct"/>
            <w:tcBorders>
              <w:top w:val="nil"/>
              <w:left w:val="nil"/>
              <w:bottom w:val="single" w:sz="4" w:space="0" w:color="auto"/>
              <w:right w:val="single" w:sz="4" w:space="0" w:color="auto"/>
            </w:tcBorders>
            <w:shd w:val="clear" w:color="auto" w:fill="auto"/>
            <w:noWrap/>
            <w:vAlign w:val="center"/>
          </w:tcPr>
          <w:p w14:paraId="11FCF87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2.05E-02</w:t>
            </w:r>
          </w:p>
        </w:tc>
        <w:tc>
          <w:tcPr>
            <w:tcW w:w="369" w:type="pct"/>
            <w:tcBorders>
              <w:top w:val="nil"/>
              <w:left w:val="nil"/>
              <w:bottom w:val="single" w:sz="4" w:space="0" w:color="auto"/>
              <w:right w:val="single" w:sz="4" w:space="0" w:color="auto"/>
            </w:tcBorders>
            <w:shd w:val="clear" w:color="auto" w:fill="auto"/>
            <w:noWrap/>
            <w:vAlign w:val="center"/>
          </w:tcPr>
          <w:p w14:paraId="30D3A44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4.06E-04</w:t>
            </w:r>
          </w:p>
        </w:tc>
        <w:tc>
          <w:tcPr>
            <w:tcW w:w="369" w:type="pct"/>
            <w:tcBorders>
              <w:top w:val="nil"/>
              <w:left w:val="nil"/>
              <w:bottom w:val="single" w:sz="4" w:space="0" w:color="auto"/>
              <w:right w:val="single" w:sz="4" w:space="0" w:color="auto"/>
            </w:tcBorders>
            <w:shd w:val="clear" w:color="auto" w:fill="auto"/>
            <w:noWrap/>
            <w:vAlign w:val="center"/>
          </w:tcPr>
          <w:p w14:paraId="4251E52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7.47E-04</w:t>
            </w:r>
          </w:p>
        </w:tc>
        <w:tc>
          <w:tcPr>
            <w:tcW w:w="369" w:type="pct"/>
            <w:tcBorders>
              <w:top w:val="nil"/>
              <w:left w:val="nil"/>
              <w:bottom w:val="single" w:sz="4" w:space="0" w:color="auto"/>
              <w:right w:val="single" w:sz="4" w:space="0" w:color="auto"/>
            </w:tcBorders>
            <w:shd w:val="clear" w:color="auto" w:fill="auto"/>
            <w:noWrap/>
          </w:tcPr>
          <w:p w14:paraId="5ACFD25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71C54C0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2.97E-04</w:t>
            </w:r>
          </w:p>
        </w:tc>
        <w:tc>
          <w:tcPr>
            <w:tcW w:w="369" w:type="pct"/>
            <w:tcBorders>
              <w:top w:val="nil"/>
              <w:left w:val="nil"/>
              <w:bottom w:val="single" w:sz="4" w:space="0" w:color="auto"/>
              <w:right w:val="single" w:sz="4" w:space="0" w:color="auto"/>
            </w:tcBorders>
            <w:shd w:val="clear" w:color="auto" w:fill="auto"/>
            <w:noWrap/>
          </w:tcPr>
          <w:p w14:paraId="39020B5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1E7928E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3.28E-02</w:t>
            </w:r>
          </w:p>
        </w:tc>
        <w:tc>
          <w:tcPr>
            <w:tcW w:w="369" w:type="pct"/>
            <w:tcBorders>
              <w:top w:val="nil"/>
              <w:left w:val="nil"/>
              <w:bottom w:val="single" w:sz="4" w:space="0" w:color="auto"/>
              <w:right w:val="single" w:sz="4" w:space="0" w:color="auto"/>
            </w:tcBorders>
            <w:shd w:val="clear" w:color="auto" w:fill="auto"/>
            <w:noWrap/>
            <w:vAlign w:val="center"/>
          </w:tcPr>
          <w:p w14:paraId="2923C14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3.56E-02</w:t>
            </w:r>
          </w:p>
        </w:tc>
        <w:tc>
          <w:tcPr>
            <w:tcW w:w="369" w:type="pct"/>
            <w:tcBorders>
              <w:top w:val="nil"/>
              <w:left w:val="nil"/>
              <w:bottom w:val="single" w:sz="4" w:space="0" w:color="auto"/>
              <w:right w:val="single" w:sz="4" w:space="0" w:color="auto"/>
            </w:tcBorders>
            <w:shd w:val="clear" w:color="auto" w:fill="auto"/>
            <w:noWrap/>
            <w:vAlign w:val="center"/>
          </w:tcPr>
          <w:p w14:paraId="5BBB591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3.86E-04</w:t>
            </w:r>
          </w:p>
        </w:tc>
        <w:tc>
          <w:tcPr>
            <w:tcW w:w="386" w:type="pct"/>
            <w:tcBorders>
              <w:top w:val="nil"/>
              <w:left w:val="nil"/>
              <w:bottom w:val="single" w:sz="4" w:space="0" w:color="auto"/>
              <w:right w:val="single" w:sz="4" w:space="0" w:color="auto"/>
            </w:tcBorders>
            <w:shd w:val="clear" w:color="auto" w:fill="auto"/>
            <w:noWrap/>
            <w:vAlign w:val="center"/>
          </w:tcPr>
          <w:p w14:paraId="3D5601C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1.07E-01</w:t>
            </w:r>
          </w:p>
        </w:tc>
      </w:tr>
      <w:tr w:rsidR="00043F49" w14:paraId="28246976" w14:textId="77777777">
        <w:trPr>
          <w:trHeight w:val="280"/>
        </w:trPr>
        <w:tc>
          <w:tcPr>
            <w:tcW w:w="492" w:type="pct"/>
            <w:vMerge/>
            <w:tcBorders>
              <w:left w:val="single" w:sz="4" w:space="0" w:color="auto"/>
              <w:right w:val="single" w:sz="4" w:space="0" w:color="auto"/>
            </w:tcBorders>
          </w:tcPr>
          <w:p w14:paraId="34EB3433"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3E3E46F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5–&lt;6</w:t>
            </w:r>
          </w:p>
        </w:tc>
        <w:tc>
          <w:tcPr>
            <w:tcW w:w="369" w:type="pct"/>
            <w:tcBorders>
              <w:top w:val="nil"/>
              <w:left w:val="nil"/>
              <w:bottom w:val="single" w:sz="4" w:space="0" w:color="auto"/>
              <w:right w:val="single" w:sz="4" w:space="0" w:color="auto"/>
            </w:tcBorders>
            <w:shd w:val="clear" w:color="auto" w:fill="auto"/>
            <w:noWrap/>
            <w:vAlign w:val="center"/>
          </w:tcPr>
          <w:p w14:paraId="7634712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1.52E-02</w:t>
            </w:r>
          </w:p>
        </w:tc>
        <w:tc>
          <w:tcPr>
            <w:tcW w:w="369" w:type="pct"/>
            <w:tcBorders>
              <w:top w:val="nil"/>
              <w:left w:val="nil"/>
              <w:bottom w:val="single" w:sz="4" w:space="0" w:color="auto"/>
              <w:right w:val="single" w:sz="4" w:space="0" w:color="auto"/>
            </w:tcBorders>
            <w:shd w:val="clear" w:color="auto" w:fill="auto"/>
            <w:noWrap/>
            <w:vAlign w:val="center"/>
          </w:tcPr>
          <w:p w14:paraId="54E5CAB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1.91E-02</w:t>
            </w:r>
          </w:p>
        </w:tc>
        <w:tc>
          <w:tcPr>
            <w:tcW w:w="369" w:type="pct"/>
            <w:tcBorders>
              <w:top w:val="nil"/>
              <w:left w:val="nil"/>
              <w:bottom w:val="single" w:sz="4" w:space="0" w:color="auto"/>
              <w:right w:val="single" w:sz="4" w:space="0" w:color="auto"/>
            </w:tcBorders>
            <w:shd w:val="clear" w:color="auto" w:fill="auto"/>
            <w:noWrap/>
            <w:vAlign w:val="center"/>
          </w:tcPr>
          <w:p w14:paraId="0E9DED4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3.79E-04</w:t>
            </w:r>
          </w:p>
        </w:tc>
        <w:tc>
          <w:tcPr>
            <w:tcW w:w="369" w:type="pct"/>
            <w:tcBorders>
              <w:top w:val="nil"/>
              <w:left w:val="nil"/>
              <w:bottom w:val="single" w:sz="4" w:space="0" w:color="auto"/>
              <w:right w:val="single" w:sz="4" w:space="0" w:color="auto"/>
            </w:tcBorders>
            <w:shd w:val="clear" w:color="auto" w:fill="auto"/>
            <w:noWrap/>
            <w:vAlign w:val="center"/>
          </w:tcPr>
          <w:p w14:paraId="5BA5664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6.96E-04</w:t>
            </w:r>
          </w:p>
        </w:tc>
        <w:tc>
          <w:tcPr>
            <w:tcW w:w="369" w:type="pct"/>
            <w:tcBorders>
              <w:top w:val="nil"/>
              <w:left w:val="nil"/>
              <w:bottom w:val="single" w:sz="4" w:space="0" w:color="auto"/>
              <w:right w:val="single" w:sz="4" w:space="0" w:color="auto"/>
            </w:tcBorders>
            <w:shd w:val="clear" w:color="auto" w:fill="auto"/>
            <w:noWrap/>
          </w:tcPr>
          <w:p w14:paraId="7350D02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7E4E9B1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2.76E-04</w:t>
            </w:r>
          </w:p>
        </w:tc>
        <w:tc>
          <w:tcPr>
            <w:tcW w:w="369" w:type="pct"/>
            <w:tcBorders>
              <w:top w:val="nil"/>
              <w:left w:val="nil"/>
              <w:bottom w:val="single" w:sz="4" w:space="0" w:color="auto"/>
              <w:right w:val="single" w:sz="4" w:space="0" w:color="auto"/>
            </w:tcBorders>
            <w:shd w:val="clear" w:color="auto" w:fill="auto"/>
            <w:noWrap/>
          </w:tcPr>
          <w:p w14:paraId="28A0DEA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3E89AA8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3.06E-02</w:t>
            </w:r>
          </w:p>
        </w:tc>
        <w:tc>
          <w:tcPr>
            <w:tcW w:w="369" w:type="pct"/>
            <w:tcBorders>
              <w:top w:val="nil"/>
              <w:left w:val="nil"/>
              <w:bottom w:val="single" w:sz="4" w:space="0" w:color="auto"/>
              <w:right w:val="single" w:sz="4" w:space="0" w:color="auto"/>
            </w:tcBorders>
            <w:shd w:val="clear" w:color="auto" w:fill="auto"/>
            <w:noWrap/>
            <w:vAlign w:val="center"/>
          </w:tcPr>
          <w:p w14:paraId="425F769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3.32E-02</w:t>
            </w:r>
          </w:p>
        </w:tc>
        <w:tc>
          <w:tcPr>
            <w:tcW w:w="369" w:type="pct"/>
            <w:tcBorders>
              <w:top w:val="nil"/>
              <w:left w:val="nil"/>
              <w:bottom w:val="single" w:sz="4" w:space="0" w:color="auto"/>
              <w:right w:val="single" w:sz="4" w:space="0" w:color="auto"/>
            </w:tcBorders>
            <w:shd w:val="clear" w:color="auto" w:fill="auto"/>
            <w:noWrap/>
            <w:vAlign w:val="center"/>
          </w:tcPr>
          <w:p w14:paraId="6355B3F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3.60E-04</w:t>
            </w:r>
          </w:p>
        </w:tc>
        <w:tc>
          <w:tcPr>
            <w:tcW w:w="386" w:type="pct"/>
            <w:tcBorders>
              <w:top w:val="nil"/>
              <w:left w:val="nil"/>
              <w:bottom w:val="single" w:sz="4" w:space="0" w:color="auto"/>
              <w:right w:val="single" w:sz="4" w:space="0" w:color="auto"/>
            </w:tcBorders>
            <w:shd w:val="clear" w:color="auto" w:fill="auto"/>
            <w:noWrap/>
            <w:vAlign w:val="center"/>
          </w:tcPr>
          <w:p w14:paraId="69E598D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9.98E-02</w:t>
            </w:r>
          </w:p>
        </w:tc>
      </w:tr>
      <w:tr w:rsidR="00043F49" w14:paraId="5DEA297D" w14:textId="77777777">
        <w:trPr>
          <w:trHeight w:val="280"/>
        </w:trPr>
        <w:tc>
          <w:tcPr>
            <w:tcW w:w="492" w:type="pct"/>
            <w:vMerge/>
            <w:tcBorders>
              <w:left w:val="single" w:sz="4" w:space="0" w:color="auto"/>
              <w:right w:val="single" w:sz="4" w:space="0" w:color="auto"/>
            </w:tcBorders>
          </w:tcPr>
          <w:p w14:paraId="17EE9E0D"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3832057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6–&lt;9</w:t>
            </w:r>
          </w:p>
        </w:tc>
        <w:tc>
          <w:tcPr>
            <w:tcW w:w="369" w:type="pct"/>
            <w:tcBorders>
              <w:top w:val="nil"/>
              <w:left w:val="nil"/>
              <w:bottom w:val="single" w:sz="4" w:space="0" w:color="auto"/>
              <w:right w:val="single" w:sz="4" w:space="0" w:color="auto"/>
            </w:tcBorders>
            <w:shd w:val="clear" w:color="auto" w:fill="auto"/>
            <w:noWrap/>
            <w:vAlign w:val="center"/>
          </w:tcPr>
          <w:p w14:paraId="72081DD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1.28E-02</w:t>
            </w:r>
          </w:p>
        </w:tc>
        <w:tc>
          <w:tcPr>
            <w:tcW w:w="369" w:type="pct"/>
            <w:tcBorders>
              <w:top w:val="nil"/>
              <w:left w:val="nil"/>
              <w:bottom w:val="single" w:sz="4" w:space="0" w:color="auto"/>
              <w:right w:val="single" w:sz="4" w:space="0" w:color="auto"/>
            </w:tcBorders>
            <w:shd w:val="clear" w:color="auto" w:fill="auto"/>
            <w:noWrap/>
            <w:vAlign w:val="center"/>
          </w:tcPr>
          <w:p w14:paraId="3C6D8DC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1.61E-02</w:t>
            </w:r>
          </w:p>
        </w:tc>
        <w:tc>
          <w:tcPr>
            <w:tcW w:w="369" w:type="pct"/>
            <w:tcBorders>
              <w:top w:val="nil"/>
              <w:left w:val="nil"/>
              <w:bottom w:val="single" w:sz="4" w:space="0" w:color="auto"/>
              <w:right w:val="single" w:sz="4" w:space="0" w:color="auto"/>
            </w:tcBorders>
            <w:shd w:val="clear" w:color="auto" w:fill="auto"/>
            <w:noWrap/>
            <w:vAlign w:val="center"/>
          </w:tcPr>
          <w:p w14:paraId="51E41E6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3.20E-04</w:t>
            </w:r>
          </w:p>
        </w:tc>
        <w:tc>
          <w:tcPr>
            <w:tcW w:w="369" w:type="pct"/>
            <w:tcBorders>
              <w:top w:val="nil"/>
              <w:left w:val="nil"/>
              <w:bottom w:val="single" w:sz="4" w:space="0" w:color="auto"/>
              <w:right w:val="single" w:sz="4" w:space="0" w:color="auto"/>
            </w:tcBorders>
            <w:shd w:val="clear" w:color="auto" w:fill="auto"/>
            <w:noWrap/>
            <w:vAlign w:val="center"/>
          </w:tcPr>
          <w:p w14:paraId="376FF1F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5.88E-04</w:t>
            </w:r>
          </w:p>
        </w:tc>
        <w:tc>
          <w:tcPr>
            <w:tcW w:w="369" w:type="pct"/>
            <w:tcBorders>
              <w:top w:val="nil"/>
              <w:left w:val="nil"/>
              <w:bottom w:val="single" w:sz="4" w:space="0" w:color="auto"/>
              <w:right w:val="single" w:sz="4" w:space="0" w:color="auto"/>
            </w:tcBorders>
            <w:shd w:val="clear" w:color="auto" w:fill="auto"/>
            <w:noWrap/>
          </w:tcPr>
          <w:p w14:paraId="5CA3988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0B1F6B8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2.33E-04</w:t>
            </w:r>
          </w:p>
        </w:tc>
        <w:tc>
          <w:tcPr>
            <w:tcW w:w="369" w:type="pct"/>
            <w:tcBorders>
              <w:top w:val="nil"/>
              <w:left w:val="nil"/>
              <w:bottom w:val="single" w:sz="4" w:space="0" w:color="auto"/>
              <w:right w:val="single" w:sz="4" w:space="0" w:color="auto"/>
            </w:tcBorders>
            <w:shd w:val="clear" w:color="auto" w:fill="auto"/>
            <w:noWrap/>
          </w:tcPr>
          <w:p w14:paraId="4F6CF6E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2247F19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2.58E-02</w:t>
            </w:r>
          </w:p>
        </w:tc>
        <w:tc>
          <w:tcPr>
            <w:tcW w:w="369" w:type="pct"/>
            <w:tcBorders>
              <w:top w:val="nil"/>
              <w:left w:val="nil"/>
              <w:bottom w:val="single" w:sz="4" w:space="0" w:color="auto"/>
              <w:right w:val="single" w:sz="4" w:space="0" w:color="auto"/>
            </w:tcBorders>
            <w:shd w:val="clear" w:color="auto" w:fill="auto"/>
            <w:noWrap/>
            <w:vAlign w:val="center"/>
          </w:tcPr>
          <w:p w14:paraId="3D0C6EF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2.80E-02</w:t>
            </w:r>
          </w:p>
        </w:tc>
        <w:tc>
          <w:tcPr>
            <w:tcW w:w="369" w:type="pct"/>
            <w:tcBorders>
              <w:top w:val="nil"/>
              <w:left w:val="nil"/>
              <w:bottom w:val="single" w:sz="4" w:space="0" w:color="auto"/>
              <w:right w:val="single" w:sz="4" w:space="0" w:color="auto"/>
            </w:tcBorders>
            <w:shd w:val="clear" w:color="auto" w:fill="auto"/>
            <w:noWrap/>
            <w:vAlign w:val="center"/>
          </w:tcPr>
          <w:p w14:paraId="2109172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3.04E-04</w:t>
            </w:r>
          </w:p>
        </w:tc>
        <w:tc>
          <w:tcPr>
            <w:tcW w:w="386" w:type="pct"/>
            <w:tcBorders>
              <w:top w:val="nil"/>
              <w:left w:val="nil"/>
              <w:bottom w:val="single" w:sz="4" w:space="0" w:color="auto"/>
              <w:right w:val="single" w:sz="4" w:space="0" w:color="auto"/>
            </w:tcBorders>
            <w:shd w:val="clear" w:color="auto" w:fill="auto"/>
            <w:noWrap/>
            <w:vAlign w:val="center"/>
          </w:tcPr>
          <w:p w14:paraId="74C8FEF6"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8.43E-02</w:t>
            </w:r>
          </w:p>
        </w:tc>
      </w:tr>
      <w:tr w:rsidR="00043F49" w14:paraId="6FA330F7" w14:textId="77777777">
        <w:trPr>
          <w:trHeight w:val="280"/>
        </w:trPr>
        <w:tc>
          <w:tcPr>
            <w:tcW w:w="492" w:type="pct"/>
            <w:vMerge/>
            <w:tcBorders>
              <w:left w:val="single" w:sz="4" w:space="0" w:color="auto"/>
              <w:right w:val="single" w:sz="4" w:space="0" w:color="auto"/>
            </w:tcBorders>
          </w:tcPr>
          <w:p w14:paraId="7B467FA4"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A9BB19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9–&lt;12</w:t>
            </w:r>
          </w:p>
        </w:tc>
        <w:tc>
          <w:tcPr>
            <w:tcW w:w="369" w:type="pct"/>
            <w:tcBorders>
              <w:top w:val="nil"/>
              <w:left w:val="nil"/>
              <w:bottom w:val="single" w:sz="4" w:space="0" w:color="auto"/>
              <w:right w:val="single" w:sz="4" w:space="0" w:color="auto"/>
            </w:tcBorders>
            <w:shd w:val="clear" w:color="auto" w:fill="auto"/>
            <w:noWrap/>
            <w:vAlign w:val="center"/>
          </w:tcPr>
          <w:p w14:paraId="21F9916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1.14E-02</w:t>
            </w:r>
          </w:p>
        </w:tc>
        <w:tc>
          <w:tcPr>
            <w:tcW w:w="369" w:type="pct"/>
            <w:tcBorders>
              <w:top w:val="nil"/>
              <w:left w:val="nil"/>
              <w:bottom w:val="single" w:sz="4" w:space="0" w:color="auto"/>
              <w:right w:val="single" w:sz="4" w:space="0" w:color="auto"/>
            </w:tcBorders>
            <w:shd w:val="clear" w:color="auto" w:fill="auto"/>
            <w:noWrap/>
            <w:vAlign w:val="center"/>
          </w:tcPr>
          <w:p w14:paraId="7E4BED3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1.43E-02</w:t>
            </w:r>
          </w:p>
        </w:tc>
        <w:tc>
          <w:tcPr>
            <w:tcW w:w="369" w:type="pct"/>
            <w:tcBorders>
              <w:top w:val="nil"/>
              <w:left w:val="nil"/>
              <w:bottom w:val="single" w:sz="4" w:space="0" w:color="auto"/>
              <w:right w:val="single" w:sz="4" w:space="0" w:color="auto"/>
            </w:tcBorders>
            <w:shd w:val="clear" w:color="auto" w:fill="auto"/>
            <w:noWrap/>
            <w:vAlign w:val="center"/>
          </w:tcPr>
          <w:p w14:paraId="41D7434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2.84E-04</w:t>
            </w:r>
          </w:p>
        </w:tc>
        <w:tc>
          <w:tcPr>
            <w:tcW w:w="369" w:type="pct"/>
            <w:tcBorders>
              <w:top w:val="nil"/>
              <w:left w:val="nil"/>
              <w:bottom w:val="single" w:sz="4" w:space="0" w:color="auto"/>
              <w:right w:val="single" w:sz="4" w:space="0" w:color="auto"/>
            </w:tcBorders>
            <w:shd w:val="clear" w:color="auto" w:fill="auto"/>
            <w:noWrap/>
            <w:vAlign w:val="center"/>
          </w:tcPr>
          <w:p w14:paraId="7A3D93F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5.23E-04</w:t>
            </w:r>
          </w:p>
        </w:tc>
        <w:tc>
          <w:tcPr>
            <w:tcW w:w="369" w:type="pct"/>
            <w:tcBorders>
              <w:top w:val="nil"/>
              <w:left w:val="nil"/>
              <w:bottom w:val="single" w:sz="4" w:space="0" w:color="auto"/>
              <w:right w:val="single" w:sz="4" w:space="0" w:color="auto"/>
            </w:tcBorders>
            <w:shd w:val="clear" w:color="auto" w:fill="auto"/>
            <w:noWrap/>
          </w:tcPr>
          <w:p w14:paraId="2763923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31ED86D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2.07E-04</w:t>
            </w:r>
          </w:p>
        </w:tc>
        <w:tc>
          <w:tcPr>
            <w:tcW w:w="369" w:type="pct"/>
            <w:tcBorders>
              <w:top w:val="nil"/>
              <w:left w:val="nil"/>
              <w:bottom w:val="single" w:sz="4" w:space="0" w:color="auto"/>
              <w:right w:val="single" w:sz="4" w:space="0" w:color="auto"/>
            </w:tcBorders>
            <w:shd w:val="clear" w:color="auto" w:fill="auto"/>
            <w:noWrap/>
          </w:tcPr>
          <w:p w14:paraId="005A18A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1B6FB96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2.29E-02</w:t>
            </w:r>
          </w:p>
        </w:tc>
        <w:tc>
          <w:tcPr>
            <w:tcW w:w="369" w:type="pct"/>
            <w:tcBorders>
              <w:top w:val="nil"/>
              <w:left w:val="nil"/>
              <w:bottom w:val="single" w:sz="4" w:space="0" w:color="auto"/>
              <w:right w:val="single" w:sz="4" w:space="0" w:color="auto"/>
            </w:tcBorders>
            <w:shd w:val="clear" w:color="auto" w:fill="auto"/>
            <w:noWrap/>
            <w:vAlign w:val="center"/>
          </w:tcPr>
          <w:p w14:paraId="28274609"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2.49E-02</w:t>
            </w:r>
          </w:p>
        </w:tc>
        <w:tc>
          <w:tcPr>
            <w:tcW w:w="369" w:type="pct"/>
            <w:tcBorders>
              <w:top w:val="nil"/>
              <w:left w:val="nil"/>
              <w:bottom w:val="single" w:sz="4" w:space="0" w:color="auto"/>
              <w:right w:val="single" w:sz="4" w:space="0" w:color="auto"/>
            </w:tcBorders>
            <w:shd w:val="clear" w:color="auto" w:fill="auto"/>
            <w:noWrap/>
            <w:vAlign w:val="center"/>
          </w:tcPr>
          <w:p w14:paraId="05B684F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2.70E-04</w:t>
            </w:r>
          </w:p>
        </w:tc>
        <w:tc>
          <w:tcPr>
            <w:tcW w:w="386" w:type="pct"/>
            <w:tcBorders>
              <w:top w:val="nil"/>
              <w:left w:val="nil"/>
              <w:bottom w:val="single" w:sz="4" w:space="0" w:color="auto"/>
              <w:right w:val="single" w:sz="4" w:space="0" w:color="auto"/>
            </w:tcBorders>
            <w:shd w:val="clear" w:color="auto" w:fill="auto"/>
            <w:noWrap/>
            <w:vAlign w:val="center"/>
          </w:tcPr>
          <w:p w14:paraId="4616B17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7.49E-02</w:t>
            </w:r>
          </w:p>
        </w:tc>
      </w:tr>
      <w:tr w:rsidR="00043F49" w14:paraId="37ED534B" w14:textId="77777777">
        <w:trPr>
          <w:trHeight w:val="280"/>
        </w:trPr>
        <w:tc>
          <w:tcPr>
            <w:tcW w:w="492" w:type="pct"/>
            <w:vMerge/>
            <w:tcBorders>
              <w:left w:val="single" w:sz="4" w:space="0" w:color="auto"/>
              <w:right w:val="single" w:sz="4" w:space="0" w:color="auto"/>
            </w:tcBorders>
          </w:tcPr>
          <w:p w14:paraId="629A74E8"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5A83C7D0"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12–&lt;15</w:t>
            </w:r>
          </w:p>
        </w:tc>
        <w:tc>
          <w:tcPr>
            <w:tcW w:w="369" w:type="pct"/>
            <w:tcBorders>
              <w:top w:val="nil"/>
              <w:left w:val="nil"/>
              <w:bottom w:val="single" w:sz="4" w:space="0" w:color="auto"/>
              <w:right w:val="single" w:sz="4" w:space="0" w:color="auto"/>
            </w:tcBorders>
            <w:shd w:val="clear" w:color="auto" w:fill="auto"/>
            <w:noWrap/>
            <w:vAlign w:val="center"/>
          </w:tcPr>
          <w:p w14:paraId="0C95671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9.26E-03</w:t>
            </w:r>
          </w:p>
        </w:tc>
        <w:tc>
          <w:tcPr>
            <w:tcW w:w="369" w:type="pct"/>
            <w:tcBorders>
              <w:top w:val="nil"/>
              <w:left w:val="nil"/>
              <w:bottom w:val="single" w:sz="4" w:space="0" w:color="auto"/>
              <w:right w:val="single" w:sz="4" w:space="0" w:color="auto"/>
            </w:tcBorders>
            <w:shd w:val="clear" w:color="auto" w:fill="auto"/>
            <w:noWrap/>
            <w:vAlign w:val="center"/>
          </w:tcPr>
          <w:p w14:paraId="5AA149E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1.16E-02</w:t>
            </w:r>
          </w:p>
        </w:tc>
        <w:tc>
          <w:tcPr>
            <w:tcW w:w="369" w:type="pct"/>
            <w:tcBorders>
              <w:top w:val="nil"/>
              <w:left w:val="nil"/>
              <w:bottom w:val="single" w:sz="4" w:space="0" w:color="auto"/>
              <w:right w:val="single" w:sz="4" w:space="0" w:color="auto"/>
            </w:tcBorders>
            <w:shd w:val="clear" w:color="auto" w:fill="auto"/>
            <w:noWrap/>
            <w:vAlign w:val="center"/>
          </w:tcPr>
          <w:p w14:paraId="789D0D9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2.31E-04</w:t>
            </w:r>
          </w:p>
        </w:tc>
        <w:tc>
          <w:tcPr>
            <w:tcW w:w="369" w:type="pct"/>
            <w:tcBorders>
              <w:top w:val="nil"/>
              <w:left w:val="nil"/>
              <w:bottom w:val="single" w:sz="4" w:space="0" w:color="auto"/>
              <w:right w:val="single" w:sz="4" w:space="0" w:color="auto"/>
            </w:tcBorders>
            <w:shd w:val="clear" w:color="auto" w:fill="auto"/>
            <w:noWrap/>
            <w:vAlign w:val="center"/>
          </w:tcPr>
          <w:p w14:paraId="3C20330D"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4.24E-04</w:t>
            </w:r>
          </w:p>
        </w:tc>
        <w:tc>
          <w:tcPr>
            <w:tcW w:w="369" w:type="pct"/>
            <w:tcBorders>
              <w:top w:val="nil"/>
              <w:left w:val="nil"/>
              <w:bottom w:val="single" w:sz="4" w:space="0" w:color="auto"/>
              <w:right w:val="single" w:sz="4" w:space="0" w:color="auto"/>
            </w:tcBorders>
            <w:shd w:val="clear" w:color="auto" w:fill="auto"/>
            <w:noWrap/>
          </w:tcPr>
          <w:p w14:paraId="3A534CAB"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28B118E2"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1.68E-04</w:t>
            </w:r>
          </w:p>
        </w:tc>
        <w:tc>
          <w:tcPr>
            <w:tcW w:w="369" w:type="pct"/>
            <w:tcBorders>
              <w:top w:val="nil"/>
              <w:left w:val="nil"/>
              <w:bottom w:val="single" w:sz="4" w:space="0" w:color="auto"/>
              <w:right w:val="single" w:sz="4" w:space="0" w:color="auto"/>
            </w:tcBorders>
            <w:shd w:val="clear" w:color="auto" w:fill="auto"/>
            <w:noWrap/>
          </w:tcPr>
          <w:p w14:paraId="2D146AFF"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03598AC3"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1.86E-02</w:t>
            </w:r>
          </w:p>
        </w:tc>
        <w:tc>
          <w:tcPr>
            <w:tcW w:w="369" w:type="pct"/>
            <w:tcBorders>
              <w:top w:val="nil"/>
              <w:left w:val="nil"/>
              <w:bottom w:val="single" w:sz="4" w:space="0" w:color="auto"/>
              <w:right w:val="single" w:sz="4" w:space="0" w:color="auto"/>
            </w:tcBorders>
            <w:shd w:val="clear" w:color="auto" w:fill="auto"/>
            <w:noWrap/>
            <w:vAlign w:val="center"/>
          </w:tcPr>
          <w:p w14:paraId="1D2D115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2.02E-02</w:t>
            </w:r>
          </w:p>
        </w:tc>
        <w:tc>
          <w:tcPr>
            <w:tcW w:w="369" w:type="pct"/>
            <w:tcBorders>
              <w:top w:val="nil"/>
              <w:left w:val="nil"/>
              <w:bottom w:val="single" w:sz="4" w:space="0" w:color="auto"/>
              <w:right w:val="single" w:sz="4" w:space="0" w:color="auto"/>
            </w:tcBorders>
            <w:shd w:val="clear" w:color="auto" w:fill="auto"/>
            <w:noWrap/>
            <w:vAlign w:val="center"/>
          </w:tcPr>
          <w:p w14:paraId="64FE05E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2.19E-04</w:t>
            </w:r>
          </w:p>
        </w:tc>
        <w:tc>
          <w:tcPr>
            <w:tcW w:w="386" w:type="pct"/>
            <w:tcBorders>
              <w:top w:val="nil"/>
              <w:left w:val="nil"/>
              <w:bottom w:val="single" w:sz="4" w:space="0" w:color="auto"/>
              <w:right w:val="single" w:sz="4" w:space="0" w:color="auto"/>
            </w:tcBorders>
            <w:shd w:val="clear" w:color="auto" w:fill="auto"/>
            <w:noWrap/>
            <w:vAlign w:val="center"/>
          </w:tcPr>
          <w:p w14:paraId="0036231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6.08E-02</w:t>
            </w:r>
          </w:p>
        </w:tc>
      </w:tr>
      <w:tr w:rsidR="00043F49" w14:paraId="415D9E47" w14:textId="77777777">
        <w:trPr>
          <w:trHeight w:val="280"/>
        </w:trPr>
        <w:tc>
          <w:tcPr>
            <w:tcW w:w="492" w:type="pct"/>
            <w:vMerge/>
            <w:tcBorders>
              <w:left w:val="single" w:sz="4" w:space="0" w:color="auto"/>
              <w:bottom w:val="single" w:sz="4" w:space="0" w:color="auto"/>
              <w:right w:val="single" w:sz="4" w:space="0" w:color="auto"/>
            </w:tcBorders>
          </w:tcPr>
          <w:p w14:paraId="26A13C97" w14:textId="77777777" w:rsidR="00043F49" w:rsidRDefault="00043F49">
            <w:pPr>
              <w:widowControl/>
              <w:jc w:val="center"/>
              <w:rPr>
                <w:rFonts w:asciiTheme="majorBidi" w:eastAsia="等线" w:hAnsiTheme="majorBidi" w:cstheme="majorBidi"/>
                <w:color w:val="000000" w:themeColor="text1"/>
                <w:kern w:val="0"/>
                <w:sz w:val="20"/>
                <w:szCs w:val="20"/>
                <w:lang w:bidi="he-IL"/>
              </w:rPr>
            </w:pPr>
          </w:p>
        </w:tc>
        <w:tc>
          <w:tcPr>
            <w:tcW w:w="432" w:type="pct"/>
            <w:tcBorders>
              <w:top w:val="nil"/>
              <w:left w:val="single" w:sz="4" w:space="0" w:color="auto"/>
              <w:bottom w:val="single" w:sz="4" w:space="0" w:color="auto"/>
              <w:right w:val="single" w:sz="4" w:space="0" w:color="auto"/>
            </w:tcBorders>
            <w:shd w:val="clear" w:color="auto" w:fill="auto"/>
            <w:vAlign w:val="center"/>
          </w:tcPr>
          <w:p w14:paraId="129E34A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15–&lt;18</w:t>
            </w:r>
          </w:p>
        </w:tc>
        <w:tc>
          <w:tcPr>
            <w:tcW w:w="369" w:type="pct"/>
            <w:tcBorders>
              <w:top w:val="nil"/>
              <w:left w:val="nil"/>
              <w:bottom w:val="single" w:sz="4" w:space="0" w:color="auto"/>
              <w:right w:val="single" w:sz="4" w:space="0" w:color="auto"/>
            </w:tcBorders>
            <w:shd w:val="clear" w:color="auto" w:fill="auto"/>
            <w:noWrap/>
            <w:vAlign w:val="center"/>
          </w:tcPr>
          <w:p w14:paraId="5A562B81"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1.16E-02</w:t>
            </w:r>
          </w:p>
        </w:tc>
        <w:tc>
          <w:tcPr>
            <w:tcW w:w="369" w:type="pct"/>
            <w:tcBorders>
              <w:top w:val="nil"/>
              <w:left w:val="nil"/>
              <w:bottom w:val="single" w:sz="4" w:space="0" w:color="auto"/>
              <w:right w:val="single" w:sz="4" w:space="0" w:color="auto"/>
            </w:tcBorders>
            <w:shd w:val="clear" w:color="auto" w:fill="auto"/>
            <w:noWrap/>
            <w:vAlign w:val="center"/>
          </w:tcPr>
          <w:p w14:paraId="36CFC8FC"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1.46E-02</w:t>
            </w:r>
          </w:p>
        </w:tc>
        <w:tc>
          <w:tcPr>
            <w:tcW w:w="369" w:type="pct"/>
            <w:tcBorders>
              <w:top w:val="nil"/>
              <w:left w:val="nil"/>
              <w:bottom w:val="single" w:sz="4" w:space="0" w:color="auto"/>
              <w:right w:val="single" w:sz="4" w:space="0" w:color="auto"/>
            </w:tcBorders>
            <w:shd w:val="clear" w:color="auto" w:fill="auto"/>
            <w:noWrap/>
            <w:vAlign w:val="center"/>
          </w:tcPr>
          <w:p w14:paraId="5C5E2C35"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2.89E-04</w:t>
            </w:r>
          </w:p>
        </w:tc>
        <w:tc>
          <w:tcPr>
            <w:tcW w:w="369" w:type="pct"/>
            <w:tcBorders>
              <w:top w:val="nil"/>
              <w:left w:val="nil"/>
              <w:bottom w:val="single" w:sz="4" w:space="0" w:color="auto"/>
              <w:right w:val="single" w:sz="4" w:space="0" w:color="auto"/>
            </w:tcBorders>
            <w:shd w:val="clear" w:color="auto" w:fill="auto"/>
            <w:noWrap/>
            <w:vAlign w:val="center"/>
          </w:tcPr>
          <w:p w14:paraId="23D2E418"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5.32E-04</w:t>
            </w:r>
          </w:p>
        </w:tc>
        <w:tc>
          <w:tcPr>
            <w:tcW w:w="369" w:type="pct"/>
            <w:tcBorders>
              <w:top w:val="nil"/>
              <w:left w:val="nil"/>
              <w:bottom w:val="single" w:sz="4" w:space="0" w:color="auto"/>
              <w:right w:val="single" w:sz="4" w:space="0" w:color="auto"/>
            </w:tcBorders>
            <w:shd w:val="clear" w:color="auto" w:fill="auto"/>
            <w:noWrap/>
          </w:tcPr>
          <w:p w14:paraId="6C85235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4AA9AA6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2.11E-04</w:t>
            </w:r>
          </w:p>
        </w:tc>
        <w:tc>
          <w:tcPr>
            <w:tcW w:w="369" w:type="pct"/>
            <w:tcBorders>
              <w:top w:val="nil"/>
              <w:left w:val="nil"/>
              <w:bottom w:val="single" w:sz="4" w:space="0" w:color="auto"/>
              <w:right w:val="single" w:sz="4" w:space="0" w:color="auto"/>
            </w:tcBorders>
            <w:shd w:val="clear" w:color="auto" w:fill="auto"/>
            <w:noWrap/>
          </w:tcPr>
          <w:p w14:paraId="69FB1D8A"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hint="eastAsia"/>
                <w:color w:val="000000" w:themeColor="text1"/>
                <w:kern w:val="0"/>
                <w:sz w:val="20"/>
                <w:szCs w:val="20"/>
                <w:lang w:bidi="he-IL"/>
              </w:rPr>
              <w:t>N</w:t>
            </w:r>
            <w:r>
              <w:rPr>
                <w:rFonts w:asciiTheme="majorBidi" w:eastAsia="等线" w:hAnsiTheme="majorBidi" w:cstheme="majorBidi"/>
                <w:color w:val="000000" w:themeColor="text1"/>
                <w:kern w:val="0"/>
                <w:sz w:val="20"/>
                <w:szCs w:val="20"/>
                <w:lang w:bidi="he-IL"/>
              </w:rPr>
              <w:t>.C.</w:t>
            </w:r>
          </w:p>
        </w:tc>
        <w:tc>
          <w:tcPr>
            <w:tcW w:w="369" w:type="pct"/>
            <w:tcBorders>
              <w:top w:val="nil"/>
              <w:left w:val="nil"/>
              <w:bottom w:val="single" w:sz="4" w:space="0" w:color="auto"/>
              <w:right w:val="single" w:sz="4" w:space="0" w:color="auto"/>
            </w:tcBorders>
            <w:shd w:val="clear" w:color="auto" w:fill="auto"/>
            <w:noWrap/>
            <w:vAlign w:val="center"/>
          </w:tcPr>
          <w:p w14:paraId="61A91517"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2.33E-02</w:t>
            </w:r>
          </w:p>
        </w:tc>
        <w:tc>
          <w:tcPr>
            <w:tcW w:w="369" w:type="pct"/>
            <w:tcBorders>
              <w:top w:val="nil"/>
              <w:left w:val="nil"/>
              <w:bottom w:val="single" w:sz="4" w:space="0" w:color="auto"/>
              <w:right w:val="single" w:sz="4" w:space="0" w:color="auto"/>
            </w:tcBorders>
            <w:shd w:val="clear" w:color="auto" w:fill="auto"/>
            <w:noWrap/>
            <w:vAlign w:val="center"/>
          </w:tcPr>
          <w:p w14:paraId="2E9B0B04"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2.53E-02</w:t>
            </w:r>
          </w:p>
        </w:tc>
        <w:tc>
          <w:tcPr>
            <w:tcW w:w="369" w:type="pct"/>
            <w:tcBorders>
              <w:top w:val="nil"/>
              <w:left w:val="nil"/>
              <w:bottom w:val="single" w:sz="4" w:space="0" w:color="auto"/>
              <w:right w:val="single" w:sz="4" w:space="0" w:color="auto"/>
            </w:tcBorders>
            <w:shd w:val="clear" w:color="auto" w:fill="auto"/>
            <w:noWrap/>
            <w:vAlign w:val="center"/>
          </w:tcPr>
          <w:p w14:paraId="0D02755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2.75E-04</w:t>
            </w:r>
          </w:p>
        </w:tc>
        <w:tc>
          <w:tcPr>
            <w:tcW w:w="386" w:type="pct"/>
            <w:tcBorders>
              <w:top w:val="nil"/>
              <w:left w:val="nil"/>
              <w:bottom w:val="single" w:sz="4" w:space="0" w:color="auto"/>
              <w:right w:val="single" w:sz="4" w:space="0" w:color="auto"/>
            </w:tcBorders>
            <w:shd w:val="clear" w:color="auto" w:fill="auto"/>
            <w:noWrap/>
            <w:vAlign w:val="center"/>
          </w:tcPr>
          <w:p w14:paraId="325D539E" w14:textId="77777777" w:rsidR="00043F49" w:rsidRDefault="00000000">
            <w:pPr>
              <w:widowControl/>
              <w:jc w:val="center"/>
              <w:rPr>
                <w:rFonts w:asciiTheme="majorBidi" w:eastAsia="等线" w:hAnsiTheme="majorBidi" w:cstheme="majorBidi"/>
                <w:color w:val="000000" w:themeColor="text1"/>
                <w:kern w:val="0"/>
                <w:sz w:val="20"/>
                <w:szCs w:val="20"/>
                <w:lang w:bidi="he-IL"/>
              </w:rPr>
            </w:pPr>
            <w:r>
              <w:rPr>
                <w:rFonts w:asciiTheme="majorBidi" w:eastAsia="等线" w:hAnsiTheme="majorBidi" w:cstheme="majorBidi"/>
                <w:color w:val="000000" w:themeColor="text1"/>
                <w:kern w:val="0"/>
                <w:sz w:val="20"/>
                <w:szCs w:val="20"/>
                <w:lang w:bidi="he-IL"/>
              </w:rPr>
              <w:t>7.62E-02</w:t>
            </w:r>
          </w:p>
        </w:tc>
      </w:tr>
    </w:tbl>
    <w:bookmarkEnd w:id="0"/>
    <w:p w14:paraId="3F8DE761" w14:textId="77777777" w:rsidR="00043F49" w:rsidRDefault="00000000">
      <w:pPr>
        <w:rPr>
          <w:rFonts w:ascii="Times New Roman" w:hAnsi="Times New Roman" w:cs="Times New Roman"/>
          <w:szCs w:val="21"/>
        </w:rPr>
      </w:pPr>
      <w:r>
        <w:rPr>
          <w:rFonts w:ascii="Times New Roman" w:hAnsi="Times New Roman" w:cs="Times New Roman"/>
          <w:szCs w:val="21"/>
        </w:rPr>
        <w:t>N</w:t>
      </w:r>
      <w:r>
        <w:rPr>
          <w:rFonts w:ascii="Times New Roman" w:hAnsi="Times New Roman" w:cs="Times New Roman" w:hint="eastAsia"/>
          <w:szCs w:val="21"/>
        </w:rPr>
        <w:t>ote</w:t>
      </w:r>
      <w:r>
        <w:rPr>
          <w:rFonts w:ascii="Times New Roman" w:hAnsi="Times New Roman" w:cs="Times New Roman"/>
          <w:szCs w:val="21"/>
        </w:rPr>
        <w:t>: N.C.: not consider</w:t>
      </w:r>
      <w:r>
        <w:rPr>
          <w:rFonts w:ascii="Times New Roman" w:hAnsi="Times New Roman" w:cs="Times New Roman" w:hint="eastAsia"/>
          <w:szCs w:val="21"/>
        </w:rPr>
        <w:t>ation</w:t>
      </w:r>
      <w:r>
        <w:rPr>
          <w:rFonts w:ascii="Times New Roman" w:hAnsi="Times New Roman" w:cs="Times New Roman"/>
          <w:szCs w:val="21"/>
        </w:rPr>
        <w:t>.</w:t>
      </w:r>
    </w:p>
    <w:p w14:paraId="41F2490F" w14:textId="77777777" w:rsidR="00043F49" w:rsidRDefault="00043F49">
      <w:pPr>
        <w:spacing w:line="360" w:lineRule="auto"/>
        <w:jc w:val="left"/>
        <w:rPr>
          <w:rFonts w:asciiTheme="majorBidi" w:hAnsiTheme="majorBidi" w:cstheme="majorBidi"/>
          <w:sz w:val="24"/>
          <w:szCs w:val="28"/>
        </w:rPr>
      </w:pPr>
    </w:p>
    <w:p w14:paraId="06E98F9B" w14:textId="77777777" w:rsidR="00043F49" w:rsidRDefault="00043F49">
      <w:pPr>
        <w:spacing w:line="360" w:lineRule="auto"/>
        <w:jc w:val="left"/>
        <w:rPr>
          <w:rFonts w:asciiTheme="majorBidi" w:hAnsiTheme="majorBidi" w:cstheme="majorBidi"/>
          <w:sz w:val="24"/>
          <w:szCs w:val="28"/>
        </w:rPr>
        <w:sectPr w:rsidR="00043F49">
          <w:pgSz w:w="16838" w:h="11906" w:orient="landscape"/>
          <w:pgMar w:top="720" w:right="720" w:bottom="720" w:left="720" w:header="851" w:footer="992" w:gutter="0"/>
          <w:lnNumType w:countBy="1" w:restart="continuous"/>
          <w:cols w:space="425"/>
          <w:docGrid w:type="lines" w:linePitch="312"/>
        </w:sectPr>
      </w:pPr>
    </w:p>
    <w:p w14:paraId="4936E7E7" w14:textId="77777777" w:rsidR="00043F49" w:rsidRDefault="00043F49">
      <w:pPr>
        <w:pStyle w:val="1"/>
        <w:spacing w:beforeLines="50" w:before="156" w:afterLines="50" w:after="156" w:line="360" w:lineRule="auto"/>
        <w:jc w:val="center"/>
        <w:rPr>
          <w:rFonts w:ascii="Times New Roman" w:hAnsi="Times New Roman" w:cs="Times New Roman"/>
          <w:sz w:val="24"/>
          <w:szCs w:val="24"/>
        </w:rPr>
        <w:sectPr w:rsidR="00043F49">
          <w:type w:val="continuous"/>
          <w:pgSz w:w="16838" w:h="11906" w:orient="landscape"/>
          <w:pgMar w:top="1418" w:right="1440" w:bottom="1418" w:left="1440" w:header="851" w:footer="992" w:gutter="0"/>
          <w:lnNumType w:countBy="1" w:restart="continuous"/>
          <w:cols w:space="425"/>
          <w:docGrid w:type="lines" w:linePitch="312"/>
        </w:sectPr>
      </w:pPr>
    </w:p>
    <w:p w14:paraId="5A6B6467" w14:textId="77777777" w:rsidR="00043F49" w:rsidRDefault="00043F49">
      <w:pPr>
        <w:pStyle w:val="1"/>
        <w:spacing w:beforeLines="50" w:before="156" w:afterLines="50" w:after="156" w:line="360" w:lineRule="auto"/>
        <w:jc w:val="center"/>
        <w:rPr>
          <w:rFonts w:ascii="Times New Roman" w:hAnsi="Times New Roman" w:cs="Times New Roman"/>
          <w:sz w:val="20"/>
          <w:szCs w:val="20"/>
        </w:rPr>
        <w:sectPr w:rsidR="00043F49">
          <w:type w:val="continuous"/>
          <w:pgSz w:w="16838" w:h="11906" w:orient="landscape"/>
          <w:pgMar w:top="1800" w:right="1440" w:bottom="1800" w:left="1440" w:header="851" w:footer="992" w:gutter="0"/>
          <w:lnNumType w:countBy="1" w:restart="continuous"/>
          <w:cols w:space="425"/>
          <w:docGrid w:type="lines" w:linePitch="312"/>
        </w:sectPr>
      </w:pPr>
    </w:p>
    <w:p w14:paraId="64F7BB4D" w14:textId="77777777" w:rsidR="00043F49" w:rsidRDefault="00000000">
      <w:pPr>
        <w:pStyle w:val="1"/>
        <w:spacing w:beforeLines="50" w:before="156" w:afterLines="50" w:after="156" w:line="360" w:lineRule="auto"/>
        <w:jc w:val="center"/>
        <w:rPr>
          <w:rFonts w:ascii="Times New Roman" w:hAnsi="Times New Roman" w:cs="Times New Roman"/>
          <w:b w:val="0"/>
          <w:bCs w:val="0"/>
          <w:sz w:val="20"/>
          <w:szCs w:val="20"/>
        </w:rPr>
      </w:pPr>
      <w:r>
        <w:rPr>
          <w:rFonts w:ascii="Times New Roman" w:hAnsi="Times New Roman" w:cs="Times New Roman"/>
          <w:sz w:val="20"/>
          <w:szCs w:val="20"/>
        </w:rPr>
        <w:lastRenderedPageBreak/>
        <w:t>T</w:t>
      </w:r>
      <w:r>
        <w:rPr>
          <w:rFonts w:ascii="Times New Roman" w:hAnsi="Times New Roman" w:cs="Times New Roman" w:hint="eastAsia"/>
          <w:sz w:val="20"/>
          <w:szCs w:val="20"/>
        </w:rPr>
        <w:t>able</w:t>
      </w:r>
      <w:r>
        <w:rPr>
          <w:rFonts w:ascii="Times New Roman" w:hAnsi="Times New Roman" w:cs="Times New Roman"/>
          <w:sz w:val="20"/>
          <w:szCs w:val="20"/>
        </w:rPr>
        <w:t xml:space="preserve"> S</w:t>
      </w:r>
      <w:r>
        <w:rPr>
          <w:rFonts w:ascii="Times New Roman" w:hAnsi="Times New Roman" w:cs="Times New Roman" w:hint="eastAsia"/>
          <w:sz w:val="20"/>
          <w:szCs w:val="20"/>
        </w:rPr>
        <w:t>8</w:t>
      </w:r>
      <w:r>
        <w:rPr>
          <w:rFonts w:ascii="Times New Roman" w:hAnsi="Times New Roman" w:cs="Times New Roman"/>
          <w:sz w:val="20"/>
          <w:szCs w:val="20"/>
        </w:rPr>
        <w:t xml:space="preserve"> </w:t>
      </w:r>
      <w:r>
        <w:rPr>
          <w:rFonts w:ascii="Times New Roman" w:hAnsi="Times New Roman" w:cs="Times New Roman"/>
          <w:b w:val="0"/>
          <w:bCs w:val="0"/>
          <w:sz w:val="20"/>
          <w:szCs w:val="20"/>
        </w:rPr>
        <w:t>TCR from heavy metal exposure from food consumption and environmental media</w:t>
      </w:r>
    </w:p>
    <w:tbl>
      <w:tblPr>
        <w:tblW w:w="5000" w:type="pct"/>
        <w:tblLook w:val="04A0" w:firstRow="1" w:lastRow="0" w:firstColumn="1" w:lastColumn="0" w:noHBand="0" w:noVBand="1"/>
      </w:tblPr>
      <w:tblGrid>
        <w:gridCol w:w="2286"/>
        <w:gridCol w:w="2287"/>
        <w:gridCol w:w="1543"/>
        <w:gridCol w:w="1543"/>
        <w:gridCol w:w="1543"/>
        <w:gridCol w:w="1543"/>
        <w:gridCol w:w="1543"/>
        <w:gridCol w:w="1660"/>
      </w:tblGrid>
      <w:tr w:rsidR="00043F49" w14:paraId="1106988C" w14:textId="77777777">
        <w:trPr>
          <w:trHeight w:val="287"/>
        </w:trPr>
        <w:tc>
          <w:tcPr>
            <w:tcW w:w="820" w:type="pct"/>
            <w:tcBorders>
              <w:top w:val="single" w:sz="4" w:space="0" w:color="auto"/>
              <w:left w:val="single" w:sz="4" w:space="0" w:color="auto"/>
              <w:bottom w:val="single" w:sz="4" w:space="0" w:color="auto"/>
              <w:right w:val="single" w:sz="4" w:space="0" w:color="auto"/>
            </w:tcBorders>
          </w:tcPr>
          <w:p w14:paraId="0ED96ACB" w14:textId="77777777" w:rsidR="00043F49" w:rsidRDefault="00000000">
            <w:pPr>
              <w:widowControl/>
              <w:jc w:val="center"/>
              <w:rPr>
                <w:rFonts w:asciiTheme="majorBidi" w:eastAsia="宋体" w:hAnsiTheme="majorBidi" w:cstheme="majorBidi"/>
                <w:color w:val="000000" w:themeColor="text1"/>
                <w:kern w:val="0"/>
                <w:sz w:val="20"/>
                <w:szCs w:val="20"/>
                <w:lang w:bidi="he-IL"/>
              </w:rPr>
            </w:pPr>
            <w:bookmarkStart w:id="2" w:name="OLE_LINK2"/>
            <w:r>
              <w:rPr>
                <w:rFonts w:asciiTheme="majorBidi" w:eastAsia="宋体" w:hAnsiTheme="majorBidi" w:cstheme="majorBidi"/>
                <w:color w:val="000000" w:themeColor="text1"/>
                <w:kern w:val="0"/>
                <w:sz w:val="20"/>
                <w:szCs w:val="20"/>
                <w:lang w:bidi="he-IL"/>
              </w:rPr>
              <w:t>Exposure pathway</w:t>
            </w:r>
          </w:p>
        </w:tc>
        <w:tc>
          <w:tcPr>
            <w:tcW w:w="8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E29DD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eastAsia="宋体" w:hAnsiTheme="majorBidi" w:cstheme="majorBidi"/>
                <w:color w:val="000000" w:themeColor="text1"/>
                <w:kern w:val="0"/>
                <w:sz w:val="20"/>
                <w:szCs w:val="20"/>
                <w:lang w:bidi="he-IL"/>
              </w:rPr>
              <w:t>Age group</w:t>
            </w:r>
          </w:p>
        </w:tc>
        <w:tc>
          <w:tcPr>
            <w:tcW w:w="553" w:type="pct"/>
            <w:tcBorders>
              <w:top w:val="single" w:sz="4" w:space="0" w:color="auto"/>
              <w:left w:val="nil"/>
              <w:bottom w:val="single" w:sz="4" w:space="0" w:color="auto"/>
              <w:right w:val="single" w:sz="4" w:space="0" w:color="auto"/>
            </w:tcBorders>
            <w:shd w:val="clear" w:color="auto" w:fill="auto"/>
            <w:noWrap/>
            <w:vAlign w:val="center"/>
          </w:tcPr>
          <w:p w14:paraId="21CE7F3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As</w:t>
            </w:r>
          </w:p>
        </w:tc>
        <w:tc>
          <w:tcPr>
            <w:tcW w:w="553" w:type="pct"/>
            <w:tcBorders>
              <w:top w:val="single" w:sz="4" w:space="0" w:color="auto"/>
              <w:left w:val="nil"/>
              <w:bottom w:val="single" w:sz="4" w:space="0" w:color="auto"/>
              <w:right w:val="single" w:sz="4" w:space="0" w:color="auto"/>
            </w:tcBorders>
            <w:shd w:val="clear" w:color="auto" w:fill="auto"/>
            <w:noWrap/>
            <w:vAlign w:val="center"/>
          </w:tcPr>
          <w:p w14:paraId="09F29A8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Cd</w:t>
            </w:r>
          </w:p>
        </w:tc>
        <w:tc>
          <w:tcPr>
            <w:tcW w:w="553" w:type="pct"/>
            <w:tcBorders>
              <w:top w:val="single" w:sz="4" w:space="0" w:color="auto"/>
              <w:left w:val="nil"/>
              <w:bottom w:val="single" w:sz="4" w:space="0" w:color="auto"/>
              <w:right w:val="single" w:sz="4" w:space="0" w:color="auto"/>
            </w:tcBorders>
            <w:shd w:val="clear" w:color="auto" w:fill="auto"/>
            <w:noWrap/>
            <w:vAlign w:val="center"/>
          </w:tcPr>
          <w:p w14:paraId="3B1FD097"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Cr</w:t>
            </w:r>
          </w:p>
        </w:tc>
        <w:tc>
          <w:tcPr>
            <w:tcW w:w="553" w:type="pct"/>
            <w:tcBorders>
              <w:top w:val="single" w:sz="4" w:space="0" w:color="auto"/>
              <w:left w:val="nil"/>
              <w:bottom w:val="single" w:sz="4" w:space="0" w:color="auto"/>
              <w:right w:val="single" w:sz="4" w:space="0" w:color="auto"/>
            </w:tcBorders>
            <w:shd w:val="clear" w:color="auto" w:fill="auto"/>
            <w:noWrap/>
            <w:vAlign w:val="center"/>
          </w:tcPr>
          <w:p w14:paraId="4E9201A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Ni</w:t>
            </w:r>
          </w:p>
        </w:tc>
        <w:tc>
          <w:tcPr>
            <w:tcW w:w="553" w:type="pct"/>
            <w:tcBorders>
              <w:top w:val="single" w:sz="4" w:space="0" w:color="auto"/>
              <w:left w:val="nil"/>
              <w:bottom w:val="single" w:sz="4" w:space="0" w:color="auto"/>
              <w:right w:val="single" w:sz="4" w:space="0" w:color="auto"/>
            </w:tcBorders>
            <w:shd w:val="clear" w:color="auto" w:fill="auto"/>
            <w:noWrap/>
            <w:vAlign w:val="center"/>
          </w:tcPr>
          <w:p w14:paraId="52554FF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Pb</w:t>
            </w:r>
          </w:p>
        </w:tc>
        <w:tc>
          <w:tcPr>
            <w:tcW w:w="595" w:type="pct"/>
            <w:tcBorders>
              <w:top w:val="single" w:sz="4" w:space="0" w:color="auto"/>
              <w:left w:val="nil"/>
              <w:bottom w:val="single" w:sz="4" w:space="0" w:color="auto"/>
              <w:right w:val="single" w:sz="4" w:space="0" w:color="auto"/>
            </w:tcBorders>
          </w:tcPr>
          <w:p w14:paraId="2DEA4FD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TCR</w:t>
            </w:r>
          </w:p>
        </w:tc>
      </w:tr>
      <w:tr w:rsidR="00043F49" w14:paraId="096CCD67" w14:textId="77777777">
        <w:trPr>
          <w:trHeight w:val="280"/>
        </w:trPr>
        <w:tc>
          <w:tcPr>
            <w:tcW w:w="820" w:type="pct"/>
            <w:vMerge w:val="restart"/>
            <w:tcBorders>
              <w:top w:val="nil"/>
              <w:left w:val="single" w:sz="4" w:space="0" w:color="auto"/>
              <w:right w:val="single" w:sz="4" w:space="0" w:color="auto"/>
            </w:tcBorders>
          </w:tcPr>
          <w:p w14:paraId="4516DC5F"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eastAsia="等线" w:hAnsiTheme="majorBidi" w:cstheme="majorBidi"/>
                <w:color w:val="000000" w:themeColor="text1"/>
                <w:kern w:val="0"/>
                <w:sz w:val="20"/>
                <w:szCs w:val="20"/>
                <w:lang w:bidi="he-IL"/>
              </w:rPr>
              <w:t>Ingestion</w:t>
            </w:r>
          </w:p>
        </w:tc>
        <w:tc>
          <w:tcPr>
            <w:tcW w:w="820" w:type="pct"/>
            <w:tcBorders>
              <w:top w:val="nil"/>
              <w:left w:val="single" w:sz="4" w:space="0" w:color="auto"/>
              <w:bottom w:val="single" w:sz="4" w:space="0" w:color="auto"/>
              <w:right w:val="single" w:sz="4" w:space="0" w:color="auto"/>
            </w:tcBorders>
            <w:shd w:val="clear" w:color="auto" w:fill="auto"/>
            <w:vAlign w:val="center"/>
          </w:tcPr>
          <w:p w14:paraId="1910F41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2–&lt;3</w:t>
            </w:r>
          </w:p>
        </w:tc>
        <w:tc>
          <w:tcPr>
            <w:tcW w:w="553" w:type="pct"/>
            <w:tcBorders>
              <w:top w:val="nil"/>
              <w:left w:val="nil"/>
              <w:bottom w:val="single" w:sz="4" w:space="0" w:color="auto"/>
              <w:right w:val="single" w:sz="4" w:space="0" w:color="auto"/>
            </w:tcBorders>
            <w:shd w:val="clear" w:color="auto" w:fill="auto"/>
            <w:vAlign w:val="center"/>
          </w:tcPr>
          <w:p w14:paraId="3A71E0F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9.10E-08</w:t>
            </w:r>
          </w:p>
        </w:tc>
        <w:tc>
          <w:tcPr>
            <w:tcW w:w="553" w:type="pct"/>
            <w:tcBorders>
              <w:top w:val="nil"/>
              <w:left w:val="nil"/>
              <w:bottom w:val="single" w:sz="4" w:space="0" w:color="auto"/>
              <w:right w:val="single" w:sz="4" w:space="0" w:color="auto"/>
            </w:tcBorders>
            <w:shd w:val="clear" w:color="auto" w:fill="auto"/>
            <w:vAlign w:val="center"/>
          </w:tcPr>
          <w:p w14:paraId="3DCF4050"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6.98E-08</w:t>
            </w:r>
          </w:p>
        </w:tc>
        <w:tc>
          <w:tcPr>
            <w:tcW w:w="553" w:type="pct"/>
            <w:tcBorders>
              <w:top w:val="nil"/>
              <w:left w:val="nil"/>
              <w:bottom w:val="single" w:sz="4" w:space="0" w:color="auto"/>
              <w:right w:val="single" w:sz="4" w:space="0" w:color="auto"/>
            </w:tcBorders>
            <w:shd w:val="clear" w:color="auto" w:fill="auto"/>
            <w:vAlign w:val="center"/>
          </w:tcPr>
          <w:p w14:paraId="52E310D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1.25E-07</w:t>
            </w:r>
          </w:p>
        </w:tc>
        <w:tc>
          <w:tcPr>
            <w:tcW w:w="553" w:type="pct"/>
            <w:tcBorders>
              <w:top w:val="nil"/>
              <w:left w:val="nil"/>
              <w:bottom w:val="single" w:sz="4" w:space="0" w:color="auto"/>
              <w:right w:val="single" w:sz="4" w:space="0" w:color="auto"/>
            </w:tcBorders>
            <w:shd w:val="clear" w:color="auto" w:fill="auto"/>
            <w:vAlign w:val="center"/>
          </w:tcPr>
          <w:p w14:paraId="6C099810"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2.25E-08</w:t>
            </w:r>
          </w:p>
        </w:tc>
        <w:tc>
          <w:tcPr>
            <w:tcW w:w="553" w:type="pct"/>
            <w:tcBorders>
              <w:top w:val="nil"/>
              <w:left w:val="nil"/>
              <w:bottom w:val="single" w:sz="4" w:space="0" w:color="auto"/>
              <w:right w:val="single" w:sz="4" w:space="0" w:color="auto"/>
            </w:tcBorders>
            <w:shd w:val="clear" w:color="auto" w:fill="auto"/>
          </w:tcPr>
          <w:p w14:paraId="471B921A"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07C0C5B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3.09E-07</w:t>
            </w:r>
          </w:p>
        </w:tc>
      </w:tr>
      <w:tr w:rsidR="00043F49" w14:paraId="6FBF2338" w14:textId="77777777">
        <w:trPr>
          <w:trHeight w:val="280"/>
        </w:trPr>
        <w:tc>
          <w:tcPr>
            <w:tcW w:w="820" w:type="pct"/>
            <w:vMerge/>
            <w:tcBorders>
              <w:left w:val="single" w:sz="4" w:space="0" w:color="auto"/>
              <w:right w:val="single" w:sz="4" w:space="0" w:color="auto"/>
            </w:tcBorders>
          </w:tcPr>
          <w:p w14:paraId="2E10A171"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4F0E284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3–&lt;4</w:t>
            </w:r>
          </w:p>
        </w:tc>
        <w:tc>
          <w:tcPr>
            <w:tcW w:w="553" w:type="pct"/>
            <w:tcBorders>
              <w:top w:val="nil"/>
              <w:left w:val="nil"/>
              <w:bottom w:val="single" w:sz="4" w:space="0" w:color="auto"/>
              <w:right w:val="single" w:sz="4" w:space="0" w:color="auto"/>
            </w:tcBorders>
            <w:shd w:val="clear" w:color="auto" w:fill="auto"/>
            <w:vAlign w:val="center"/>
          </w:tcPr>
          <w:p w14:paraId="6D2CA09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8.64E-08</w:t>
            </w:r>
          </w:p>
        </w:tc>
        <w:tc>
          <w:tcPr>
            <w:tcW w:w="553" w:type="pct"/>
            <w:tcBorders>
              <w:top w:val="nil"/>
              <w:left w:val="nil"/>
              <w:bottom w:val="single" w:sz="4" w:space="0" w:color="auto"/>
              <w:right w:val="single" w:sz="4" w:space="0" w:color="auto"/>
            </w:tcBorders>
            <w:shd w:val="clear" w:color="auto" w:fill="auto"/>
            <w:vAlign w:val="center"/>
          </w:tcPr>
          <w:p w14:paraId="64195E1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6.63E-08</w:t>
            </w:r>
          </w:p>
        </w:tc>
        <w:tc>
          <w:tcPr>
            <w:tcW w:w="553" w:type="pct"/>
            <w:tcBorders>
              <w:top w:val="nil"/>
              <w:left w:val="nil"/>
              <w:bottom w:val="single" w:sz="4" w:space="0" w:color="auto"/>
              <w:right w:val="single" w:sz="4" w:space="0" w:color="auto"/>
            </w:tcBorders>
            <w:shd w:val="clear" w:color="auto" w:fill="auto"/>
            <w:vAlign w:val="center"/>
          </w:tcPr>
          <w:p w14:paraId="3C3AF91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1.19E-07</w:t>
            </w:r>
          </w:p>
        </w:tc>
        <w:tc>
          <w:tcPr>
            <w:tcW w:w="553" w:type="pct"/>
            <w:tcBorders>
              <w:top w:val="nil"/>
              <w:left w:val="nil"/>
              <w:bottom w:val="single" w:sz="4" w:space="0" w:color="auto"/>
              <w:right w:val="single" w:sz="4" w:space="0" w:color="auto"/>
            </w:tcBorders>
            <w:shd w:val="clear" w:color="auto" w:fill="auto"/>
            <w:vAlign w:val="center"/>
          </w:tcPr>
          <w:p w14:paraId="3D738AD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2.14E-08</w:t>
            </w:r>
          </w:p>
        </w:tc>
        <w:tc>
          <w:tcPr>
            <w:tcW w:w="553" w:type="pct"/>
            <w:tcBorders>
              <w:top w:val="nil"/>
              <w:left w:val="nil"/>
              <w:bottom w:val="single" w:sz="4" w:space="0" w:color="auto"/>
              <w:right w:val="single" w:sz="4" w:space="0" w:color="auto"/>
            </w:tcBorders>
            <w:shd w:val="clear" w:color="auto" w:fill="auto"/>
          </w:tcPr>
          <w:p w14:paraId="14A1B0D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1A093EE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2.93E-07</w:t>
            </w:r>
          </w:p>
        </w:tc>
      </w:tr>
      <w:tr w:rsidR="00043F49" w14:paraId="35ECFB53" w14:textId="77777777">
        <w:trPr>
          <w:trHeight w:val="280"/>
        </w:trPr>
        <w:tc>
          <w:tcPr>
            <w:tcW w:w="820" w:type="pct"/>
            <w:vMerge/>
            <w:tcBorders>
              <w:left w:val="single" w:sz="4" w:space="0" w:color="auto"/>
              <w:right w:val="single" w:sz="4" w:space="0" w:color="auto"/>
            </w:tcBorders>
          </w:tcPr>
          <w:p w14:paraId="12B70C7D"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1366D5A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4–&lt;5</w:t>
            </w:r>
          </w:p>
        </w:tc>
        <w:tc>
          <w:tcPr>
            <w:tcW w:w="553" w:type="pct"/>
            <w:tcBorders>
              <w:top w:val="nil"/>
              <w:left w:val="nil"/>
              <w:bottom w:val="single" w:sz="4" w:space="0" w:color="auto"/>
              <w:right w:val="single" w:sz="4" w:space="0" w:color="auto"/>
            </w:tcBorders>
            <w:shd w:val="clear" w:color="auto" w:fill="auto"/>
            <w:vAlign w:val="center"/>
          </w:tcPr>
          <w:p w14:paraId="6B20258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8.06E-08</w:t>
            </w:r>
          </w:p>
        </w:tc>
        <w:tc>
          <w:tcPr>
            <w:tcW w:w="553" w:type="pct"/>
            <w:tcBorders>
              <w:top w:val="nil"/>
              <w:left w:val="nil"/>
              <w:bottom w:val="single" w:sz="4" w:space="0" w:color="auto"/>
              <w:right w:val="single" w:sz="4" w:space="0" w:color="auto"/>
            </w:tcBorders>
            <w:shd w:val="clear" w:color="auto" w:fill="auto"/>
            <w:vAlign w:val="center"/>
          </w:tcPr>
          <w:p w14:paraId="4B4C005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6.18E-08</w:t>
            </w:r>
          </w:p>
        </w:tc>
        <w:tc>
          <w:tcPr>
            <w:tcW w:w="553" w:type="pct"/>
            <w:tcBorders>
              <w:top w:val="nil"/>
              <w:left w:val="nil"/>
              <w:bottom w:val="single" w:sz="4" w:space="0" w:color="auto"/>
              <w:right w:val="single" w:sz="4" w:space="0" w:color="auto"/>
            </w:tcBorders>
            <w:shd w:val="clear" w:color="auto" w:fill="auto"/>
            <w:vAlign w:val="center"/>
          </w:tcPr>
          <w:p w14:paraId="3DB6A74F"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1.11E-07</w:t>
            </w:r>
          </w:p>
        </w:tc>
        <w:tc>
          <w:tcPr>
            <w:tcW w:w="553" w:type="pct"/>
            <w:tcBorders>
              <w:top w:val="nil"/>
              <w:left w:val="nil"/>
              <w:bottom w:val="single" w:sz="4" w:space="0" w:color="auto"/>
              <w:right w:val="single" w:sz="4" w:space="0" w:color="auto"/>
            </w:tcBorders>
            <w:shd w:val="clear" w:color="auto" w:fill="auto"/>
            <w:vAlign w:val="center"/>
          </w:tcPr>
          <w:p w14:paraId="233D4C08"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1.99E-08</w:t>
            </w:r>
          </w:p>
        </w:tc>
        <w:tc>
          <w:tcPr>
            <w:tcW w:w="553" w:type="pct"/>
            <w:tcBorders>
              <w:top w:val="nil"/>
              <w:left w:val="nil"/>
              <w:bottom w:val="single" w:sz="4" w:space="0" w:color="auto"/>
              <w:right w:val="single" w:sz="4" w:space="0" w:color="auto"/>
            </w:tcBorders>
            <w:shd w:val="clear" w:color="auto" w:fill="auto"/>
          </w:tcPr>
          <w:p w14:paraId="019A8994"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209CAED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2.73E-07</w:t>
            </w:r>
          </w:p>
        </w:tc>
      </w:tr>
      <w:tr w:rsidR="00043F49" w14:paraId="47BD437A" w14:textId="77777777">
        <w:trPr>
          <w:trHeight w:val="280"/>
        </w:trPr>
        <w:tc>
          <w:tcPr>
            <w:tcW w:w="820" w:type="pct"/>
            <w:vMerge/>
            <w:tcBorders>
              <w:left w:val="single" w:sz="4" w:space="0" w:color="auto"/>
              <w:right w:val="single" w:sz="4" w:space="0" w:color="auto"/>
            </w:tcBorders>
          </w:tcPr>
          <w:p w14:paraId="5F72767B"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45382E3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5–&lt;6</w:t>
            </w:r>
          </w:p>
        </w:tc>
        <w:tc>
          <w:tcPr>
            <w:tcW w:w="553" w:type="pct"/>
            <w:tcBorders>
              <w:top w:val="nil"/>
              <w:left w:val="nil"/>
              <w:bottom w:val="single" w:sz="4" w:space="0" w:color="auto"/>
              <w:right w:val="single" w:sz="4" w:space="0" w:color="auto"/>
            </w:tcBorders>
            <w:shd w:val="clear" w:color="auto" w:fill="auto"/>
            <w:vAlign w:val="center"/>
          </w:tcPr>
          <w:p w14:paraId="1752C70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7.55E-08</w:t>
            </w:r>
          </w:p>
        </w:tc>
        <w:tc>
          <w:tcPr>
            <w:tcW w:w="553" w:type="pct"/>
            <w:tcBorders>
              <w:top w:val="nil"/>
              <w:left w:val="nil"/>
              <w:bottom w:val="single" w:sz="4" w:space="0" w:color="auto"/>
              <w:right w:val="single" w:sz="4" w:space="0" w:color="auto"/>
            </w:tcBorders>
            <w:shd w:val="clear" w:color="auto" w:fill="auto"/>
            <w:vAlign w:val="center"/>
          </w:tcPr>
          <w:p w14:paraId="5DAA54D2"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5.79E-08</w:t>
            </w:r>
          </w:p>
        </w:tc>
        <w:tc>
          <w:tcPr>
            <w:tcW w:w="553" w:type="pct"/>
            <w:tcBorders>
              <w:top w:val="nil"/>
              <w:left w:val="nil"/>
              <w:bottom w:val="single" w:sz="4" w:space="0" w:color="auto"/>
              <w:right w:val="single" w:sz="4" w:space="0" w:color="auto"/>
            </w:tcBorders>
            <w:shd w:val="clear" w:color="auto" w:fill="auto"/>
            <w:vAlign w:val="center"/>
          </w:tcPr>
          <w:p w14:paraId="6A84F11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1.04E-07</w:t>
            </w:r>
          </w:p>
        </w:tc>
        <w:tc>
          <w:tcPr>
            <w:tcW w:w="553" w:type="pct"/>
            <w:tcBorders>
              <w:top w:val="nil"/>
              <w:left w:val="nil"/>
              <w:bottom w:val="single" w:sz="4" w:space="0" w:color="auto"/>
              <w:right w:val="single" w:sz="4" w:space="0" w:color="auto"/>
            </w:tcBorders>
            <w:shd w:val="clear" w:color="auto" w:fill="auto"/>
            <w:vAlign w:val="center"/>
          </w:tcPr>
          <w:p w14:paraId="0922531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1.87E-08</w:t>
            </w:r>
          </w:p>
        </w:tc>
        <w:tc>
          <w:tcPr>
            <w:tcW w:w="553" w:type="pct"/>
            <w:tcBorders>
              <w:top w:val="nil"/>
              <w:left w:val="nil"/>
              <w:bottom w:val="single" w:sz="4" w:space="0" w:color="auto"/>
              <w:right w:val="single" w:sz="4" w:space="0" w:color="auto"/>
            </w:tcBorders>
            <w:shd w:val="clear" w:color="auto" w:fill="auto"/>
          </w:tcPr>
          <w:p w14:paraId="04DAF26D"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5E92FB3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2.56E-07</w:t>
            </w:r>
          </w:p>
        </w:tc>
      </w:tr>
      <w:tr w:rsidR="00043F49" w14:paraId="436CA38B" w14:textId="77777777">
        <w:trPr>
          <w:trHeight w:val="280"/>
        </w:trPr>
        <w:tc>
          <w:tcPr>
            <w:tcW w:w="820" w:type="pct"/>
            <w:vMerge/>
            <w:tcBorders>
              <w:left w:val="single" w:sz="4" w:space="0" w:color="auto"/>
              <w:right w:val="single" w:sz="4" w:space="0" w:color="auto"/>
            </w:tcBorders>
          </w:tcPr>
          <w:p w14:paraId="42D283E0"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2119F913"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6–&lt;9</w:t>
            </w:r>
          </w:p>
        </w:tc>
        <w:tc>
          <w:tcPr>
            <w:tcW w:w="553" w:type="pct"/>
            <w:tcBorders>
              <w:top w:val="nil"/>
              <w:left w:val="nil"/>
              <w:bottom w:val="single" w:sz="4" w:space="0" w:color="auto"/>
              <w:right w:val="single" w:sz="4" w:space="0" w:color="auto"/>
            </w:tcBorders>
            <w:shd w:val="clear" w:color="auto" w:fill="auto"/>
            <w:vAlign w:val="center"/>
          </w:tcPr>
          <w:p w14:paraId="7C75196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1.97E-07</w:t>
            </w:r>
          </w:p>
        </w:tc>
        <w:tc>
          <w:tcPr>
            <w:tcW w:w="553" w:type="pct"/>
            <w:tcBorders>
              <w:top w:val="nil"/>
              <w:left w:val="nil"/>
              <w:bottom w:val="single" w:sz="4" w:space="0" w:color="auto"/>
              <w:right w:val="single" w:sz="4" w:space="0" w:color="auto"/>
            </w:tcBorders>
            <w:shd w:val="clear" w:color="auto" w:fill="auto"/>
            <w:vAlign w:val="center"/>
          </w:tcPr>
          <w:p w14:paraId="335D6E66"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1.51E-07</w:t>
            </w:r>
          </w:p>
        </w:tc>
        <w:tc>
          <w:tcPr>
            <w:tcW w:w="553" w:type="pct"/>
            <w:tcBorders>
              <w:top w:val="nil"/>
              <w:left w:val="nil"/>
              <w:bottom w:val="single" w:sz="4" w:space="0" w:color="auto"/>
              <w:right w:val="single" w:sz="4" w:space="0" w:color="auto"/>
            </w:tcBorders>
            <w:shd w:val="clear" w:color="auto" w:fill="auto"/>
            <w:vAlign w:val="center"/>
          </w:tcPr>
          <w:p w14:paraId="2261060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2.71E-07</w:t>
            </w:r>
          </w:p>
        </w:tc>
        <w:tc>
          <w:tcPr>
            <w:tcW w:w="553" w:type="pct"/>
            <w:tcBorders>
              <w:top w:val="nil"/>
              <w:left w:val="nil"/>
              <w:bottom w:val="single" w:sz="4" w:space="0" w:color="auto"/>
              <w:right w:val="single" w:sz="4" w:space="0" w:color="auto"/>
            </w:tcBorders>
            <w:shd w:val="clear" w:color="auto" w:fill="auto"/>
            <w:vAlign w:val="center"/>
          </w:tcPr>
          <w:p w14:paraId="7F307B7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4.88E-08</w:t>
            </w:r>
          </w:p>
        </w:tc>
        <w:tc>
          <w:tcPr>
            <w:tcW w:w="553" w:type="pct"/>
            <w:tcBorders>
              <w:top w:val="nil"/>
              <w:left w:val="nil"/>
              <w:bottom w:val="single" w:sz="4" w:space="0" w:color="auto"/>
              <w:right w:val="single" w:sz="4" w:space="0" w:color="auto"/>
            </w:tcBorders>
            <w:shd w:val="clear" w:color="auto" w:fill="auto"/>
          </w:tcPr>
          <w:p w14:paraId="01FCED3B"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5F25AD0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6.68E-07</w:t>
            </w:r>
          </w:p>
        </w:tc>
      </w:tr>
      <w:tr w:rsidR="00043F49" w14:paraId="532818FA" w14:textId="77777777">
        <w:trPr>
          <w:trHeight w:val="280"/>
        </w:trPr>
        <w:tc>
          <w:tcPr>
            <w:tcW w:w="820" w:type="pct"/>
            <w:vMerge/>
            <w:tcBorders>
              <w:left w:val="single" w:sz="4" w:space="0" w:color="auto"/>
              <w:right w:val="single" w:sz="4" w:space="0" w:color="auto"/>
            </w:tcBorders>
          </w:tcPr>
          <w:p w14:paraId="39CAD17B"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34D32830"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9–&lt;12</w:t>
            </w:r>
          </w:p>
        </w:tc>
        <w:tc>
          <w:tcPr>
            <w:tcW w:w="553" w:type="pct"/>
            <w:tcBorders>
              <w:top w:val="nil"/>
              <w:left w:val="nil"/>
              <w:bottom w:val="single" w:sz="4" w:space="0" w:color="auto"/>
              <w:right w:val="single" w:sz="4" w:space="0" w:color="auto"/>
            </w:tcBorders>
            <w:shd w:val="clear" w:color="auto" w:fill="auto"/>
            <w:vAlign w:val="center"/>
          </w:tcPr>
          <w:p w14:paraId="23B97E60"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1.86E-07</w:t>
            </w:r>
          </w:p>
        </w:tc>
        <w:tc>
          <w:tcPr>
            <w:tcW w:w="553" w:type="pct"/>
            <w:tcBorders>
              <w:top w:val="nil"/>
              <w:left w:val="nil"/>
              <w:bottom w:val="single" w:sz="4" w:space="0" w:color="auto"/>
              <w:right w:val="single" w:sz="4" w:space="0" w:color="auto"/>
            </w:tcBorders>
            <w:shd w:val="clear" w:color="auto" w:fill="auto"/>
            <w:vAlign w:val="center"/>
          </w:tcPr>
          <w:p w14:paraId="1E31E08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1.42E-07</w:t>
            </w:r>
          </w:p>
        </w:tc>
        <w:tc>
          <w:tcPr>
            <w:tcW w:w="553" w:type="pct"/>
            <w:tcBorders>
              <w:top w:val="nil"/>
              <w:left w:val="nil"/>
              <w:bottom w:val="single" w:sz="4" w:space="0" w:color="auto"/>
              <w:right w:val="single" w:sz="4" w:space="0" w:color="auto"/>
            </w:tcBorders>
            <w:shd w:val="clear" w:color="auto" w:fill="auto"/>
            <w:vAlign w:val="center"/>
          </w:tcPr>
          <w:p w14:paraId="7A80331F"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2.55E-07</w:t>
            </w:r>
          </w:p>
        </w:tc>
        <w:tc>
          <w:tcPr>
            <w:tcW w:w="553" w:type="pct"/>
            <w:tcBorders>
              <w:top w:val="nil"/>
              <w:left w:val="nil"/>
              <w:bottom w:val="single" w:sz="4" w:space="0" w:color="auto"/>
              <w:right w:val="single" w:sz="4" w:space="0" w:color="auto"/>
            </w:tcBorders>
            <w:shd w:val="clear" w:color="auto" w:fill="auto"/>
            <w:vAlign w:val="center"/>
          </w:tcPr>
          <w:p w14:paraId="23362B6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4.59E-08</w:t>
            </w:r>
          </w:p>
        </w:tc>
        <w:tc>
          <w:tcPr>
            <w:tcW w:w="553" w:type="pct"/>
            <w:tcBorders>
              <w:top w:val="nil"/>
              <w:left w:val="nil"/>
              <w:bottom w:val="single" w:sz="4" w:space="0" w:color="auto"/>
              <w:right w:val="single" w:sz="4" w:space="0" w:color="auto"/>
            </w:tcBorders>
            <w:shd w:val="clear" w:color="auto" w:fill="auto"/>
          </w:tcPr>
          <w:p w14:paraId="702C64C9"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722366B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6.29E-07</w:t>
            </w:r>
          </w:p>
        </w:tc>
      </w:tr>
      <w:tr w:rsidR="00043F49" w14:paraId="02427DFE" w14:textId="77777777">
        <w:trPr>
          <w:trHeight w:val="280"/>
        </w:trPr>
        <w:tc>
          <w:tcPr>
            <w:tcW w:w="820" w:type="pct"/>
            <w:vMerge/>
            <w:tcBorders>
              <w:left w:val="single" w:sz="4" w:space="0" w:color="auto"/>
              <w:right w:val="single" w:sz="4" w:space="0" w:color="auto"/>
            </w:tcBorders>
          </w:tcPr>
          <w:p w14:paraId="445305F6"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401891B9"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12–&lt;15</w:t>
            </w:r>
          </w:p>
        </w:tc>
        <w:tc>
          <w:tcPr>
            <w:tcW w:w="553" w:type="pct"/>
            <w:tcBorders>
              <w:top w:val="nil"/>
              <w:left w:val="nil"/>
              <w:bottom w:val="single" w:sz="4" w:space="0" w:color="auto"/>
              <w:right w:val="single" w:sz="4" w:space="0" w:color="auto"/>
            </w:tcBorders>
            <w:shd w:val="clear" w:color="auto" w:fill="auto"/>
            <w:vAlign w:val="center"/>
          </w:tcPr>
          <w:p w14:paraId="099B3A8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1.52E-07</w:t>
            </w:r>
          </w:p>
        </w:tc>
        <w:tc>
          <w:tcPr>
            <w:tcW w:w="553" w:type="pct"/>
            <w:tcBorders>
              <w:top w:val="nil"/>
              <w:left w:val="nil"/>
              <w:bottom w:val="single" w:sz="4" w:space="0" w:color="auto"/>
              <w:right w:val="single" w:sz="4" w:space="0" w:color="auto"/>
            </w:tcBorders>
            <w:shd w:val="clear" w:color="auto" w:fill="auto"/>
            <w:vAlign w:val="center"/>
          </w:tcPr>
          <w:p w14:paraId="2320279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1.17E-07</w:t>
            </w:r>
          </w:p>
        </w:tc>
        <w:tc>
          <w:tcPr>
            <w:tcW w:w="553" w:type="pct"/>
            <w:tcBorders>
              <w:top w:val="nil"/>
              <w:left w:val="nil"/>
              <w:bottom w:val="single" w:sz="4" w:space="0" w:color="auto"/>
              <w:right w:val="single" w:sz="4" w:space="0" w:color="auto"/>
            </w:tcBorders>
            <w:shd w:val="clear" w:color="auto" w:fill="auto"/>
            <w:vAlign w:val="center"/>
          </w:tcPr>
          <w:p w14:paraId="239C166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2.09E-07</w:t>
            </w:r>
          </w:p>
        </w:tc>
        <w:tc>
          <w:tcPr>
            <w:tcW w:w="553" w:type="pct"/>
            <w:tcBorders>
              <w:top w:val="nil"/>
              <w:left w:val="nil"/>
              <w:bottom w:val="single" w:sz="4" w:space="0" w:color="auto"/>
              <w:right w:val="single" w:sz="4" w:space="0" w:color="auto"/>
            </w:tcBorders>
            <w:shd w:val="clear" w:color="auto" w:fill="auto"/>
            <w:vAlign w:val="center"/>
          </w:tcPr>
          <w:p w14:paraId="3613ACD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3.76E-08</w:t>
            </w:r>
          </w:p>
        </w:tc>
        <w:tc>
          <w:tcPr>
            <w:tcW w:w="553" w:type="pct"/>
            <w:tcBorders>
              <w:top w:val="nil"/>
              <w:left w:val="nil"/>
              <w:bottom w:val="single" w:sz="4" w:space="0" w:color="auto"/>
              <w:right w:val="single" w:sz="4" w:space="0" w:color="auto"/>
            </w:tcBorders>
            <w:shd w:val="clear" w:color="auto" w:fill="auto"/>
          </w:tcPr>
          <w:p w14:paraId="2BDA2B3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6BB7B90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5.16E-07</w:t>
            </w:r>
          </w:p>
        </w:tc>
      </w:tr>
      <w:tr w:rsidR="00043F49" w14:paraId="0E6364AF" w14:textId="77777777">
        <w:trPr>
          <w:trHeight w:val="280"/>
        </w:trPr>
        <w:tc>
          <w:tcPr>
            <w:tcW w:w="820" w:type="pct"/>
            <w:vMerge/>
            <w:tcBorders>
              <w:left w:val="single" w:sz="4" w:space="0" w:color="auto"/>
              <w:bottom w:val="single" w:sz="4" w:space="0" w:color="auto"/>
              <w:right w:val="single" w:sz="4" w:space="0" w:color="auto"/>
            </w:tcBorders>
          </w:tcPr>
          <w:p w14:paraId="4BE82628"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240C9ECF"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15–&lt;18</w:t>
            </w:r>
          </w:p>
        </w:tc>
        <w:tc>
          <w:tcPr>
            <w:tcW w:w="553" w:type="pct"/>
            <w:tcBorders>
              <w:top w:val="nil"/>
              <w:left w:val="nil"/>
              <w:bottom w:val="single" w:sz="4" w:space="0" w:color="auto"/>
              <w:right w:val="single" w:sz="4" w:space="0" w:color="auto"/>
            </w:tcBorders>
            <w:shd w:val="clear" w:color="auto" w:fill="auto"/>
            <w:vAlign w:val="center"/>
          </w:tcPr>
          <w:p w14:paraId="13352040"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1.25E-07</w:t>
            </w:r>
          </w:p>
        </w:tc>
        <w:tc>
          <w:tcPr>
            <w:tcW w:w="553" w:type="pct"/>
            <w:tcBorders>
              <w:top w:val="nil"/>
              <w:left w:val="nil"/>
              <w:bottom w:val="single" w:sz="4" w:space="0" w:color="auto"/>
              <w:right w:val="single" w:sz="4" w:space="0" w:color="auto"/>
            </w:tcBorders>
            <w:shd w:val="clear" w:color="auto" w:fill="auto"/>
            <w:vAlign w:val="center"/>
          </w:tcPr>
          <w:p w14:paraId="782301C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9.55E-08</w:t>
            </w:r>
          </w:p>
        </w:tc>
        <w:tc>
          <w:tcPr>
            <w:tcW w:w="553" w:type="pct"/>
            <w:tcBorders>
              <w:top w:val="nil"/>
              <w:left w:val="nil"/>
              <w:bottom w:val="single" w:sz="4" w:space="0" w:color="auto"/>
              <w:right w:val="single" w:sz="4" w:space="0" w:color="auto"/>
            </w:tcBorders>
            <w:shd w:val="clear" w:color="auto" w:fill="auto"/>
            <w:vAlign w:val="center"/>
          </w:tcPr>
          <w:p w14:paraId="72090B68"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1.71E-07</w:t>
            </w:r>
          </w:p>
        </w:tc>
        <w:tc>
          <w:tcPr>
            <w:tcW w:w="553" w:type="pct"/>
            <w:tcBorders>
              <w:top w:val="nil"/>
              <w:left w:val="nil"/>
              <w:bottom w:val="single" w:sz="4" w:space="0" w:color="auto"/>
              <w:right w:val="single" w:sz="4" w:space="0" w:color="auto"/>
            </w:tcBorders>
            <w:shd w:val="clear" w:color="auto" w:fill="auto"/>
            <w:vAlign w:val="center"/>
          </w:tcPr>
          <w:p w14:paraId="6007916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3.08E-08</w:t>
            </w:r>
          </w:p>
        </w:tc>
        <w:tc>
          <w:tcPr>
            <w:tcW w:w="553" w:type="pct"/>
            <w:tcBorders>
              <w:top w:val="nil"/>
              <w:left w:val="nil"/>
              <w:bottom w:val="single" w:sz="4" w:space="0" w:color="auto"/>
              <w:right w:val="single" w:sz="4" w:space="0" w:color="auto"/>
            </w:tcBorders>
            <w:shd w:val="clear" w:color="auto" w:fill="auto"/>
          </w:tcPr>
          <w:p w14:paraId="1D615F8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3B9997D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4.22E-07</w:t>
            </w:r>
          </w:p>
        </w:tc>
      </w:tr>
      <w:tr w:rsidR="00043F49" w14:paraId="0D08168D" w14:textId="77777777">
        <w:trPr>
          <w:trHeight w:val="280"/>
        </w:trPr>
        <w:tc>
          <w:tcPr>
            <w:tcW w:w="820" w:type="pct"/>
            <w:vMerge w:val="restart"/>
            <w:tcBorders>
              <w:top w:val="nil"/>
              <w:left w:val="single" w:sz="4" w:space="0" w:color="auto"/>
              <w:right w:val="single" w:sz="4" w:space="0" w:color="auto"/>
            </w:tcBorders>
          </w:tcPr>
          <w:p w14:paraId="161A42E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eastAsia="等线" w:hAnsiTheme="majorBidi" w:cstheme="majorBidi"/>
                <w:color w:val="000000" w:themeColor="text1"/>
                <w:kern w:val="0"/>
                <w:sz w:val="20"/>
                <w:szCs w:val="20"/>
                <w:lang w:bidi="he-IL"/>
              </w:rPr>
              <w:t xml:space="preserve">Inhalation </w:t>
            </w:r>
          </w:p>
        </w:tc>
        <w:tc>
          <w:tcPr>
            <w:tcW w:w="820" w:type="pct"/>
            <w:tcBorders>
              <w:top w:val="nil"/>
              <w:left w:val="single" w:sz="4" w:space="0" w:color="auto"/>
              <w:bottom w:val="single" w:sz="4" w:space="0" w:color="auto"/>
              <w:right w:val="single" w:sz="4" w:space="0" w:color="auto"/>
            </w:tcBorders>
            <w:shd w:val="clear" w:color="auto" w:fill="auto"/>
            <w:vAlign w:val="center"/>
          </w:tcPr>
          <w:p w14:paraId="08863E2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2–&lt;3</w:t>
            </w:r>
          </w:p>
        </w:tc>
        <w:tc>
          <w:tcPr>
            <w:tcW w:w="553" w:type="pct"/>
            <w:tcBorders>
              <w:top w:val="nil"/>
              <w:left w:val="nil"/>
              <w:bottom w:val="single" w:sz="4" w:space="0" w:color="auto"/>
              <w:right w:val="single" w:sz="4" w:space="0" w:color="auto"/>
            </w:tcBorders>
            <w:shd w:val="clear" w:color="auto" w:fill="auto"/>
            <w:noWrap/>
            <w:vAlign w:val="center"/>
          </w:tcPr>
          <w:p w14:paraId="210B905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6.89E-06</w:t>
            </w:r>
          </w:p>
        </w:tc>
        <w:tc>
          <w:tcPr>
            <w:tcW w:w="553" w:type="pct"/>
            <w:tcBorders>
              <w:top w:val="nil"/>
              <w:left w:val="nil"/>
              <w:bottom w:val="single" w:sz="4" w:space="0" w:color="auto"/>
              <w:right w:val="single" w:sz="4" w:space="0" w:color="auto"/>
            </w:tcBorders>
            <w:shd w:val="clear" w:color="auto" w:fill="auto"/>
            <w:noWrap/>
          </w:tcPr>
          <w:p w14:paraId="53AD7DEC"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41C4AD89"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314242B4"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5605B660"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1.10E-07</w:t>
            </w:r>
          </w:p>
        </w:tc>
        <w:tc>
          <w:tcPr>
            <w:tcW w:w="595" w:type="pct"/>
            <w:tcBorders>
              <w:top w:val="nil"/>
              <w:left w:val="nil"/>
              <w:bottom w:val="single" w:sz="4" w:space="0" w:color="auto"/>
              <w:right w:val="single" w:sz="4" w:space="0" w:color="auto"/>
            </w:tcBorders>
            <w:vAlign w:val="center"/>
          </w:tcPr>
          <w:p w14:paraId="3432698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7.00E-06</w:t>
            </w:r>
          </w:p>
        </w:tc>
      </w:tr>
      <w:tr w:rsidR="00043F49" w14:paraId="10C50C1D" w14:textId="77777777">
        <w:trPr>
          <w:trHeight w:val="280"/>
        </w:trPr>
        <w:tc>
          <w:tcPr>
            <w:tcW w:w="820" w:type="pct"/>
            <w:vMerge/>
            <w:tcBorders>
              <w:left w:val="single" w:sz="4" w:space="0" w:color="auto"/>
              <w:right w:val="single" w:sz="4" w:space="0" w:color="auto"/>
            </w:tcBorders>
          </w:tcPr>
          <w:p w14:paraId="0A55C7EA"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17E3015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3–&lt;4</w:t>
            </w:r>
          </w:p>
        </w:tc>
        <w:tc>
          <w:tcPr>
            <w:tcW w:w="553" w:type="pct"/>
            <w:tcBorders>
              <w:top w:val="nil"/>
              <w:left w:val="nil"/>
              <w:bottom w:val="single" w:sz="4" w:space="0" w:color="auto"/>
              <w:right w:val="single" w:sz="4" w:space="0" w:color="auto"/>
            </w:tcBorders>
            <w:shd w:val="clear" w:color="auto" w:fill="auto"/>
            <w:noWrap/>
            <w:vAlign w:val="center"/>
          </w:tcPr>
          <w:p w14:paraId="7AB69228"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5.01E-06</w:t>
            </w:r>
          </w:p>
        </w:tc>
        <w:tc>
          <w:tcPr>
            <w:tcW w:w="553" w:type="pct"/>
            <w:tcBorders>
              <w:top w:val="nil"/>
              <w:left w:val="nil"/>
              <w:bottom w:val="single" w:sz="4" w:space="0" w:color="auto"/>
              <w:right w:val="single" w:sz="4" w:space="0" w:color="auto"/>
            </w:tcBorders>
            <w:shd w:val="clear" w:color="auto" w:fill="auto"/>
            <w:noWrap/>
          </w:tcPr>
          <w:p w14:paraId="491213E6"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559232B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64AFD63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48B8F57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7.58E-08</w:t>
            </w:r>
          </w:p>
        </w:tc>
        <w:tc>
          <w:tcPr>
            <w:tcW w:w="595" w:type="pct"/>
            <w:tcBorders>
              <w:top w:val="nil"/>
              <w:left w:val="nil"/>
              <w:bottom w:val="single" w:sz="4" w:space="0" w:color="auto"/>
              <w:right w:val="single" w:sz="4" w:space="0" w:color="auto"/>
            </w:tcBorders>
            <w:vAlign w:val="center"/>
          </w:tcPr>
          <w:p w14:paraId="7AAE6E2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5.08E-06</w:t>
            </w:r>
          </w:p>
        </w:tc>
      </w:tr>
      <w:tr w:rsidR="00043F49" w14:paraId="7F150F0E" w14:textId="77777777">
        <w:trPr>
          <w:trHeight w:val="280"/>
        </w:trPr>
        <w:tc>
          <w:tcPr>
            <w:tcW w:w="820" w:type="pct"/>
            <w:vMerge/>
            <w:tcBorders>
              <w:left w:val="single" w:sz="4" w:space="0" w:color="auto"/>
              <w:right w:val="single" w:sz="4" w:space="0" w:color="auto"/>
            </w:tcBorders>
          </w:tcPr>
          <w:p w14:paraId="726E79B1"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133F6E3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4–&lt;5</w:t>
            </w:r>
          </w:p>
        </w:tc>
        <w:tc>
          <w:tcPr>
            <w:tcW w:w="553" w:type="pct"/>
            <w:tcBorders>
              <w:top w:val="nil"/>
              <w:left w:val="nil"/>
              <w:bottom w:val="single" w:sz="4" w:space="0" w:color="auto"/>
              <w:right w:val="single" w:sz="4" w:space="0" w:color="auto"/>
            </w:tcBorders>
            <w:shd w:val="clear" w:color="auto" w:fill="auto"/>
            <w:noWrap/>
            <w:vAlign w:val="center"/>
          </w:tcPr>
          <w:p w14:paraId="03750C9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5.83E-06</w:t>
            </w:r>
          </w:p>
        </w:tc>
        <w:tc>
          <w:tcPr>
            <w:tcW w:w="553" w:type="pct"/>
            <w:tcBorders>
              <w:top w:val="nil"/>
              <w:left w:val="nil"/>
              <w:bottom w:val="single" w:sz="4" w:space="0" w:color="auto"/>
              <w:right w:val="single" w:sz="4" w:space="0" w:color="auto"/>
            </w:tcBorders>
            <w:shd w:val="clear" w:color="auto" w:fill="auto"/>
            <w:noWrap/>
          </w:tcPr>
          <w:p w14:paraId="3C704B4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3B03CD0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1BDCC21C"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7F0F73BA"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6.48E-08</w:t>
            </w:r>
          </w:p>
        </w:tc>
        <w:tc>
          <w:tcPr>
            <w:tcW w:w="595" w:type="pct"/>
            <w:tcBorders>
              <w:top w:val="nil"/>
              <w:left w:val="nil"/>
              <w:bottom w:val="single" w:sz="4" w:space="0" w:color="auto"/>
              <w:right w:val="single" w:sz="4" w:space="0" w:color="auto"/>
            </w:tcBorders>
            <w:vAlign w:val="center"/>
          </w:tcPr>
          <w:p w14:paraId="0ED79252"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5.89E-06</w:t>
            </w:r>
          </w:p>
        </w:tc>
      </w:tr>
      <w:tr w:rsidR="00043F49" w14:paraId="4609AC2B" w14:textId="77777777">
        <w:trPr>
          <w:trHeight w:val="280"/>
        </w:trPr>
        <w:tc>
          <w:tcPr>
            <w:tcW w:w="820" w:type="pct"/>
            <w:vMerge/>
            <w:tcBorders>
              <w:left w:val="single" w:sz="4" w:space="0" w:color="auto"/>
              <w:right w:val="single" w:sz="4" w:space="0" w:color="auto"/>
            </w:tcBorders>
          </w:tcPr>
          <w:p w14:paraId="65EF7FEC"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300B7A0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5–&lt;6</w:t>
            </w:r>
          </w:p>
        </w:tc>
        <w:tc>
          <w:tcPr>
            <w:tcW w:w="553" w:type="pct"/>
            <w:tcBorders>
              <w:top w:val="nil"/>
              <w:left w:val="nil"/>
              <w:bottom w:val="single" w:sz="4" w:space="0" w:color="auto"/>
              <w:right w:val="single" w:sz="4" w:space="0" w:color="auto"/>
            </w:tcBorders>
            <w:shd w:val="clear" w:color="auto" w:fill="auto"/>
            <w:noWrap/>
            <w:vAlign w:val="center"/>
          </w:tcPr>
          <w:p w14:paraId="4355D4C2"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4.14E-06</w:t>
            </w:r>
          </w:p>
        </w:tc>
        <w:tc>
          <w:tcPr>
            <w:tcW w:w="553" w:type="pct"/>
            <w:tcBorders>
              <w:top w:val="nil"/>
              <w:left w:val="nil"/>
              <w:bottom w:val="single" w:sz="4" w:space="0" w:color="auto"/>
              <w:right w:val="single" w:sz="4" w:space="0" w:color="auto"/>
            </w:tcBorders>
            <w:shd w:val="clear" w:color="auto" w:fill="auto"/>
            <w:noWrap/>
          </w:tcPr>
          <w:p w14:paraId="4ECFEB5F"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19856DA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2ECBBCB0"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591287C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4.94E-08</w:t>
            </w:r>
          </w:p>
        </w:tc>
        <w:tc>
          <w:tcPr>
            <w:tcW w:w="595" w:type="pct"/>
            <w:tcBorders>
              <w:top w:val="nil"/>
              <w:left w:val="nil"/>
              <w:bottom w:val="single" w:sz="4" w:space="0" w:color="auto"/>
              <w:right w:val="single" w:sz="4" w:space="0" w:color="auto"/>
            </w:tcBorders>
            <w:vAlign w:val="center"/>
          </w:tcPr>
          <w:p w14:paraId="36F0917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4.19E-06</w:t>
            </w:r>
          </w:p>
        </w:tc>
      </w:tr>
      <w:tr w:rsidR="00043F49" w14:paraId="29EBA231" w14:textId="77777777">
        <w:trPr>
          <w:trHeight w:val="280"/>
        </w:trPr>
        <w:tc>
          <w:tcPr>
            <w:tcW w:w="820" w:type="pct"/>
            <w:vMerge/>
            <w:tcBorders>
              <w:left w:val="single" w:sz="4" w:space="0" w:color="auto"/>
              <w:right w:val="single" w:sz="4" w:space="0" w:color="auto"/>
            </w:tcBorders>
          </w:tcPr>
          <w:p w14:paraId="7C1EC5F5"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439D4E20"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6–&lt;9</w:t>
            </w:r>
          </w:p>
        </w:tc>
        <w:tc>
          <w:tcPr>
            <w:tcW w:w="553" w:type="pct"/>
            <w:tcBorders>
              <w:top w:val="nil"/>
              <w:left w:val="nil"/>
              <w:bottom w:val="single" w:sz="4" w:space="0" w:color="auto"/>
              <w:right w:val="single" w:sz="4" w:space="0" w:color="auto"/>
            </w:tcBorders>
            <w:shd w:val="clear" w:color="auto" w:fill="auto"/>
            <w:noWrap/>
            <w:vAlign w:val="center"/>
          </w:tcPr>
          <w:p w14:paraId="04CB00D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2.53E-05</w:t>
            </w:r>
          </w:p>
        </w:tc>
        <w:tc>
          <w:tcPr>
            <w:tcW w:w="553" w:type="pct"/>
            <w:tcBorders>
              <w:top w:val="nil"/>
              <w:left w:val="nil"/>
              <w:bottom w:val="single" w:sz="4" w:space="0" w:color="auto"/>
              <w:right w:val="single" w:sz="4" w:space="0" w:color="auto"/>
            </w:tcBorders>
            <w:shd w:val="clear" w:color="auto" w:fill="auto"/>
            <w:noWrap/>
          </w:tcPr>
          <w:p w14:paraId="7AECCC96"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6971A06F"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4724AB99"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64D7EE4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2.05E-07</w:t>
            </w:r>
          </w:p>
        </w:tc>
        <w:tc>
          <w:tcPr>
            <w:tcW w:w="595" w:type="pct"/>
            <w:tcBorders>
              <w:top w:val="nil"/>
              <w:left w:val="nil"/>
              <w:bottom w:val="single" w:sz="4" w:space="0" w:color="auto"/>
              <w:right w:val="single" w:sz="4" w:space="0" w:color="auto"/>
            </w:tcBorders>
            <w:vAlign w:val="center"/>
          </w:tcPr>
          <w:p w14:paraId="4ADD615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2.55E-05</w:t>
            </w:r>
          </w:p>
        </w:tc>
      </w:tr>
      <w:tr w:rsidR="00043F49" w14:paraId="64DF2D85" w14:textId="77777777">
        <w:trPr>
          <w:trHeight w:val="280"/>
        </w:trPr>
        <w:tc>
          <w:tcPr>
            <w:tcW w:w="820" w:type="pct"/>
            <w:vMerge/>
            <w:tcBorders>
              <w:left w:val="single" w:sz="4" w:space="0" w:color="auto"/>
              <w:right w:val="single" w:sz="4" w:space="0" w:color="auto"/>
            </w:tcBorders>
          </w:tcPr>
          <w:p w14:paraId="4FBA0100"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2DC5369E"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9–&lt;12</w:t>
            </w:r>
          </w:p>
        </w:tc>
        <w:tc>
          <w:tcPr>
            <w:tcW w:w="553" w:type="pct"/>
            <w:tcBorders>
              <w:top w:val="nil"/>
              <w:left w:val="nil"/>
              <w:bottom w:val="single" w:sz="4" w:space="0" w:color="auto"/>
              <w:right w:val="single" w:sz="4" w:space="0" w:color="auto"/>
            </w:tcBorders>
            <w:shd w:val="clear" w:color="auto" w:fill="auto"/>
            <w:noWrap/>
            <w:vAlign w:val="center"/>
          </w:tcPr>
          <w:p w14:paraId="01CD082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2.21E-05</w:t>
            </w:r>
          </w:p>
        </w:tc>
        <w:tc>
          <w:tcPr>
            <w:tcW w:w="553" w:type="pct"/>
            <w:tcBorders>
              <w:top w:val="nil"/>
              <w:left w:val="nil"/>
              <w:bottom w:val="single" w:sz="4" w:space="0" w:color="auto"/>
              <w:right w:val="single" w:sz="4" w:space="0" w:color="auto"/>
            </w:tcBorders>
            <w:shd w:val="clear" w:color="auto" w:fill="auto"/>
            <w:noWrap/>
          </w:tcPr>
          <w:p w14:paraId="31BF190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0B2F5532"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31E4261F"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18974DA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1.28E-07</w:t>
            </w:r>
          </w:p>
        </w:tc>
        <w:tc>
          <w:tcPr>
            <w:tcW w:w="595" w:type="pct"/>
            <w:tcBorders>
              <w:top w:val="nil"/>
              <w:left w:val="nil"/>
              <w:bottom w:val="single" w:sz="4" w:space="0" w:color="auto"/>
              <w:right w:val="single" w:sz="4" w:space="0" w:color="auto"/>
            </w:tcBorders>
            <w:vAlign w:val="center"/>
          </w:tcPr>
          <w:p w14:paraId="7F89CF3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2.22E-05</w:t>
            </w:r>
          </w:p>
        </w:tc>
      </w:tr>
      <w:tr w:rsidR="00043F49" w14:paraId="55633F54" w14:textId="77777777">
        <w:trPr>
          <w:trHeight w:val="280"/>
        </w:trPr>
        <w:tc>
          <w:tcPr>
            <w:tcW w:w="820" w:type="pct"/>
            <w:vMerge/>
            <w:tcBorders>
              <w:left w:val="single" w:sz="4" w:space="0" w:color="auto"/>
              <w:right w:val="single" w:sz="4" w:space="0" w:color="auto"/>
            </w:tcBorders>
          </w:tcPr>
          <w:p w14:paraId="60E23E87"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62859A81"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12–&lt;15</w:t>
            </w:r>
          </w:p>
        </w:tc>
        <w:tc>
          <w:tcPr>
            <w:tcW w:w="553" w:type="pct"/>
            <w:tcBorders>
              <w:top w:val="nil"/>
              <w:left w:val="nil"/>
              <w:bottom w:val="single" w:sz="4" w:space="0" w:color="auto"/>
              <w:right w:val="single" w:sz="4" w:space="0" w:color="auto"/>
            </w:tcBorders>
            <w:shd w:val="clear" w:color="auto" w:fill="auto"/>
            <w:noWrap/>
            <w:vAlign w:val="center"/>
          </w:tcPr>
          <w:p w14:paraId="3A85426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2.22E-05</w:t>
            </w:r>
          </w:p>
        </w:tc>
        <w:tc>
          <w:tcPr>
            <w:tcW w:w="553" w:type="pct"/>
            <w:tcBorders>
              <w:top w:val="nil"/>
              <w:left w:val="nil"/>
              <w:bottom w:val="single" w:sz="4" w:space="0" w:color="auto"/>
              <w:right w:val="single" w:sz="4" w:space="0" w:color="auto"/>
            </w:tcBorders>
            <w:shd w:val="clear" w:color="auto" w:fill="auto"/>
            <w:noWrap/>
          </w:tcPr>
          <w:p w14:paraId="2551F0DE"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53924100"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2CD47A5D"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6E6701B2"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8.57E-08</w:t>
            </w:r>
          </w:p>
        </w:tc>
        <w:tc>
          <w:tcPr>
            <w:tcW w:w="595" w:type="pct"/>
            <w:tcBorders>
              <w:top w:val="nil"/>
              <w:left w:val="nil"/>
              <w:bottom w:val="single" w:sz="4" w:space="0" w:color="auto"/>
              <w:right w:val="single" w:sz="4" w:space="0" w:color="auto"/>
            </w:tcBorders>
            <w:vAlign w:val="center"/>
          </w:tcPr>
          <w:p w14:paraId="00B9078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2.23E-05</w:t>
            </w:r>
          </w:p>
        </w:tc>
      </w:tr>
      <w:tr w:rsidR="00043F49" w14:paraId="77DCA2EF" w14:textId="77777777">
        <w:trPr>
          <w:trHeight w:val="280"/>
        </w:trPr>
        <w:tc>
          <w:tcPr>
            <w:tcW w:w="820" w:type="pct"/>
            <w:vMerge/>
            <w:tcBorders>
              <w:left w:val="single" w:sz="4" w:space="0" w:color="auto"/>
              <w:bottom w:val="single" w:sz="4" w:space="0" w:color="auto"/>
              <w:right w:val="single" w:sz="4" w:space="0" w:color="auto"/>
            </w:tcBorders>
          </w:tcPr>
          <w:p w14:paraId="5B815F91"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0D3C321E"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15–&lt;18</w:t>
            </w:r>
          </w:p>
        </w:tc>
        <w:tc>
          <w:tcPr>
            <w:tcW w:w="553" w:type="pct"/>
            <w:tcBorders>
              <w:top w:val="nil"/>
              <w:left w:val="nil"/>
              <w:bottom w:val="single" w:sz="4" w:space="0" w:color="auto"/>
              <w:right w:val="single" w:sz="4" w:space="0" w:color="auto"/>
            </w:tcBorders>
            <w:shd w:val="clear" w:color="auto" w:fill="auto"/>
            <w:noWrap/>
            <w:vAlign w:val="center"/>
          </w:tcPr>
          <w:p w14:paraId="595B66B7"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1.61E-05</w:t>
            </w:r>
          </w:p>
        </w:tc>
        <w:tc>
          <w:tcPr>
            <w:tcW w:w="553" w:type="pct"/>
            <w:tcBorders>
              <w:top w:val="nil"/>
              <w:left w:val="nil"/>
              <w:bottom w:val="single" w:sz="4" w:space="0" w:color="auto"/>
              <w:right w:val="single" w:sz="4" w:space="0" w:color="auto"/>
            </w:tcBorders>
            <w:shd w:val="clear" w:color="auto" w:fill="auto"/>
            <w:noWrap/>
          </w:tcPr>
          <w:p w14:paraId="22804EB4"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2F580929"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tcPr>
          <w:p w14:paraId="5F644575"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24C971FF"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6.67E-08</w:t>
            </w:r>
          </w:p>
        </w:tc>
        <w:tc>
          <w:tcPr>
            <w:tcW w:w="595" w:type="pct"/>
            <w:tcBorders>
              <w:top w:val="nil"/>
              <w:left w:val="nil"/>
              <w:bottom w:val="single" w:sz="4" w:space="0" w:color="auto"/>
              <w:right w:val="single" w:sz="4" w:space="0" w:color="auto"/>
            </w:tcBorders>
            <w:vAlign w:val="center"/>
          </w:tcPr>
          <w:p w14:paraId="5F270AF8"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1.62E-05</w:t>
            </w:r>
          </w:p>
        </w:tc>
      </w:tr>
      <w:tr w:rsidR="00043F49" w14:paraId="7331D774" w14:textId="77777777">
        <w:trPr>
          <w:trHeight w:val="280"/>
        </w:trPr>
        <w:tc>
          <w:tcPr>
            <w:tcW w:w="820" w:type="pct"/>
            <w:vMerge w:val="restart"/>
            <w:tcBorders>
              <w:top w:val="nil"/>
              <w:left w:val="single" w:sz="4" w:space="0" w:color="auto"/>
              <w:right w:val="single" w:sz="4" w:space="0" w:color="auto"/>
            </w:tcBorders>
          </w:tcPr>
          <w:p w14:paraId="666398A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eastAsia="等线" w:hAnsiTheme="majorBidi" w:cstheme="majorBidi"/>
                <w:color w:val="000000" w:themeColor="text1"/>
                <w:kern w:val="0"/>
                <w:sz w:val="20"/>
                <w:szCs w:val="20"/>
                <w:lang w:bidi="he-IL"/>
              </w:rPr>
              <w:t>Dermal contact</w:t>
            </w:r>
          </w:p>
        </w:tc>
        <w:tc>
          <w:tcPr>
            <w:tcW w:w="820" w:type="pct"/>
            <w:tcBorders>
              <w:top w:val="nil"/>
              <w:left w:val="single" w:sz="4" w:space="0" w:color="auto"/>
              <w:bottom w:val="single" w:sz="4" w:space="0" w:color="auto"/>
              <w:right w:val="single" w:sz="4" w:space="0" w:color="auto"/>
            </w:tcBorders>
            <w:shd w:val="clear" w:color="auto" w:fill="auto"/>
            <w:vAlign w:val="center"/>
          </w:tcPr>
          <w:p w14:paraId="15E4BD0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2–&lt;3</w:t>
            </w:r>
          </w:p>
        </w:tc>
        <w:tc>
          <w:tcPr>
            <w:tcW w:w="553" w:type="pct"/>
            <w:tcBorders>
              <w:top w:val="nil"/>
              <w:left w:val="nil"/>
              <w:bottom w:val="single" w:sz="4" w:space="0" w:color="auto"/>
              <w:right w:val="single" w:sz="4" w:space="0" w:color="auto"/>
            </w:tcBorders>
            <w:shd w:val="clear" w:color="auto" w:fill="auto"/>
            <w:noWrap/>
            <w:vAlign w:val="center"/>
          </w:tcPr>
          <w:p w14:paraId="033568E7"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1.79E-07</w:t>
            </w:r>
          </w:p>
        </w:tc>
        <w:tc>
          <w:tcPr>
            <w:tcW w:w="553" w:type="pct"/>
            <w:tcBorders>
              <w:top w:val="nil"/>
              <w:left w:val="nil"/>
              <w:bottom w:val="single" w:sz="4" w:space="0" w:color="auto"/>
              <w:right w:val="single" w:sz="4" w:space="0" w:color="auto"/>
            </w:tcBorders>
            <w:shd w:val="clear" w:color="auto" w:fill="auto"/>
            <w:noWrap/>
            <w:vAlign w:val="center"/>
          </w:tcPr>
          <w:p w14:paraId="33061CD7"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9.37E-08</w:t>
            </w:r>
          </w:p>
        </w:tc>
        <w:tc>
          <w:tcPr>
            <w:tcW w:w="553" w:type="pct"/>
            <w:tcBorders>
              <w:top w:val="nil"/>
              <w:left w:val="nil"/>
              <w:bottom w:val="single" w:sz="4" w:space="0" w:color="auto"/>
              <w:right w:val="single" w:sz="4" w:space="0" w:color="auto"/>
            </w:tcBorders>
            <w:shd w:val="clear" w:color="auto" w:fill="auto"/>
            <w:noWrap/>
          </w:tcPr>
          <w:p w14:paraId="0C8D436C"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22602C26"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1.19E-06</w:t>
            </w:r>
          </w:p>
        </w:tc>
        <w:tc>
          <w:tcPr>
            <w:tcW w:w="553" w:type="pct"/>
            <w:tcBorders>
              <w:top w:val="nil"/>
              <w:left w:val="nil"/>
              <w:bottom w:val="single" w:sz="4" w:space="0" w:color="auto"/>
              <w:right w:val="single" w:sz="4" w:space="0" w:color="auto"/>
            </w:tcBorders>
            <w:shd w:val="clear" w:color="auto" w:fill="auto"/>
            <w:noWrap/>
          </w:tcPr>
          <w:p w14:paraId="5E8A8432"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02FE5C9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1.46E-06</w:t>
            </w:r>
          </w:p>
        </w:tc>
      </w:tr>
      <w:tr w:rsidR="00043F49" w14:paraId="7D760453" w14:textId="77777777">
        <w:trPr>
          <w:trHeight w:val="280"/>
        </w:trPr>
        <w:tc>
          <w:tcPr>
            <w:tcW w:w="820" w:type="pct"/>
            <w:vMerge/>
            <w:tcBorders>
              <w:left w:val="single" w:sz="4" w:space="0" w:color="auto"/>
              <w:right w:val="single" w:sz="4" w:space="0" w:color="auto"/>
            </w:tcBorders>
          </w:tcPr>
          <w:p w14:paraId="5A23607F"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1A39D38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3–&lt;4</w:t>
            </w:r>
          </w:p>
        </w:tc>
        <w:tc>
          <w:tcPr>
            <w:tcW w:w="553" w:type="pct"/>
            <w:tcBorders>
              <w:top w:val="nil"/>
              <w:left w:val="nil"/>
              <w:bottom w:val="single" w:sz="4" w:space="0" w:color="auto"/>
              <w:right w:val="single" w:sz="4" w:space="0" w:color="auto"/>
            </w:tcBorders>
            <w:shd w:val="clear" w:color="auto" w:fill="auto"/>
            <w:noWrap/>
            <w:vAlign w:val="center"/>
          </w:tcPr>
          <w:p w14:paraId="3774073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1.31E-07</w:t>
            </w:r>
          </w:p>
        </w:tc>
        <w:tc>
          <w:tcPr>
            <w:tcW w:w="553" w:type="pct"/>
            <w:tcBorders>
              <w:top w:val="nil"/>
              <w:left w:val="nil"/>
              <w:bottom w:val="single" w:sz="4" w:space="0" w:color="auto"/>
              <w:right w:val="single" w:sz="4" w:space="0" w:color="auto"/>
            </w:tcBorders>
            <w:shd w:val="clear" w:color="auto" w:fill="auto"/>
            <w:noWrap/>
            <w:vAlign w:val="center"/>
          </w:tcPr>
          <w:p w14:paraId="7946369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6.87E-08</w:t>
            </w:r>
          </w:p>
        </w:tc>
        <w:tc>
          <w:tcPr>
            <w:tcW w:w="553" w:type="pct"/>
            <w:tcBorders>
              <w:top w:val="nil"/>
              <w:left w:val="nil"/>
              <w:bottom w:val="single" w:sz="4" w:space="0" w:color="auto"/>
              <w:right w:val="single" w:sz="4" w:space="0" w:color="auto"/>
            </w:tcBorders>
            <w:shd w:val="clear" w:color="auto" w:fill="auto"/>
            <w:noWrap/>
          </w:tcPr>
          <w:p w14:paraId="15A8A4EF"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01CC1E4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3.94E-07</w:t>
            </w:r>
          </w:p>
        </w:tc>
        <w:tc>
          <w:tcPr>
            <w:tcW w:w="553" w:type="pct"/>
            <w:tcBorders>
              <w:top w:val="nil"/>
              <w:left w:val="nil"/>
              <w:bottom w:val="single" w:sz="4" w:space="0" w:color="auto"/>
              <w:right w:val="single" w:sz="4" w:space="0" w:color="auto"/>
            </w:tcBorders>
            <w:shd w:val="clear" w:color="auto" w:fill="auto"/>
            <w:noWrap/>
          </w:tcPr>
          <w:p w14:paraId="0EB3094D"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05789197"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5.93E-07</w:t>
            </w:r>
          </w:p>
        </w:tc>
      </w:tr>
      <w:tr w:rsidR="00043F49" w14:paraId="1BAC40F0" w14:textId="77777777">
        <w:trPr>
          <w:trHeight w:val="280"/>
        </w:trPr>
        <w:tc>
          <w:tcPr>
            <w:tcW w:w="820" w:type="pct"/>
            <w:vMerge/>
            <w:tcBorders>
              <w:left w:val="single" w:sz="4" w:space="0" w:color="auto"/>
              <w:right w:val="single" w:sz="4" w:space="0" w:color="auto"/>
            </w:tcBorders>
          </w:tcPr>
          <w:p w14:paraId="3390E661"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58E2E56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4–&lt;5</w:t>
            </w:r>
          </w:p>
        </w:tc>
        <w:tc>
          <w:tcPr>
            <w:tcW w:w="553" w:type="pct"/>
            <w:tcBorders>
              <w:top w:val="nil"/>
              <w:left w:val="nil"/>
              <w:bottom w:val="single" w:sz="4" w:space="0" w:color="auto"/>
              <w:right w:val="single" w:sz="4" w:space="0" w:color="auto"/>
            </w:tcBorders>
            <w:shd w:val="clear" w:color="auto" w:fill="auto"/>
            <w:noWrap/>
            <w:vAlign w:val="center"/>
          </w:tcPr>
          <w:p w14:paraId="1386F21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1.05E-07</w:t>
            </w:r>
          </w:p>
        </w:tc>
        <w:tc>
          <w:tcPr>
            <w:tcW w:w="553" w:type="pct"/>
            <w:tcBorders>
              <w:top w:val="nil"/>
              <w:left w:val="nil"/>
              <w:bottom w:val="single" w:sz="4" w:space="0" w:color="auto"/>
              <w:right w:val="single" w:sz="4" w:space="0" w:color="auto"/>
            </w:tcBorders>
            <w:shd w:val="clear" w:color="auto" w:fill="auto"/>
            <w:noWrap/>
            <w:vAlign w:val="center"/>
          </w:tcPr>
          <w:p w14:paraId="3B0312A2"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5.49E-08</w:t>
            </w:r>
          </w:p>
        </w:tc>
        <w:tc>
          <w:tcPr>
            <w:tcW w:w="553" w:type="pct"/>
            <w:tcBorders>
              <w:top w:val="nil"/>
              <w:left w:val="nil"/>
              <w:bottom w:val="single" w:sz="4" w:space="0" w:color="auto"/>
              <w:right w:val="single" w:sz="4" w:space="0" w:color="auto"/>
            </w:tcBorders>
            <w:shd w:val="clear" w:color="auto" w:fill="auto"/>
            <w:noWrap/>
          </w:tcPr>
          <w:p w14:paraId="7FEEB15B"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0316EE77"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3.15E-07</w:t>
            </w:r>
          </w:p>
        </w:tc>
        <w:tc>
          <w:tcPr>
            <w:tcW w:w="553" w:type="pct"/>
            <w:tcBorders>
              <w:top w:val="nil"/>
              <w:left w:val="nil"/>
              <w:bottom w:val="single" w:sz="4" w:space="0" w:color="auto"/>
              <w:right w:val="single" w:sz="4" w:space="0" w:color="auto"/>
            </w:tcBorders>
            <w:shd w:val="clear" w:color="auto" w:fill="auto"/>
            <w:noWrap/>
          </w:tcPr>
          <w:p w14:paraId="21C70F3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6C9E9AF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4.75E-07</w:t>
            </w:r>
          </w:p>
        </w:tc>
      </w:tr>
      <w:tr w:rsidR="00043F49" w14:paraId="405F2A8A" w14:textId="77777777">
        <w:trPr>
          <w:trHeight w:val="280"/>
        </w:trPr>
        <w:tc>
          <w:tcPr>
            <w:tcW w:w="820" w:type="pct"/>
            <w:vMerge/>
            <w:tcBorders>
              <w:left w:val="single" w:sz="4" w:space="0" w:color="auto"/>
              <w:right w:val="single" w:sz="4" w:space="0" w:color="auto"/>
            </w:tcBorders>
          </w:tcPr>
          <w:p w14:paraId="3A44020B" w14:textId="77777777" w:rsidR="00043F49" w:rsidRDefault="00043F49">
            <w:pPr>
              <w:widowControl/>
              <w:jc w:val="center"/>
              <w:rPr>
                <w:rFonts w:asciiTheme="majorBidi" w:hAnsiTheme="majorBidi" w:cstheme="majorBidi"/>
                <w:color w:val="000000"/>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5E0F251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5–&lt;6</w:t>
            </w:r>
          </w:p>
        </w:tc>
        <w:tc>
          <w:tcPr>
            <w:tcW w:w="553" w:type="pct"/>
            <w:tcBorders>
              <w:top w:val="nil"/>
              <w:left w:val="nil"/>
              <w:bottom w:val="single" w:sz="4" w:space="0" w:color="auto"/>
              <w:right w:val="single" w:sz="4" w:space="0" w:color="auto"/>
            </w:tcBorders>
            <w:shd w:val="clear" w:color="auto" w:fill="auto"/>
            <w:noWrap/>
            <w:vAlign w:val="center"/>
          </w:tcPr>
          <w:p w14:paraId="060E5C3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9.78E-08</w:t>
            </w:r>
          </w:p>
        </w:tc>
        <w:tc>
          <w:tcPr>
            <w:tcW w:w="553" w:type="pct"/>
            <w:tcBorders>
              <w:top w:val="nil"/>
              <w:left w:val="nil"/>
              <w:bottom w:val="single" w:sz="4" w:space="0" w:color="auto"/>
              <w:right w:val="single" w:sz="4" w:space="0" w:color="auto"/>
            </w:tcBorders>
            <w:shd w:val="clear" w:color="auto" w:fill="auto"/>
            <w:noWrap/>
            <w:vAlign w:val="center"/>
          </w:tcPr>
          <w:p w14:paraId="6FF5602E"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5.12E-08</w:t>
            </w:r>
          </w:p>
        </w:tc>
        <w:tc>
          <w:tcPr>
            <w:tcW w:w="553" w:type="pct"/>
            <w:tcBorders>
              <w:top w:val="nil"/>
              <w:left w:val="nil"/>
              <w:bottom w:val="single" w:sz="4" w:space="0" w:color="auto"/>
              <w:right w:val="single" w:sz="4" w:space="0" w:color="auto"/>
            </w:tcBorders>
            <w:shd w:val="clear" w:color="auto" w:fill="auto"/>
            <w:noWrap/>
          </w:tcPr>
          <w:p w14:paraId="3377C49D"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14BE9746"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2.93E-07</w:t>
            </w:r>
          </w:p>
        </w:tc>
        <w:tc>
          <w:tcPr>
            <w:tcW w:w="553" w:type="pct"/>
            <w:tcBorders>
              <w:top w:val="nil"/>
              <w:left w:val="nil"/>
              <w:bottom w:val="single" w:sz="4" w:space="0" w:color="auto"/>
              <w:right w:val="single" w:sz="4" w:space="0" w:color="auto"/>
            </w:tcBorders>
            <w:shd w:val="clear" w:color="auto" w:fill="auto"/>
            <w:noWrap/>
          </w:tcPr>
          <w:p w14:paraId="6EBE22E8"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0F4E0D4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4.42E-07</w:t>
            </w:r>
          </w:p>
        </w:tc>
      </w:tr>
      <w:tr w:rsidR="00043F49" w14:paraId="623DBECC" w14:textId="77777777">
        <w:trPr>
          <w:trHeight w:val="280"/>
        </w:trPr>
        <w:tc>
          <w:tcPr>
            <w:tcW w:w="820" w:type="pct"/>
            <w:vMerge/>
            <w:tcBorders>
              <w:left w:val="single" w:sz="4" w:space="0" w:color="auto"/>
              <w:right w:val="single" w:sz="4" w:space="0" w:color="auto"/>
            </w:tcBorders>
          </w:tcPr>
          <w:p w14:paraId="1DEFC541"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126F0F48"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6–&lt;9</w:t>
            </w:r>
          </w:p>
        </w:tc>
        <w:tc>
          <w:tcPr>
            <w:tcW w:w="553" w:type="pct"/>
            <w:tcBorders>
              <w:top w:val="nil"/>
              <w:left w:val="nil"/>
              <w:bottom w:val="single" w:sz="4" w:space="0" w:color="auto"/>
              <w:right w:val="single" w:sz="4" w:space="0" w:color="auto"/>
            </w:tcBorders>
            <w:shd w:val="clear" w:color="auto" w:fill="auto"/>
            <w:noWrap/>
            <w:vAlign w:val="center"/>
          </w:tcPr>
          <w:p w14:paraId="49A9E744"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2.48E-07</w:t>
            </w:r>
          </w:p>
        </w:tc>
        <w:tc>
          <w:tcPr>
            <w:tcW w:w="553" w:type="pct"/>
            <w:tcBorders>
              <w:top w:val="nil"/>
              <w:left w:val="nil"/>
              <w:bottom w:val="single" w:sz="4" w:space="0" w:color="auto"/>
              <w:right w:val="single" w:sz="4" w:space="0" w:color="auto"/>
            </w:tcBorders>
            <w:shd w:val="clear" w:color="auto" w:fill="auto"/>
            <w:noWrap/>
            <w:vAlign w:val="center"/>
          </w:tcPr>
          <w:p w14:paraId="1619F8B1"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1.30E-07</w:t>
            </w:r>
          </w:p>
        </w:tc>
        <w:tc>
          <w:tcPr>
            <w:tcW w:w="553" w:type="pct"/>
            <w:tcBorders>
              <w:top w:val="nil"/>
              <w:left w:val="nil"/>
              <w:bottom w:val="single" w:sz="4" w:space="0" w:color="auto"/>
              <w:right w:val="single" w:sz="4" w:space="0" w:color="auto"/>
            </w:tcBorders>
            <w:shd w:val="clear" w:color="auto" w:fill="auto"/>
            <w:noWrap/>
          </w:tcPr>
          <w:p w14:paraId="7D6661BC"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5BC0556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7.43E-07</w:t>
            </w:r>
          </w:p>
        </w:tc>
        <w:tc>
          <w:tcPr>
            <w:tcW w:w="553" w:type="pct"/>
            <w:tcBorders>
              <w:top w:val="nil"/>
              <w:left w:val="nil"/>
              <w:bottom w:val="single" w:sz="4" w:space="0" w:color="auto"/>
              <w:right w:val="single" w:sz="4" w:space="0" w:color="auto"/>
            </w:tcBorders>
            <w:shd w:val="clear" w:color="auto" w:fill="auto"/>
            <w:noWrap/>
          </w:tcPr>
          <w:p w14:paraId="7C99C7E7"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3296E78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1.12E-06</w:t>
            </w:r>
          </w:p>
        </w:tc>
      </w:tr>
      <w:tr w:rsidR="00043F49" w14:paraId="6C621BC5" w14:textId="77777777">
        <w:trPr>
          <w:trHeight w:val="280"/>
        </w:trPr>
        <w:tc>
          <w:tcPr>
            <w:tcW w:w="820" w:type="pct"/>
            <w:vMerge/>
            <w:tcBorders>
              <w:left w:val="single" w:sz="4" w:space="0" w:color="auto"/>
              <w:right w:val="single" w:sz="4" w:space="0" w:color="auto"/>
            </w:tcBorders>
          </w:tcPr>
          <w:p w14:paraId="75CD8940"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691740BA"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9–&lt;12</w:t>
            </w:r>
          </w:p>
        </w:tc>
        <w:tc>
          <w:tcPr>
            <w:tcW w:w="553" w:type="pct"/>
            <w:tcBorders>
              <w:top w:val="nil"/>
              <w:left w:val="nil"/>
              <w:bottom w:val="single" w:sz="4" w:space="0" w:color="auto"/>
              <w:right w:val="single" w:sz="4" w:space="0" w:color="auto"/>
            </w:tcBorders>
            <w:shd w:val="clear" w:color="auto" w:fill="auto"/>
            <w:noWrap/>
            <w:vAlign w:val="center"/>
          </w:tcPr>
          <w:p w14:paraId="3C1B0FBD"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2.20E-07</w:t>
            </w:r>
          </w:p>
        </w:tc>
        <w:tc>
          <w:tcPr>
            <w:tcW w:w="553" w:type="pct"/>
            <w:tcBorders>
              <w:top w:val="nil"/>
              <w:left w:val="nil"/>
              <w:bottom w:val="single" w:sz="4" w:space="0" w:color="auto"/>
              <w:right w:val="single" w:sz="4" w:space="0" w:color="auto"/>
            </w:tcBorders>
            <w:shd w:val="clear" w:color="auto" w:fill="auto"/>
            <w:noWrap/>
            <w:vAlign w:val="center"/>
          </w:tcPr>
          <w:p w14:paraId="75379C46"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1.15E-07</w:t>
            </w:r>
          </w:p>
        </w:tc>
        <w:tc>
          <w:tcPr>
            <w:tcW w:w="553" w:type="pct"/>
            <w:tcBorders>
              <w:top w:val="nil"/>
              <w:left w:val="nil"/>
              <w:bottom w:val="single" w:sz="4" w:space="0" w:color="auto"/>
              <w:right w:val="single" w:sz="4" w:space="0" w:color="auto"/>
            </w:tcBorders>
            <w:shd w:val="clear" w:color="auto" w:fill="auto"/>
            <w:noWrap/>
          </w:tcPr>
          <w:p w14:paraId="717328BB"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69EE7F26"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6.61E-07</w:t>
            </w:r>
          </w:p>
        </w:tc>
        <w:tc>
          <w:tcPr>
            <w:tcW w:w="553" w:type="pct"/>
            <w:tcBorders>
              <w:top w:val="nil"/>
              <w:left w:val="nil"/>
              <w:bottom w:val="single" w:sz="4" w:space="0" w:color="auto"/>
              <w:right w:val="single" w:sz="4" w:space="0" w:color="auto"/>
            </w:tcBorders>
            <w:shd w:val="clear" w:color="auto" w:fill="auto"/>
            <w:noWrap/>
          </w:tcPr>
          <w:p w14:paraId="7D90C05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352F2318"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9.96E-07</w:t>
            </w:r>
          </w:p>
        </w:tc>
      </w:tr>
      <w:tr w:rsidR="00043F49" w14:paraId="0F0F7B27" w14:textId="77777777">
        <w:trPr>
          <w:trHeight w:val="280"/>
        </w:trPr>
        <w:tc>
          <w:tcPr>
            <w:tcW w:w="820" w:type="pct"/>
            <w:vMerge/>
            <w:tcBorders>
              <w:left w:val="single" w:sz="4" w:space="0" w:color="auto"/>
              <w:right w:val="single" w:sz="4" w:space="0" w:color="auto"/>
            </w:tcBorders>
          </w:tcPr>
          <w:p w14:paraId="0AD03C6C"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71AAA56B"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12–&lt;15</w:t>
            </w:r>
          </w:p>
        </w:tc>
        <w:tc>
          <w:tcPr>
            <w:tcW w:w="553" w:type="pct"/>
            <w:tcBorders>
              <w:top w:val="nil"/>
              <w:left w:val="nil"/>
              <w:bottom w:val="single" w:sz="4" w:space="0" w:color="auto"/>
              <w:right w:val="single" w:sz="4" w:space="0" w:color="auto"/>
            </w:tcBorders>
            <w:shd w:val="clear" w:color="auto" w:fill="auto"/>
            <w:noWrap/>
            <w:vAlign w:val="center"/>
          </w:tcPr>
          <w:p w14:paraId="3A98DDD3"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1.79E-07</w:t>
            </w:r>
          </w:p>
        </w:tc>
        <w:tc>
          <w:tcPr>
            <w:tcW w:w="553" w:type="pct"/>
            <w:tcBorders>
              <w:top w:val="nil"/>
              <w:left w:val="nil"/>
              <w:bottom w:val="single" w:sz="4" w:space="0" w:color="auto"/>
              <w:right w:val="single" w:sz="4" w:space="0" w:color="auto"/>
            </w:tcBorders>
            <w:shd w:val="clear" w:color="auto" w:fill="auto"/>
            <w:noWrap/>
            <w:vAlign w:val="center"/>
          </w:tcPr>
          <w:p w14:paraId="1582CD7C"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9.35E-08</w:t>
            </w:r>
          </w:p>
        </w:tc>
        <w:tc>
          <w:tcPr>
            <w:tcW w:w="553" w:type="pct"/>
            <w:tcBorders>
              <w:top w:val="nil"/>
              <w:left w:val="nil"/>
              <w:bottom w:val="single" w:sz="4" w:space="0" w:color="auto"/>
              <w:right w:val="single" w:sz="4" w:space="0" w:color="auto"/>
            </w:tcBorders>
            <w:shd w:val="clear" w:color="auto" w:fill="auto"/>
            <w:noWrap/>
          </w:tcPr>
          <w:p w14:paraId="5611BBC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015CAD50"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5.36E-07</w:t>
            </w:r>
          </w:p>
        </w:tc>
        <w:tc>
          <w:tcPr>
            <w:tcW w:w="553" w:type="pct"/>
            <w:tcBorders>
              <w:top w:val="nil"/>
              <w:left w:val="nil"/>
              <w:bottom w:val="single" w:sz="4" w:space="0" w:color="auto"/>
              <w:right w:val="single" w:sz="4" w:space="0" w:color="auto"/>
            </w:tcBorders>
            <w:shd w:val="clear" w:color="auto" w:fill="auto"/>
            <w:noWrap/>
          </w:tcPr>
          <w:p w14:paraId="5B71938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2F34939B"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8.08E-07</w:t>
            </w:r>
          </w:p>
        </w:tc>
      </w:tr>
      <w:tr w:rsidR="00043F49" w14:paraId="4B75145A" w14:textId="77777777">
        <w:trPr>
          <w:trHeight w:val="280"/>
        </w:trPr>
        <w:tc>
          <w:tcPr>
            <w:tcW w:w="820" w:type="pct"/>
            <w:vMerge/>
            <w:tcBorders>
              <w:left w:val="single" w:sz="4" w:space="0" w:color="auto"/>
              <w:bottom w:val="single" w:sz="4" w:space="0" w:color="auto"/>
              <w:right w:val="single" w:sz="4" w:space="0" w:color="auto"/>
            </w:tcBorders>
          </w:tcPr>
          <w:p w14:paraId="5FF4327A" w14:textId="77777777" w:rsidR="00043F49" w:rsidRDefault="00043F49">
            <w:pPr>
              <w:widowControl/>
              <w:jc w:val="center"/>
              <w:rPr>
                <w:rFonts w:asciiTheme="majorBidi" w:hAnsiTheme="majorBidi" w:cstheme="majorBidi"/>
                <w:color w:val="70AD47"/>
                <w:kern w:val="0"/>
                <w:sz w:val="20"/>
                <w:szCs w:val="20"/>
                <w:lang w:bidi="he-IL"/>
              </w:rPr>
            </w:pPr>
          </w:p>
        </w:tc>
        <w:tc>
          <w:tcPr>
            <w:tcW w:w="820" w:type="pct"/>
            <w:tcBorders>
              <w:top w:val="nil"/>
              <w:left w:val="single" w:sz="4" w:space="0" w:color="auto"/>
              <w:bottom w:val="single" w:sz="4" w:space="0" w:color="auto"/>
              <w:right w:val="single" w:sz="4" w:space="0" w:color="auto"/>
            </w:tcBorders>
            <w:shd w:val="clear" w:color="auto" w:fill="auto"/>
            <w:vAlign w:val="center"/>
          </w:tcPr>
          <w:p w14:paraId="36414BB6" w14:textId="77777777" w:rsidR="00043F49" w:rsidRDefault="00000000">
            <w:pPr>
              <w:widowControl/>
              <w:jc w:val="center"/>
              <w:rPr>
                <w:rFonts w:asciiTheme="majorBidi" w:hAnsiTheme="majorBidi" w:cstheme="majorBidi"/>
                <w:color w:val="70AD47"/>
                <w:kern w:val="0"/>
                <w:sz w:val="20"/>
                <w:szCs w:val="20"/>
                <w:lang w:bidi="he-IL"/>
              </w:rPr>
            </w:pPr>
            <w:r>
              <w:rPr>
                <w:rFonts w:asciiTheme="majorBidi" w:hAnsiTheme="majorBidi" w:cstheme="majorBidi"/>
                <w:color w:val="70AD47"/>
                <w:kern w:val="0"/>
                <w:sz w:val="20"/>
                <w:szCs w:val="20"/>
                <w:lang w:bidi="he-IL"/>
              </w:rPr>
              <w:t>15–&lt;18</w:t>
            </w:r>
          </w:p>
        </w:tc>
        <w:tc>
          <w:tcPr>
            <w:tcW w:w="553" w:type="pct"/>
            <w:tcBorders>
              <w:top w:val="nil"/>
              <w:left w:val="nil"/>
              <w:bottom w:val="single" w:sz="4" w:space="0" w:color="auto"/>
              <w:right w:val="single" w:sz="4" w:space="0" w:color="auto"/>
            </w:tcBorders>
            <w:shd w:val="clear" w:color="auto" w:fill="auto"/>
            <w:noWrap/>
            <w:vAlign w:val="center"/>
          </w:tcPr>
          <w:p w14:paraId="0202535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2.24E-07</w:t>
            </w:r>
          </w:p>
        </w:tc>
        <w:tc>
          <w:tcPr>
            <w:tcW w:w="553" w:type="pct"/>
            <w:tcBorders>
              <w:top w:val="nil"/>
              <w:left w:val="nil"/>
              <w:bottom w:val="single" w:sz="4" w:space="0" w:color="auto"/>
              <w:right w:val="single" w:sz="4" w:space="0" w:color="auto"/>
            </w:tcBorders>
            <w:shd w:val="clear" w:color="auto" w:fill="auto"/>
            <w:noWrap/>
            <w:vAlign w:val="center"/>
          </w:tcPr>
          <w:p w14:paraId="2E4422B9"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1.17E-07</w:t>
            </w:r>
          </w:p>
        </w:tc>
        <w:tc>
          <w:tcPr>
            <w:tcW w:w="553" w:type="pct"/>
            <w:tcBorders>
              <w:top w:val="nil"/>
              <w:left w:val="nil"/>
              <w:bottom w:val="single" w:sz="4" w:space="0" w:color="auto"/>
              <w:right w:val="single" w:sz="4" w:space="0" w:color="auto"/>
            </w:tcBorders>
            <w:shd w:val="clear" w:color="auto" w:fill="auto"/>
            <w:noWrap/>
          </w:tcPr>
          <w:p w14:paraId="06F4DF31"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53" w:type="pct"/>
            <w:tcBorders>
              <w:top w:val="nil"/>
              <w:left w:val="nil"/>
              <w:bottom w:val="single" w:sz="4" w:space="0" w:color="auto"/>
              <w:right w:val="single" w:sz="4" w:space="0" w:color="auto"/>
            </w:tcBorders>
            <w:shd w:val="clear" w:color="auto" w:fill="auto"/>
            <w:noWrap/>
            <w:vAlign w:val="center"/>
          </w:tcPr>
          <w:p w14:paraId="7B2305F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kern w:val="0"/>
                <w:sz w:val="20"/>
                <w:szCs w:val="20"/>
                <w:lang w:bidi="he-IL"/>
              </w:rPr>
              <w:t>6.72E-07</w:t>
            </w:r>
          </w:p>
        </w:tc>
        <w:tc>
          <w:tcPr>
            <w:tcW w:w="553" w:type="pct"/>
            <w:tcBorders>
              <w:top w:val="nil"/>
              <w:left w:val="nil"/>
              <w:bottom w:val="single" w:sz="4" w:space="0" w:color="auto"/>
              <w:right w:val="single" w:sz="4" w:space="0" w:color="auto"/>
            </w:tcBorders>
            <w:shd w:val="clear" w:color="auto" w:fill="auto"/>
            <w:noWrap/>
          </w:tcPr>
          <w:p w14:paraId="09A879D3" w14:textId="77777777" w:rsidR="00043F49" w:rsidRDefault="00000000">
            <w:pPr>
              <w:widowControl/>
              <w:jc w:val="center"/>
              <w:rPr>
                <w:rFonts w:asciiTheme="majorBidi" w:hAnsiTheme="majorBidi" w:cstheme="majorBidi"/>
                <w:color w:val="000000"/>
                <w:kern w:val="0"/>
                <w:sz w:val="20"/>
                <w:szCs w:val="20"/>
                <w:lang w:bidi="he-IL"/>
              </w:rPr>
            </w:pPr>
            <w:r>
              <w:rPr>
                <w:rFonts w:ascii="Times New Roman" w:hAnsi="Times New Roman" w:cs="Times New Roman"/>
                <w:szCs w:val="21"/>
              </w:rPr>
              <w:t>N.C.</w:t>
            </w:r>
          </w:p>
        </w:tc>
        <w:tc>
          <w:tcPr>
            <w:tcW w:w="595" w:type="pct"/>
            <w:tcBorders>
              <w:top w:val="nil"/>
              <w:left w:val="nil"/>
              <w:bottom w:val="single" w:sz="4" w:space="0" w:color="auto"/>
              <w:right w:val="single" w:sz="4" w:space="0" w:color="auto"/>
            </w:tcBorders>
            <w:vAlign w:val="center"/>
          </w:tcPr>
          <w:p w14:paraId="1F5643D5" w14:textId="77777777" w:rsidR="00043F49" w:rsidRDefault="00000000">
            <w:pPr>
              <w:widowControl/>
              <w:jc w:val="center"/>
              <w:rPr>
                <w:rFonts w:asciiTheme="majorBidi" w:hAnsiTheme="majorBidi" w:cstheme="majorBidi"/>
                <w:color w:val="000000"/>
                <w:kern w:val="0"/>
                <w:sz w:val="20"/>
                <w:szCs w:val="20"/>
                <w:lang w:bidi="he-IL"/>
              </w:rPr>
            </w:pPr>
            <w:r>
              <w:rPr>
                <w:rFonts w:asciiTheme="majorBidi" w:hAnsiTheme="majorBidi" w:cstheme="majorBidi"/>
                <w:color w:val="000000"/>
                <w:sz w:val="20"/>
                <w:szCs w:val="20"/>
              </w:rPr>
              <w:t>1.01E-06</w:t>
            </w:r>
          </w:p>
        </w:tc>
      </w:tr>
    </w:tbl>
    <w:bookmarkEnd w:id="2"/>
    <w:p w14:paraId="659A8F98" w14:textId="77777777" w:rsidR="00043F49" w:rsidRDefault="00000000">
      <w:pPr>
        <w:rPr>
          <w:rFonts w:asciiTheme="majorBidi" w:hAnsiTheme="majorBidi" w:cstheme="majorBidi"/>
          <w:sz w:val="24"/>
          <w:szCs w:val="28"/>
        </w:rPr>
      </w:pPr>
      <w:r>
        <w:rPr>
          <w:rFonts w:ascii="Times New Roman" w:hAnsi="Times New Roman" w:cs="Times New Roman"/>
          <w:szCs w:val="21"/>
        </w:rPr>
        <w:t>N</w:t>
      </w:r>
      <w:r>
        <w:rPr>
          <w:rFonts w:ascii="Times New Roman" w:hAnsi="Times New Roman" w:cs="Times New Roman" w:hint="eastAsia"/>
          <w:szCs w:val="21"/>
        </w:rPr>
        <w:t>ote</w:t>
      </w:r>
      <w:r>
        <w:rPr>
          <w:rFonts w:ascii="Times New Roman" w:hAnsi="Times New Roman" w:cs="Times New Roman"/>
          <w:szCs w:val="21"/>
        </w:rPr>
        <w:t>: N.C.: not consider</w:t>
      </w:r>
      <w:r>
        <w:rPr>
          <w:rFonts w:ascii="Times New Roman" w:hAnsi="Times New Roman" w:cs="Times New Roman" w:hint="eastAsia"/>
          <w:szCs w:val="21"/>
        </w:rPr>
        <w:t>ation</w:t>
      </w:r>
      <w:r>
        <w:rPr>
          <w:rFonts w:ascii="Times New Roman" w:hAnsi="Times New Roman" w:cs="Times New Roman"/>
          <w:szCs w:val="21"/>
        </w:rPr>
        <w:t>.</w:t>
      </w:r>
    </w:p>
    <w:sectPr w:rsidR="00043F49">
      <w:pgSz w:w="16838" w:h="11906" w:orient="landscape"/>
      <w:pgMar w:top="1800" w:right="1440" w:bottom="180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3252B" w14:textId="77777777" w:rsidR="007353E7" w:rsidRDefault="007353E7">
      <w:r>
        <w:separator/>
      </w:r>
    </w:p>
  </w:endnote>
  <w:endnote w:type="continuationSeparator" w:id="0">
    <w:p w14:paraId="4BDFA711" w14:textId="77777777" w:rsidR="007353E7" w:rsidRDefault="0073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Pr>
      <w:id w:val="-469449197"/>
      <w:docPartObj>
        <w:docPartGallery w:val="AutoText"/>
      </w:docPartObj>
    </w:sdtPr>
    <w:sdtContent>
      <w:p w14:paraId="1B4FDE48" w14:textId="77777777" w:rsidR="00043F49" w:rsidRDefault="00000000">
        <w:pPr>
          <w:pStyle w:val="a3"/>
          <w:jc w:val="center"/>
          <w:rPr>
            <w:rFonts w:asciiTheme="majorBidi" w:hAnsiTheme="majorBidi" w:cstheme="majorBidi"/>
          </w:rPr>
        </w:pPr>
        <w:r>
          <w:rPr>
            <w:rFonts w:asciiTheme="majorBidi" w:hAnsiTheme="majorBidi" w:cstheme="majorBidi"/>
          </w:rPr>
          <w:fldChar w:fldCharType="begin"/>
        </w:r>
        <w:r>
          <w:rPr>
            <w:rFonts w:asciiTheme="majorBidi" w:hAnsiTheme="majorBidi" w:cstheme="majorBidi"/>
          </w:rPr>
          <w:instrText>PAGE   \* MERGEFORMAT</w:instrText>
        </w:r>
        <w:r>
          <w:rPr>
            <w:rFonts w:asciiTheme="majorBidi" w:hAnsiTheme="majorBidi" w:cstheme="majorBidi"/>
          </w:rPr>
          <w:fldChar w:fldCharType="separate"/>
        </w:r>
        <w:r>
          <w:rPr>
            <w:rFonts w:asciiTheme="majorBidi" w:hAnsiTheme="majorBidi" w:cstheme="majorBidi"/>
            <w:lang w:val="zh-CN"/>
          </w:rPr>
          <w:t>2</w:t>
        </w:r>
        <w:r>
          <w:rPr>
            <w:rFonts w:asciiTheme="majorBidi" w:hAnsiTheme="majorBidi" w:cstheme="majorBid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62ECE" w14:textId="77777777" w:rsidR="007353E7" w:rsidRDefault="007353E7">
      <w:r>
        <w:separator/>
      </w:r>
    </w:p>
  </w:footnote>
  <w:footnote w:type="continuationSeparator" w:id="0">
    <w:p w14:paraId="13C8F6BD" w14:textId="77777777" w:rsidR="007353E7" w:rsidRDefault="00735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03D53"/>
    <w:multiLevelType w:val="multilevel"/>
    <w:tmpl w:val="7DE03D53"/>
    <w:lvl w:ilvl="0">
      <w:start w:val="1"/>
      <w:numFmt w:val="lowerLetter"/>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52225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k4MDBmMTc1ZTE3NWQ2NzY3MmUwZjA1ZDJmM2NiZDEifQ=="/>
    <w:docVar w:name="EN.Layout" w:val="&lt;ENLayout&gt;&lt;Style&gt;J Cleaner Production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ztwd9pfdx9prexxtgvvasmwxs9e9xvradt&quot;&gt;My EndNote Library&lt;record-ids&gt;&lt;item&gt;7&lt;/item&gt;&lt;item&gt;59&lt;/item&gt;&lt;item&gt;61&lt;/item&gt;&lt;item&gt;78&lt;/item&gt;&lt;item&gt;79&lt;/item&gt;&lt;item&gt;80&lt;/item&gt;&lt;item&gt;81&lt;/item&gt;&lt;item&gt;82&lt;/item&gt;&lt;item&gt;84&lt;/item&gt;&lt;item&gt;85&lt;/item&gt;&lt;item&gt;95&lt;/item&gt;&lt;item&gt;114&lt;/item&gt;&lt;item&gt;115&lt;/item&gt;&lt;item&gt;116&lt;/item&gt;&lt;item&gt;125&lt;/item&gt;&lt;item&gt;126&lt;/item&gt;&lt;item&gt;127&lt;/item&gt;&lt;item&gt;128&lt;/item&gt;&lt;item&gt;132&lt;/item&gt;&lt;item&gt;149&lt;/item&gt;&lt;item&gt;151&lt;/item&gt;&lt;/record-ids&gt;&lt;/item&gt;&lt;/Libraries&gt;"/>
  </w:docVars>
  <w:rsids>
    <w:rsidRoot w:val="00C7195F"/>
    <w:rsid w:val="00007835"/>
    <w:rsid w:val="00010BA7"/>
    <w:rsid w:val="0002470C"/>
    <w:rsid w:val="00043F49"/>
    <w:rsid w:val="00045FEA"/>
    <w:rsid w:val="00050221"/>
    <w:rsid w:val="00052B64"/>
    <w:rsid w:val="000567BD"/>
    <w:rsid w:val="000768E8"/>
    <w:rsid w:val="00095025"/>
    <w:rsid w:val="00095C94"/>
    <w:rsid w:val="000A0E20"/>
    <w:rsid w:val="000E2ED3"/>
    <w:rsid w:val="000F2AB5"/>
    <w:rsid w:val="001037FD"/>
    <w:rsid w:val="00104129"/>
    <w:rsid w:val="00104AF4"/>
    <w:rsid w:val="00121B3F"/>
    <w:rsid w:val="00131C30"/>
    <w:rsid w:val="00133A34"/>
    <w:rsid w:val="0014416C"/>
    <w:rsid w:val="001E20BB"/>
    <w:rsid w:val="001F211B"/>
    <w:rsid w:val="002018D7"/>
    <w:rsid w:val="002061DF"/>
    <w:rsid w:val="00222D8B"/>
    <w:rsid w:val="0022306C"/>
    <w:rsid w:val="002B303A"/>
    <w:rsid w:val="002E77FD"/>
    <w:rsid w:val="00304D83"/>
    <w:rsid w:val="00317DB3"/>
    <w:rsid w:val="00361A4E"/>
    <w:rsid w:val="00387AFC"/>
    <w:rsid w:val="00390A94"/>
    <w:rsid w:val="0039146F"/>
    <w:rsid w:val="003939AA"/>
    <w:rsid w:val="003A66FC"/>
    <w:rsid w:val="003E564A"/>
    <w:rsid w:val="003E718A"/>
    <w:rsid w:val="003F46BC"/>
    <w:rsid w:val="004045A1"/>
    <w:rsid w:val="004057A0"/>
    <w:rsid w:val="00407763"/>
    <w:rsid w:val="004119A3"/>
    <w:rsid w:val="00424EC7"/>
    <w:rsid w:val="004544D0"/>
    <w:rsid w:val="00470A76"/>
    <w:rsid w:val="004816AD"/>
    <w:rsid w:val="00486332"/>
    <w:rsid w:val="004D39CD"/>
    <w:rsid w:val="004D70E4"/>
    <w:rsid w:val="004E1A6B"/>
    <w:rsid w:val="00530C23"/>
    <w:rsid w:val="00537376"/>
    <w:rsid w:val="005565F5"/>
    <w:rsid w:val="00560195"/>
    <w:rsid w:val="00577A0C"/>
    <w:rsid w:val="00577CC1"/>
    <w:rsid w:val="00595917"/>
    <w:rsid w:val="005A35E6"/>
    <w:rsid w:val="00600B14"/>
    <w:rsid w:val="00602848"/>
    <w:rsid w:val="00620DA2"/>
    <w:rsid w:val="0062269A"/>
    <w:rsid w:val="0064190A"/>
    <w:rsid w:val="00645C83"/>
    <w:rsid w:val="00667A47"/>
    <w:rsid w:val="0068437F"/>
    <w:rsid w:val="006857EF"/>
    <w:rsid w:val="006914BA"/>
    <w:rsid w:val="006A07D4"/>
    <w:rsid w:val="006B14E5"/>
    <w:rsid w:val="006B462D"/>
    <w:rsid w:val="006D0F50"/>
    <w:rsid w:val="007206D7"/>
    <w:rsid w:val="007327E2"/>
    <w:rsid w:val="007353E7"/>
    <w:rsid w:val="00750572"/>
    <w:rsid w:val="00750FAC"/>
    <w:rsid w:val="007828C9"/>
    <w:rsid w:val="00784802"/>
    <w:rsid w:val="007B0A42"/>
    <w:rsid w:val="00810E9C"/>
    <w:rsid w:val="00825E9A"/>
    <w:rsid w:val="00826165"/>
    <w:rsid w:val="00831DA7"/>
    <w:rsid w:val="008420E9"/>
    <w:rsid w:val="0085619E"/>
    <w:rsid w:val="008665BA"/>
    <w:rsid w:val="008A300E"/>
    <w:rsid w:val="008C4AC7"/>
    <w:rsid w:val="008D2AEC"/>
    <w:rsid w:val="00911B6E"/>
    <w:rsid w:val="0091696F"/>
    <w:rsid w:val="00922CA8"/>
    <w:rsid w:val="00923DDD"/>
    <w:rsid w:val="00925AD3"/>
    <w:rsid w:val="009441D8"/>
    <w:rsid w:val="00946897"/>
    <w:rsid w:val="009476CA"/>
    <w:rsid w:val="0095723F"/>
    <w:rsid w:val="0097104A"/>
    <w:rsid w:val="00984134"/>
    <w:rsid w:val="009A6C25"/>
    <w:rsid w:val="009D38A4"/>
    <w:rsid w:val="009D544F"/>
    <w:rsid w:val="009E3755"/>
    <w:rsid w:val="009E3B8B"/>
    <w:rsid w:val="009F6446"/>
    <w:rsid w:val="00A467AE"/>
    <w:rsid w:val="00A506DE"/>
    <w:rsid w:val="00AB2B84"/>
    <w:rsid w:val="00AD3435"/>
    <w:rsid w:val="00AD65D5"/>
    <w:rsid w:val="00AF0698"/>
    <w:rsid w:val="00AF2640"/>
    <w:rsid w:val="00B0347D"/>
    <w:rsid w:val="00B0398D"/>
    <w:rsid w:val="00B0729D"/>
    <w:rsid w:val="00B25998"/>
    <w:rsid w:val="00B33836"/>
    <w:rsid w:val="00B452F1"/>
    <w:rsid w:val="00B50BC7"/>
    <w:rsid w:val="00B94D82"/>
    <w:rsid w:val="00BC18AB"/>
    <w:rsid w:val="00BC35D2"/>
    <w:rsid w:val="00BE6902"/>
    <w:rsid w:val="00BF7451"/>
    <w:rsid w:val="00BF7A99"/>
    <w:rsid w:val="00C10445"/>
    <w:rsid w:val="00C16464"/>
    <w:rsid w:val="00C1682A"/>
    <w:rsid w:val="00C44405"/>
    <w:rsid w:val="00C52352"/>
    <w:rsid w:val="00C52973"/>
    <w:rsid w:val="00C56904"/>
    <w:rsid w:val="00C7195F"/>
    <w:rsid w:val="00C73CDE"/>
    <w:rsid w:val="00C97FC8"/>
    <w:rsid w:val="00CA2685"/>
    <w:rsid w:val="00CA3779"/>
    <w:rsid w:val="00CB7599"/>
    <w:rsid w:val="00CD04A1"/>
    <w:rsid w:val="00D06C77"/>
    <w:rsid w:val="00D17A9F"/>
    <w:rsid w:val="00D24F91"/>
    <w:rsid w:val="00D30073"/>
    <w:rsid w:val="00D311F3"/>
    <w:rsid w:val="00D37D19"/>
    <w:rsid w:val="00D63FF7"/>
    <w:rsid w:val="00D7107C"/>
    <w:rsid w:val="00D74E8D"/>
    <w:rsid w:val="00D926B2"/>
    <w:rsid w:val="00DA31A5"/>
    <w:rsid w:val="00DC7692"/>
    <w:rsid w:val="00DE7423"/>
    <w:rsid w:val="00DE78D6"/>
    <w:rsid w:val="00E0540F"/>
    <w:rsid w:val="00E054D2"/>
    <w:rsid w:val="00E222EA"/>
    <w:rsid w:val="00E40136"/>
    <w:rsid w:val="00E42C50"/>
    <w:rsid w:val="00E62A55"/>
    <w:rsid w:val="00E66BAC"/>
    <w:rsid w:val="00E712D0"/>
    <w:rsid w:val="00E752DD"/>
    <w:rsid w:val="00E87AD7"/>
    <w:rsid w:val="00E9383F"/>
    <w:rsid w:val="00EA1BDD"/>
    <w:rsid w:val="00EA46D3"/>
    <w:rsid w:val="00EB2E7F"/>
    <w:rsid w:val="00EB7776"/>
    <w:rsid w:val="00EE5AA6"/>
    <w:rsid w:val="00EF3DF1"/>
    <w:rsid w:val="00F23004"/>
    <w:rsid w:val="00F32E88"/>
    <w:rsid w:val="00F41A78"/>
    <w:rsid w:val="00F64322"/>
    <w:rsid w:val="00F7371C"/>
    <w:rsid w:val="00F73EBD"/>
    <w:rsid w:val="00F97A2A"/>
    <w:rsid w:val="00FA78B9"/>
    <w:rsid w:val="00FB25EB"/>
    <w:rsid w:val="042E52D1"/>
    <w:rsid w:val="10F42DEC"/>
    <w:rsid w:val="1B2A38E1"/>
    <w:rsid w:val="4547018E"/>
    <w:rsid w:val="4B5464AE"/>
    <w:rsid w:val="693966D8"/>
    <w:rsid w:val="70C8281B"/>
  </w:rsids>
  <m:mathPr>
    <m:mathFont m:val="Cambria Math"/>
    <m:brkBin m:val="before"/>
    <m:brkBinSub m:val="--"/>
    <m:smallFrac/>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7E8D3"/>
  <w15:docId w15:val="{30C32A22-254C-4685-8A1C-92685127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qFormat/>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styleId="aa">
    <w:name w:val="List Paragraph"/>
    <w:basedOn w:val="a"/>
    <w:uiPriority w:val="34"/>
    <w:qFormat/>
    <w:pPr>
      <w:ind w:firstLineChars="200" w:firstLine="420"/>
    </w:p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table" w:customStyle="1" w:styleId="11">
    <w:name w:val="清单表 1 浅色1"/>
    <w:basedOn w:val="a1"/>
    <w:uiPriority w:val="46"/>
    <w:qFormat/>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2">
    <w:name w:val="未处理的提及1"/>
    <w:basedOn w:val="a0"/>
    <w:uiPriority w:val="99"/>
    <w:semiHidden/>
    <w:unhideWhenUsed/>
    <w:qFormat/>
    <w:rPr>
      <w:color w:val="605E5C"/>
      <w:shd w:val="clear" w:color="auto" w:fill="E1DFDD"/>
    </w:rPr>
  </w:style>
  <w:style w:type="character" w:customStyle="1" w:styleId="30">
    <w:name w:val="标题 3 字符"/>
    <w:basedOn w:val="a0"/>
    <w:link w:val="3"/>
    <w:uiPriority w:val="9"/>
    <w:qFormat/>
    <w:rPr>
      <w:b/>
      <w:bCs/>
      <w:sz w:val="32"/>
      <w:szCs w:val="32"/>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sz w:val="20"/>
    </w:rPr>
  </w:style>
  <w:style w:type="paragraph" w:customStyle="1" w:styleId="EndNoteBibliography">
    <w:name w:val="EndNote Bibliography"/>
    <w:basedOn w:val="a"/>
    <w:link w:val="EndNoteBibliography0"/>
    <w:qFormat/>
    <w:pPr>
      <w:jc w:val="left"/>
    </w:pPr>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sz w:val="20"/>
    </w:rPr>
  </w:style>
  <w:style w:type="character" w:styleId="ab">
    <w:name w:val="Unresolved Mention"/>
    <w:basedOn w:val="a0"/>
    <w:uiPriority w:val="99"/>
    <w:semiHidden/>
    <w:unhideWhenUsed/>
    <w:rsid w:val="00DE7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8B429-A013-4749-9D43-6C031334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5870</Words>
  <Characters>33465</Characters>
  <Application>Microsoft Office Word</Application>
  <DocSecurity>0</DocSecurity>
  <Lines>278</Lines>
  <Paragraphs>78</Paragraphs>
  <ScaleCrop>false</ScaleCrop>
  <Company/>
  <LinksUpToDate>false</LinksUpToDate>
  <CharactersWithSpaces>39257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Environmental-Geo</dc:creator>
  <cp:lastModifiedBy>魏 军晓</cp:lastModifiedBy>
  <cp:revision>6</cp:revision>
  <dcterms:created xsi:type="dcterms:W3CDTF">2022-07-18T09:42:00Z</dcterms:created>
  <dcterms:modified xsi:type="dcterms:W3CDTF">2023-07-12T13:06:00Z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D7FBE3952DB742D7BAE0DD02C719A80E_12</vt:lpwstr>
  </property>
</Properties>
</file>