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Supplemental Table. 1.Characteristics of studies included for meta-analysis</w:t>
      </w:r>
    </w:p>
    <w:tbl>
      <w:tblPr>
        <w:tblStyle w:val="2"/>
        <w:tblpPr w:leftFromText="180" w:rightFromText="180" w:vertAnchor="text" w:horzAnchor="page" w:tblpX="246" w:tblpY="293"/>
        <w:tblOverlap w:val="never"/>
        <w:tblW w:w="166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248"/>
        <w:gridCol w:w="983"/>
        <w:gridCol w:w="945"/>
        <w:gridCol w:w="727"/>
        <w:gridCol w:w="1313"/>
        <w:gridCol w:w="1665"/>
        <w:gridCol w:w="1835"/>
        <w:gridCol w:w="1592"/>
        <w:gridCol w:w="2175"/>
        <w:gridCol w:w="1328"/>
        <w:gridCol w:w="9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Author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Publication year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Country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No. of patients 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DWI lesion (ml)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Deterioration time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Preop NHISS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postop NHISS</w:t>
            </w: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Follow-up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(months)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No. of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good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8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 Yoshimoto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1995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Japan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 hours to 7 days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3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Hwang G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Korea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64.1 (38-76)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15.0±8.87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12.4±4.88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8.6±6.39 (after 3 days)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Sang-Bok Lee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Korea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8.68±2.61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 days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7±3.68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3.57±2.52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27.5 (23, 61)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Hyun-Seok Park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Korea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 (49-66）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13.8 (7.5-26.0)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less than 9h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 (8-14）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Toshikazu Kimura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Japan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 hours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 (after 2 weeks)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Jang Hun Kim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Korea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65.33±12.46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2.61±2.21 days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12.11 ± 4.84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9.89 ± 6.52 (after 1 week)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9.72 ± 5.00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Yun Ho Noh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Korea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70.9±14.7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12(6-18) hours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7.7±7.49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Deterioration time, time from onset/aggravation to surgery; preNIHSS, preoperative NIHSS score; postop NHISS, postoperative NIHSS score; Good outcome: mRS score of 0–2 at the last follow-up .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252626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252626"/>
          <w:kern w:val="0"/>
          <w:sz w:val="21"/>
          <w:szCs w:val="21"/>
          <w:u w:val="none"/>
          <w:lang w:val="en-US" w:eastAsia="zh-CN" w:bidi="ar"/>
        </w:rPr>
        <w:t xml:space="preserve">Supplemental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252626"/>
          <w:kern w:val="0"/>
          <w:sz w:val="21"/>
          <w:szCs w:val="21"/>
          <w:u w:val="none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252626"/>
          <w:kern w:val="0"/>
          <w:sz w:val="21"/>
          <w:szCs w:val="21"/>
          <w:u w:val="none"/>
          <w:lang w:val="en-US" w:eastAsia="zh-CN" w:bidi="ar"/>
        </w:rPr>
        <w:t xml:space="preserve">able.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252626"/>
          <w:kern w:val="0"/>
          <w:sz w:val="21"/>
          <w:szCs w:val="21"/>
          <w:u w:val="none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252626"/>
          <w:kern w:val="0"/>
          <w:sz w:val="21"/>
          <w:szCs w:val="21"/>
          <w:u w:val="none"/>
          <w:lang w:val="en-US" w:eastAsia="zh-CN" w:bidi="ar"/>
        </w:rPr>
        <w:t xml:space="preserve"> MINORS index for included non-randomized studies.</w:t>
      </w:r>
    </w:p>
    <w:tbl>
      <w:tblPr>
        <w:tblStyle w:val="2"/>
        <w:tblpPr w:leftFromText="180" w:rightFromText="180" w:vertAnchor="text" w:horzAnchor="page" w:tblpX="1866" w:tblpY="285"/>
        <w:tblOverlap w:val="never"/>
        <w:tblW w:w="124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4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Study 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Q1 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Q2 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Q3 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Q4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Q5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Q6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Q7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Q8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Q9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Q10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Q11</w:t>
            </w:r>
          </w:p>
        </w:tc>
        <w:tc>
          <w:tcPr>
            <w:tcW w:w="7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Q12</w:t>
            </w: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 Yoshimoto, 1995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Hwang G, 2011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Sang-Bok Lee, 2012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Hyun-Seok Park, 2017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Toshikazu Kimura, 2020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Jang Hun Kim, 2021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4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Yun Ho Noh, 2021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The items are scored 0 (not reported), 1 (reported but inadequate) or 2 (reported and adequate). </w:t>
      </w: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sz w:val="21"/>
          <w:szCs w:val="21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1265" cy="4876165"/>
            <wp:effectExtent l="0" t="0" r="6985" b="635"/>
            <wp:docPr id="2" name="图片 2" descr="1689168062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91680627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upplemental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fig. 1 </w:t>
      </w:r>
      <w:r>
        <w:rPr>
          <w:rFonts w:ascii="Times New Roman" w:hAnsi="Times New Roman" w:cs="Times New Roman"/>
          <w:b/>
          <w:bCs/>
          <w:szCs w:val="21"/>
        </w:rPr>
        <w:t xml:space="preserve">Literature search flow chart. </w:t>
      </w:r>
    </w:p>
    <w:p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 xml:space="preserve">Note: </w:t>
      </w:r>
      <w:r>
        <w:rPr>
          <w:rFonts w:ascii="Times New Roman" w:hAnsi="Times New Roman" w:cs="Times New Roman"/>
          <w:szCs w:val="21"/>
        </w:rPr>
        <w:t>Flowchart of the literature search and selection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for systematic review and meta-analysis.</w:t>
      </w:r>
    </w:p>
    <w:p>
      <w:pPr>
        <w:widowControl/>
        <w:jc w:val="left"/>
        <w:rPr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drawing>
          <wp:inline distT="0" distB="0" distL="114300" distR="114300">
            <wp:extent cx="5070475" cy="3581400"/>
            <wp:effectExtent l="0" t="0" r="6350" b="0"/>
            <wp:docPr id="7" name="图片 7" descr="e9a6149eb6217d7aa2365721cb8c1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9a6149eb6217d7aa2365721cb8c1a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04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S</w:t>
      </w:r>
      <w:r>
        <w:rPr>
          <w:rFonts w:ascii="Times New Roman" w:hAnsi="Times New Roman" w:cs="Times New Roman"/>
          <w:b/>
          <w:bCs/>
          <w:sz w:val="21"/>
          <w:szCs w:val="21"/>
        </w:rPr>
        <w:t>upplemental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fig. 2  Egger</w:t>
      </w:r>
      <w:r>
        <w:rPr>
          <w:rFonts w:ascii="Times New Roman" w:hAnsi="Times New Roman" w:cs="Times New Roman"/>
          <w:b/>
          <w:bCs/>
          <w:sz w:val="21"/>
          <w:szCs w:val="21"/>
        </w:rPr>
        <w:t>’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s test </w:t>
      </w:r>
      <w:r>
        <w:rPr>
          <w:rFonts w:ascii="Times New Roman" w:hAnsi="Times New Roman" w:cs="Times New Roman"/>
          <w:b/>
          <w:bCs/>
          <w:sz w:val="21"/>
          <w:szCs w:val="21"/>
        </w:rPr>
        <w:t>with the pseudo 95%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CI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(P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=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0.555).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</w:p>
    <w:p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Note: T</w:t>
      </w:r>
      <w:r>
        <w:rPr>
          <w:rFonts w:ascii="Times New Roman" w:hAnsi="Times New Roman" w:cs="Times New Roman"/>
          <w:sz w:val="21"/>
          <w:szCs w:val="21"/>
        </w:rPr>
        <w:t>he Egger’</w:t>
      </w:r>
      <w:r>
        <w:rPr>
          <w:rFonts w:hint="eastAsia"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 test showed no publication bias</w:t>
      </w:r>
      <w:r>
        <w:rPr>
          <w:rFonts w:hint="eastAsia" w:ascii="Times New Roman" w:hAnsi="Times New Roman" w:cs="Times New Roman"/>
          <w:sz w:val="21"/>
          <w:szCs w:val="21"/>
        </w:rPr>
        <w:t xml:space="preserve"> and </w:t>
      </w:r>
      <w:r>
        <w:rPr>
          <w:rFonts w:ascii="Times New Roman" w:hAnsi="Times New Roman" w:cs="Times New Roman"/>
          <w:sz w:val="21"/>
          <w:szCs w:val="21"/>
        </w:rPr>
        <w:t>small-study effects</w:t>
      </w:r>
      <w:r>
        <w:rPr>
          <w:rFonts w:hint="eastAsia" w:ascii="Times New Roman" w:hAnsi="Times New Roman" w:cs="Times New Roman"/>
          <w:sz w:val="21"/>
          <w:szCs w:val="21"/>
        </w:rPr>
        <w:t>.</w:t>
      </w:r>
    </w:p>
    <w:p/>
    <w:p>
      <w:pPr>
        <w:rPr>
          <w:sz w:val="21"/>
          <w:szCs w:val="21"/>
        </w:rPr>
      </w:pPr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PSA35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NzlmYjBjYTU3OTdmNGNlOGQ4ZjY4YTUyMmU4YmQifQ=="/>
  </w:docVars>
  <w:rsids>
    <w:rsidRoot w:val="08D50647"/>
    <w:rsid w:val="04522C90"/>
    <w:rsid w:val="08D50647"/>
    <w:rsid w:val="0C555D0D"/>
    <w:rsid w:val="0D9533EA"/>
    <w:rsid w:val="595418E1"/>
    <w:rsid w:val="5BF8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1226</Characters>
  <Lines>0</Lines>
  <Paragraphs>0</Paragraphs>
  <TotalTime>2</TotalTime>
  <ScaleCrop>false</ScaleCrop>
  <LinksUpToDate>false</LinksUpToDate>
  <CharactersWithSpaces>1365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2023-03-07T04:05:00Z</dcterms:created>
  <dc:creator>Grey</dc:creator>
  <cp:lastModifiedBy>Grey</cp:lastModifiedBy>
  <dcterms:modified xsi:type="dcterms:W3CDTF">2023-07-12T13:21:50Z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1BF433806C844CF482B5AA70190FD25B_13</vt:lpwstr>
  </property>
</Properties>
</file>