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A0610C" w14:textId="71AB3DCB" w:rsidR="005A770F" w:rsidRPr="00052052" w:rsidRDefault="005A770F" w:rsidP="005A770F">
      <w:pPr>
        <w:pStyle w:val="ANMmaintext"/>
      </w:pPr>
    </w:p>
    <w:p w14:paraId="1EC3CCD4" w14:textId="77777777" w:rsidR="005A770F" w:rsidRPr="005A770F" w:rsidRDefault="005A770F" w:rsidP="005A770F">
      <w:pPr>
        <w:overflowPunct/>
        <w:autoSpaceDE/>
        <w:autoSpaceDN/>
        <w:adjustRightInd/>
        <w:spacing w:before="100" w:beforeAutospacing="1" w:after="100" w:afterAutospacing="1" w:line="480" w:lineRule="auto"/>
        <w:textAlignment w:val="auto"/>
        <w:rPr>
          <w:b/>
          <w:lang w:val="en-GB" w:eastAsia="fr-FR"/>
        </w:rPr>
      </w:pPr>
      <w:r w:rsidRPr="005A770F">
        <w:rPr>
          <w:b/>
          <w:lang w:val="en-GB" w:eastAsia="fr-FR"/>
        </w:rPr>
        <w:t xml:space="preserve">Performance, meat quality and blood parameters in four strains of organic broilers differ according to range use </w:t>
      </w:r>
    </w:p>
    <w:p w14:paraId="5895B083" w14:textId="77777777" w:rsidR="005A770F" w:rsidRPr="005A770F" w:rsidRDefault="005A770F" w:rsidP="005A770F">
      <w:pPr>
        <w:overflowPunct/>
        <w:autoSpaceDE/>
        <w:autoSpaceDN/>
        <w:adjustRightInd/>
        <w:spacing w:before="100" w:beforeAutospacing="1" w:line="480" w:lineRule="auto"/>
        <w:textAlignment w:val="auto"/>
        <w:rPr>
          <w:i/>
          <w:lang w:eastAsia="fr-FR"/>
        </w:rPr>
      </w:pPr>
      <w:bookmarkStart w:id="0" w:name="_Hlk124170698"/>
      <w:r w:rsidRPr="005A770F">
        <w:rPr>
          <w:i/>
          <w:lang w:val="en-GB" w:eastAsia="fr-FR"/>
        </w:rPr>
        <w:t xml:space="preserve">C. Bonnefous </w:t>
      </w:r>
      <w:r w:rsidRPr="005A770F">
        <w:rPr>
          <w:i/>
          <w:vertAlign w:val="superscript"/>
          <w:lang w:val="en-GB" w:eastAsia="fr-FR"/>
        </w:rPr>
        <w:t>a*</w:t>
      </w:r>
      <w:r w:rsidRPr="005A770F">
        <w:rPr>
          <w:i/>
          <w:lang w:val="en-GB" w:eastAsia="fr-FR"/>
        </w:rPr>
        <w:t xml:space="preserve">, A. Collin </w:t>
      </w:r>
      <w:r w:rsidRPr="005A770F">
        <w:rPr>
          <w:i/>
          <w:vertAlign w:val="superscript"/>
          <w:lang w:val="en-GB" w:eastAsia="fr-FR"/>
        </w:rPr>
        <w:t>a*</w:t>
      </w:r>
      <w:r w:rsidRPr="005A770F">
        <w:rPr>
          <w:i/>
          <w:lang w:val="en-GB" w:eastAsia="fr-FR"/>
        </w:rPr>
        <w:t>, L.A. Guilloteau</w:t>
      </w:r>
      <w:r w:rsidRPr="005A770F">
        <w:rPr>
          <w:i/>
          <w:vertAlign w:val="superscript"/>
          <w:lang w:val="en-GB" w:eastAsia="fr-FR"/>
        </w:rPr>
        <w:t xml:space="preserve"> a</w:t>
      </w:r>
      <w:r w:rsidRPr="005A770F">
        <w:rPr>
          <w:i/>
          <w:lang w:val="en-GB" w:eastAsia="fr-FR"/>
        </w:rPr>
        <w:t xml:space="preserve">, K. Germain </w:t>
      </w:r>
      <w:r w:rsidRPr="005A770F">
        <w:rPr>
          <w:i/>
          <w:vertAlign w:val="superscript"/>
          <w:lang w:val="en-GB" w:eastAsia="fr-FR"/>
        </w:rPr>
        <w:t>b</w:t>
      </w:r>
      <w:r w:rsidRPr="005A770F">
        <w:rPr>
          <w:i/>
          <w:lang w:val="en-GB" w:eastAsia="fr-FR"/>
        </w:rPr>
        <w:t xml:space="preserve">, L. Ravon </w:t>
      </w:r>
      <w:r w:rsidRPr="005A770F">
        <w:rPr>
          <w:i/>
          <w:vertAlign w:val="superscript"/>
          <w:lang w:val="en-GB" w:eastAsia="fr-FR"/>
        </w:rPr>
        <w:t>b</w:t>
      </w:r>
      <w:r w:rsidRPr="005A770F">
        <w:rPr>
          <w:i/>
          <w:lang w:val="en-GB" w:eastAsia="fr-FR"/>
        </w:rPr>
        <w:t>, T. Bordeau</w:t>
      </w:r>
      <w:r w:rsidRPr="005A770F">
        <w:rPr>
          <w:i/>
          <w:vertAlign w:val="superscript"/>
          <w:lang w:val="en-GB" w:eastAsia="fr-FR"/>
        </w:rPr>
        <w:t xml:space="preserve"> a</w:t>
      </w:r>
      <w:r w:rsidRPr="005A770F">
        <w:rPr>
          <w:i/>
          <w:lang w:val="en-GB" w:eastAsia="fr-FR"/>
        </w:rPr>
        <w:t>, P. Chartrin</w:t>
      </w:r>
      <w:r w:rsidRPr="005A770F">
        <w:rPr>
          <w:i/>
          <w:vertAlign w:val="superscript"/>
          <w:lang w:val="en-GB" w:eastAsia="fr-FR"/>
        </w:rPr>
        <w:t xml:space="preserve"> a</w:t>
      </w:r>
      <w:r w:rsidRPr="005A770F">
        <w:rPr>
          <w:i/>
          <w:lang w:val="en-GB" w:eastAsia="fr-FR"/>
        </w:rPr>
        <w:t>, E. Godet</w:t>
      </w:r>
      <w:r w:rsidRPr="005A770F">
        <w:rPr>
          <w:i/>
          <w:vertAlign w:val="superscript"/>
          <w:lang w:val="en-GB" w:eastAsia="fr-FR"/>
        </w:rPr>
        <w:t xml:space="preserve"> a</w:t>
      </w:r>
      <w:r w:rsidRPr="005A770F">
        <w:rPr>
          <w:i/>
          <w:lang w:val="en-GB" w:eastAsia="fr-FR"/>
        </w:rPr>
        <w:t>, E. Cailleau-Audouin</w:t>
      </w:r>
      <w:r w:rsidRPr="005A770F">
        <w:rPr>
          <w:i/>
          <w:vertAlign w:val="superscript"/>
          <w:lang w:val="en-GB" w:eastAsia="fr-FR"/>
        </w:rPr>
        <w:t xml:space="preserve"> a</w:t>
      </w:r>
      <w:r w:rsidRPr="005A770F">
        <w:rPr>
          <w:i/>
          <w:lang w:val="en-GB" w:eastAsia="fr-FR"/>
        </w:rPr>
        <w:t>, N. Couroussé</w:t>
      </w:r>
      <w:r w:rsidRPr="005A770F">
        <w:rPr>
          <w:i/>
          <w:vertAlign w:val="superscript"/>
          <w:lang w:val="en-GB" w:eastAsia="fr-FR"/>
        </w:rPr>
        <w:t xml:space="preserve"> a</w:t>
      </w:r>
      <w:r w:rsidRPr="005A770F">
        <w:rPr>
          <w:i/>
          <w:lang w:val="en-GB" w:eastAsia="fr-FR"/>
        </w:rPr>
        <w:t xml:space="preserve">, E. Raynaud </w:t>
      </w:r>
      <w:r w:rsidRPr="005A770F">
        <w:rPr>
          <w:i/>
          <w:vertAlign w:val="superscript"/>
          <w:lang w:val="en-GB" w:eastAsia="fr-FR"/>
        </w:rPr>
        <w:t>a</w:t>
      </w:r>
      <w:r w:rsidRPr="005A770F">
        <w:rPr>
          <w:i/>
          <w:lang w:val="en-GB" w:eastAsia="fr-FR"/>
        </w:rPr>
        <w:t xml:space="preserve">, S. Mignon-Grasteau </w:t>
      </w:r>
      <w:r w:rsidRPr="005A770F">
        <w:rPr>
          <w:i/>
          <w:vertAlign w:val="superscript"/>
          <w:lang w:val="en-GB" w:eastAsia="fr-FR"/>
        </w:rPr>
        <w:t>a</w:t>
      </w:r>
      <w:r w:rsidRPr="005A770F">
        <w:rPr>
          <w:i/>
          <w:lang w:val="en-GB" w:eastAsia="fr-FR"/>
        </w:rPr>
        <w:t xml:space="preserve">, M. Reverchon </w:t>
      </w:r>
      <w:r w:rsidRPr="005A770F">
        <w:rPr>
          <w:i/>
          <w:vertAlign w:val="superscript"/>
          <w:lang w:val="en-GB" w:eastAsia="fr-FR"/>
        </w:rPr>
        <w:t>c</w:t>
      </w:r>
      <w:r w:rsidRPr="005A770F">
        <w:rPr>
          <w:i/>
          <w:lang w:val="en-GB" w:eastAsia="fr-FR"/>
        </w:rPr>
        <w:t>, S. Mattioli</w:t>
      </w:r>
      <w:r w:rsidRPr="005A770F">
        <w:rPr>
          <w:i/>
          <w:vertAlign w:val="superscript"/>
          <w:lang w:val="en-GB" w:eastAsia="fr-FR"/>
        </w:rPr>
        <w:t xml:space="preserve"> d</w:t>
      </w:r>
      <w:r w:rsidRPr="005A770F">
        <w:rPr>
          <w:i/>
          <w:lang w:val="en-GB" w:eastAsia="fr-FR"/>
        </w:rPr>
        <w:t>, C. Castellini</w:t>
      </w:r>
      <w:r w:rsidRPr="005A770F">
        <w:rPr>
          <w:i/>
          <w:vertAlign w:val="superscript"/>
          <w:lang w:val="en-GB" w:eastAsia="fr-FR"/>
        </w:rPr>
        <w:t xml:space="preserve"> d</w:t>
      </w:r>
      <w:r w:rsidRPr="005A770F">
        <w:rPr>
          <w:i/>
          <w:lang w:val="en-GB" w:eastAsia="fr-FR"/>
        </w:rPr>
        <w:t xml:space="preserve">, E. Angelucci </w:t>
      </w:r>
      <w:r w:rsidRPr="005A770F">
        <w:rPr>
          <w:i/>
          <w:vertAlign w:val="superscript"/>
          <w:lang w:val="en-GB" w:eastAsia="fr-FR"/>
        </w:rPr>
        <w:t>d</w:t>
      </w:r>
      <w:r w:rsidRPr="005A770F">
        <w:rPr>
          <w:i/>
          <w:lang w:val="en-GB" w:eastAsia="fr-FR"/>
        </w:rPr>
        <w:t xml:space="preserve">, V. Guesdon </w:t>
      </w:r>
      <w:r w:rsidRPr="005A770F">
        <w:rPr>
          <w:i/>
          <w:vertAlign w:val="superscript"/>
          <w:lang w:val="en-GB" w:eastAsia="fr-FR"/>
        </w:rPr>
        <w:t>e</w:t>
      </w:r>
      <w:r w:rsidRPr="005A770F">
        <w:rPr>
          <w:i/>
          <w:lang w:val="en-GB" w:eastAsia="fr-FR"/>
        </w:rPr>
        <w:t xml:space="preserve">, L. Calandreau </w:t>
      </w:r>
      <w:r w:rsidRPr="005A770F">
        <w:rPr>
          <w:i/>
          <w:vertAlign w:val="superscript"/>
          <w:lang w:val="en-GB" w:eastAsia="fr-FR"/>
        </w:rPr>
        <w:t>f</w:t>
      </w:r>
      <w:r w:rsidRPr="005A770F">
        <w:rPr>
          <w:i/>
          <w:lang w:val="en-GB" w:eastAsia="fr-FR"/>
        </w:rPr>
        <w:t xml:space="preserve">, C. Berri </w:t>
      </w:r>
      <w:r w:rsidRPr="005A770F">
        <w:rPr>
          <w:i/>
          <w:vertAlign w:val="superscript"/>
          <w:lang w:val="en-GB" w:eastAsia="fr-FR"/>
        </w:rPr>
        <w:t>a*</w:t>
      </w:r>
      <w:r w:rsidRPr="005A770F">
        <w:rPr>
          <w:i/>
          <w:lang w:val="en-GB" w:eastAsia="fr-FR"/>
        </w:rPr>
        <w:t xml:space="preserve">, E. Le Bihan-Duval </w:t>
      </w:r>
      <w:bookmarkEnd w:id="0"/>
      <w:r w:rsidRPr="005A770F">
        <w:rPr>
          <w:i/>
          <w:vertAlign w:val="superscript"/>
          <w:lang w:val="en-GB" w:eastAsia="fr-FR"/>
        </w:rPr>
        <w:t>a</w:t>
      </w:r>
      <w:r w:rsidRPr="005A770F">
        <w:rPr>
          <w:i/>
          <w:vertAlign w:val="superscript"/>
          <w:lang w:eastAsia="fr-FR"/>
        </w:rPr>
        <w:t>*</w:t>
      </w:r>
    </w:p>
    <w:p w14:paraId="01A18715" w14:textId="77777777" w:rsidR="005A770F" w:rsidRPr="005A770F" w:rsidRDefault="005A770F" w:rsidP="005A770F">
      <w:pPr>
        <w:overflowPunct/>
        <w:autoSpaceDE/>
        <w:autoSpaceDN/>
        <w:adjustRightInd/>
        <w:spacing w:line="480" w:lineRule="auto"/>
        <w:textAlignment w:val="auto"/>
        <w:rPr>
          <w:lang w:val="fr-FR" w:eastAsia="fr-FR"/>
        </w:rPr>
      </w:pPr>
      <w:r w:rsidRPr="005A770F">
        <w:rPr>
          <w:vertAlign w:val="superscript"/>
          <w:lang w:val="fr-FR" w:eastAsia="fr-FR"/>
        </w:rPr>
        <w:t xml:space="preserve">a </w:t>
      </w:r>
      <w:r w:rsidRPr="005A770F">
        <w:rPr>
          <w:lang w:val="fr-FR" w:eastAsia="fr-FR"/>
        </w:rPr>
        <w:t>INRAE, Université de Tours, BOA, 37380 Nouzilly, France</w:t>
      </w:r>
    </w:p>
    <w:p w14:paraId="2CC7DCEA" w14:textId="77777777" w:rsidR="005A770F" w:rsidRPr="005A770F" w:rsidRDefault="005A770F" w:rsidP="005A770F">
      <w:pPr>
        <w:overflowPunct/>
        <w:autoSpaceDE/>
        <w:autoSpaceDN/>
        <w:adjustRightInd/>
        <w:spacing w:line="480" w:lineRule="auto"/>
        <w:textAlignment w:val="auto"/>
        <w:rPr>
          <w:lang w:val="fr-FR" w:eastAsia="fr-FR"/>
        </w:rPr>
      </w:pPr>
      <w:r w:rsidRPr="005A770F">
        <w:rPr>
          <w:vertAlign w:val="superscript"/>
          <w:lang w:val="fr-FR" w:eastAsia="fr-FR"/>
        </w:rPr>
        <w:t xml:space="preserve">b </w:t>
      </w:r>
      <w:r w:rsidRPr="005A770F">
        <w:rPr>
          <w:lang w:val="fr-FR" w:eastAsia="fr-FR"/>
        </w:rPr>
        <w:t>INRAE, UE EASM, Le Magneraud, CS 40052, 17700, Surgères, France</w:t>
      </w:r>
    </w:p>
    <w:p w14:paraId="0A72BDE7" w14:textId="77777777" w:rsidR="005A770F" w:rsidRPr="005A770F" w:rsidRDefault="005A770F" w:rsidP="005A770F">
      <w:pPr>
        <w:overflowPunct/>
        <w:autoSpaceDE/>
        <w:autoSpaceDN/>
        <w:adjustRightInd/>
        <w:spacing w:line="480" w:lineRule="auto"/>
        <w:textAlignment w:val="auto"/>
        <w:rPr>
          <w:lang w:val="en-US" w:eastAsia="fr-FR"/>
        </w:rPr>
      </w:pPr>
      <w:r w:rsidRPr="005A770F">
        <w:rPr>
          <w:vertAlign w:val="superscript"/>
          <w:lang w:val="en-US" w:eastAsia="fr-FR"/>
        </w:rPr>
        <w:t xml:space="preserve">c </w:t>
      </w:r>
      <w:r w:rsidRPr="005A770F">
        <w:rPr>
          <w:lang w:val="en-US" w:eastAsia="fr-FR"/>
        </w:rPr>
        <w:t>SYSAAF, Nouzilly, France</w:t>
      </w:r>
    </w:p>
    <w:p w14:paraId="6EEBEB11" w14:textId="77777777" w:rsidR="005A770F" w:rsidRPr="005A770F" w:rsidRDefault="005A770F" w:rsidP="005A770F">
      <w:pPr>
        <w:spacing w:line="480" w:lineRule="auto"/>
      </w:pPr>
      <w:r w:rsidRPr="005A770F">
        <w:rPr>
          <w:vertAlign w:val="superscript"/>
        </w:rPr>
        <w:t>d</w:t>
      </w:r>
      <w:r w:rsidRPr="005A770F">
        <w:t xml:space="preserve"> Department of Agricultural, Environmental and Food Science, University of Perugia, Borgo XX Giugno 74, 06124, Perugia, Italy </w:t>
      </w:r>
    </w:p>
    <w:p w14:paraId="6BA5F0CF" w14:textId="77777777" w:rsidR="005A770F" w:rsidRPr="005A770F" w:rsidRDefault="005A770F" w:rsidP="005A770F">
      <w:pPr>
        <w:spacing w:line="480" w:lineRule="auto"/>
        <w:rPr>
          <w:rFonts w:cs="Arial"/>
          <w:color w:val="222222"/>
          <w:lang w:eastAsia="fr-FR"/>
        </w:rPr>
      </w:pPr>
      <w:r w:rsidRPr="005A770F">
        <w:rPr>
          <w:rFonts w:cs="Arial"/>
          <w:vertAlign w:val="superscript"/>
          <w:lang w:eastAsia="fr-FR"/>
        </w:rPr>
        <w:t xml:space="preserve">e </w:t>
      </w:r>
      <w:r w:rsidRPr="005A770F">
        <w:rPr>
          <w:rFonts w:cs="Arial"/>
          <w:lang w:eastAsia="fr-FR"/>
        </w:rPr>
        <w:t xml:space="preserve">France </w:t>
      </w:r>
      <w:r w:rsidRPr="005A770F">
        <w:rPr>
          <w:rFonts w:cs="Arial"/>
          <w:color w:val="222222"/>
          <w:lang w:eastAsia="fr-FR"/>
        </w:rPr>
        <w:t>Junia, Comportement Animal et Systèmes d’Elevage, F-59000 Lille, France</w:t>
      </w:r>
    </w:p>
    <w:p w14:paraId="58142092" w14:textId="77777777" w:rsidR="005A770F" w:rsidRPr="005A770F" w:rsidRDefault="005A770F" w:rsidP="005A770F">
      <w:pPr>
        <w:overflowPunct/>
        <w:autoSpaceDE/>
        <w:autoSpaceDN/>
        <w:adjustRightInd/>
        <w:spacing w:line="480" w:lineRule="auto"/>
        <w:textAlignment w:val="auto"/>
        <w:rPr>
          <w:lang w:eastAsia="fr-FR"/>
        </w:rPr>
      </w:pPr>
      <w:r w:rsidRPr="005A770F">
        <w:rPr>
          <w:rFonts w:cs="Arial"/>
          <w:vertAlign w:val="superscript"/>
          <w:lang w:val="fr-FR" w:eastAsia="fr-FR"/>
        </w:rPr>
        <w:t xml:space="preserve">f </w:t>
      </w:r>
      <w:r w:rsidRPr="005A770F">
        <w:rPr>
          <w:lang w:val="fr-FR" w:eastAsia="fr-FR"/>
        </w:rPr>
        <w:t>INRAE, CNRS, IFCE, Université de Tours, PRC, 37380, Nouzilly, France</w:t>
      </w:r>
    </w:p>
    <w:p w14:paraId="1732661F" w14:textId="77777777" w:rsidR="005A770F" w:rsidRPr="005A770F" w:rsidRDefault="005A770F" w:rsidP="005A770F">
      <w:pPr>
        <w:overflowPunct/>
        <w:autoSpaceDE/>
        <w:autoSpaceDN/>
        <w:adjustRightInd/>
        <w:spacing w:line="480" w:lineRule="auto"/>
        <w:textAlignment w:val="auto"/>
        <w:rPr>
          <w:lang w:val="en-GB" w:eastAsia="fr-FR"/>
        </w:rPr>
      </w:pPr>
      <w:r w:rsidRPr="005A770F">
        <w:rPr>
          <w:lang w:val="en-GB" w:eastAsia="fr-FR"/>
        </w:rPr>
        <w:t xml:space="preserve">Corresponding author: Claire Bonnefous. Email: </w:t>
      </w:r>
      <w:hyperlink r:id="rId6" w:history="1">
        <w:r w:rsidRPr="005A770F">
          <w:rPr>
            <w:color w:val="0000FF"/>
            <w:u w:val="single"/>
            <w:lang w:val="en-GB" w:eastAsia="fr-FR"/>
          </w:rPr>
          <w:t>claire.bonnefous@inrae.fr</w:t>
        </w:r>
      </w:hyperlink>
    </w:p>
    <w:p w14:paraId="03846804" w14:textId="77777777" w:rsidR="005A770F" w:rsidRPr="005A770F" w:rsidRDefault="005A770F" w:rsidP="005A770F">
      <w:pPr>
        <w:overflowPunct/>
        <w:autoSpaceDE/>
        <w:autoSpaceDN/>
        <w:adjustRightInd/>
        <w:spacing w:line="480" w:lineRule="auto"/>
        <w:textAlignment w:val="auto"/>
        <w:rPr>
          <w:lang w:val="en-GB" w:eastAsia="fr-FR"/>
        </w:rPr>
      </w:pPr>
      <w:r w:rsidRPr="005A770F">
        <w:rPr>
          <w:lang w:val="en-GB" w:eastAsia="fr-FR"/>
        </w:rPr>
        <w:t>*Equally contributed to the study</w:t>
      </w:r>
    </w:p>
    <w:p w14:paraId="0AA922DC" w14:textId="77777777" w:rsidR="005A770F" w:rsidRDefault="005A770F">
      <w:pPr>
        <w:sectPr w:rsidR="005A770F" w:rsidSect="005A770F">
          <w:headerReference w:type="default" r:id="rId7"/>
          <w:pgSz w:w="11906" w:h="16838"/>
          <w:pgMar w:top="1417" w:right="1417" w:bottom="1417" w:left="1417" w:header="708" w:footer="708" w:gutter="0"/>
          <w:cols w:space="708"/>
          <w:docGrid w:linePitch="360"/>
        </w:sectPr>
      </w:pPr>
    </w:p>
    <w:p w14:paraId="2A790431" w14:textId="252FF0DD" w:rsidR="005A770F" w:rsidRDefault="005A770F">
      <w:r w:rsidRPr="00052052">
        <w:rPr>
          <w:rStyle w:val="ANMheading1Car"/>
        </w:rPr>
        <w:lastRenderedPageBreak/>
        <w:t>Supplementary Table S</w:t>
      </w:r>
      <w:r w:rsidR="00FD42AF">
        <w:rPr>
          <w:rStyle w:val="ANMheading1Car"/>
        </w:rPr>
        <w:t>1</w:t>
      </w:r>
      <w:r w:rsidRPr="00052052">
        <w:rPr>
          <w:rStyle w:val="ANMheading1Car"/>
        </w:rPr>
        <w:t xml:space="preserve"> Definition and reference in ATOL, Chebi or Vertebrate trait ontology of the measured traits</w:t>
      </w:r>
    </w:p>
    <w:p w14:paraId="1A2CFF1F" w14:textId="77777777" w:rsidR="005A770F" w:rsidRDefault="005A770F"/>
    <w:tbl>
      <w:tblPr>
        <w:tblStyle w:val="TableauGrille1Clair1"/>
        <w:tblW w:w="0" w:type="auto"/>
        <w:tblLook w:val="04A0" w:firstRow="1" w:lastRow="0" w:firstColumn="1" w:lastColumn="0" w:noHBand="0" w:noVBand="1"/>
      </w:tblPr>
      <w:tblGrid>
        <w:gridCol w:w="2307"/>
        <w:gridCol w:w="2844"/>
        <w:gridCol w:w="8843"/>
      </w:tblGrid>
      <w:tr w:rsidR="00A55D46" w:rsidRPr="00936148" w14:paraId="1432875F" w14:textId="77777777" w:rsidTr="00AC088F">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vAlign w:val="center"/>
            <w:hideMark/>
          </w:tcPr>
          <w:p w14:paraId="265D2C40" w14:textId="77777777" w:rsidR="00A55D46" w:rsidRPr="00936148" w:rsidRDefault="00A55D46" w:rsidP="00AC088F">
            <w:pPr>
              <w:spacing w:line="276" w:lineRule="auto"/>
              <w:rPr>
                <w:rFonts w:cs="Arial"/>
                <w:color w:val="000000"/>
                <w:sz w:val="22"/>
                <w:szCs w:val="22"/>
                <w:lang w:val="en-GB" w:eastAsia="fr-FR"/>
              </w:rPr>
            </w:pPr>
            <w:r w:rsidRPr="00936148">
              <w:rPr>
                <w:rFonts w:cs="Arial"/>
                <w:color w:val="000000"/>
                <w:sz w:val="22"/>
                <w:szCs w:val="22"/>
                <w:lang w:val="en-GB" w:eastAsia="fr-FR"/>
              </w:rPr>
              <w:t xml:space="preserve">Traits </w:t>
            </w:r>
          </w:p>
        </w:tc>
        <w:tc>
          <w:tcPr>
            <w:tcW w:w="0" w:type="auto"/>
            <w:tcBorders>
              <w:top w:val="single" w:sz="4" w:space="0" w:color="auto"/>
              <w:bottom w:val="single" w:sz="4" w:space="0" w:color="auto"/>
            </w:tcBorders>
            <w:vAlign w:val="center"/>
            <w:hideMark/>
          </w:tcPr>
          <w:p w14:paraId="5F776CCA" w14:textId="014C1966" w:rsidR="00A55D46" w:rsidRPr="00936148" w:rsidRDefault="00A55D46" w:rsidP="00AC088F">
            <w:pPr>
              <w:spacing w:line="276" w:lineRule="auto"/>
              <w:cnfStyle w:val="100000000000" w:firstRow="1"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 /VT /Chebi references</w:t>
            </w:r>
          </w:p>
        </w:tc>
        <w:tc>
          <w:tcPr>
            <w:tcW w:w="0" w:type="auto"/>
            <w:tcBorders>
              <w:top w:val="single" w:sz="4" w:space="0" w:color="auto"/>
              <w:bottom w:val="single" w:sz="4" w:space="0" w:color="auto"/>
            </w:tcBorders>
            <w:vAlign w:val="center"/>
            <w:hideMark/>
          </w:tcPr>
          <w:p w14:paraId="03955D8C" w14:textId="77777777" w:rsidR="00A55D46" w:rsidRPr="00936148" w:rsidRDefault="00A55D46" w:rsidP="00AC088F">
            <w:pPr>
              <w:spacing w:line="276" w:lineRule="auto"/>
              <w:cnfStyle w:val="100000000000" w:firstRow="1"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Descriptions</w:t>
            </w:r>
          </w:p>
        </w:tc>
      </w:tr>
      <w:tr w:rsidR="00A55D46" w:rsidRPr="00936148" w14:paraId="599541FF"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gridSpan w:val="3"/>
            <w:tcBorders>
              <w:top w:val="single" w:sz="4" w:space="0" w:color="auto"/>
              <w:bottom w:val="single" w:sz="4" w:space="0" w:color="auto"/>
            </w:tcBorders>
            <w:shd w:val="clear" w:color="auto" w:fill="D9D9D9" w:themeFill="background1" w:themeFillShade="D9"/>
            <w:vAlign w:val="center"/>
            <w:hideMark/>
          </w:tcPr>
          <w:p w14:paraId="7180143C" w14:textId="77777777" w:rsidR="00A55D46" w:rsidRPr="00936148" w:rsidRDefault="00A55D46" w:rsidP="00AC088F">
            <w:pPr>
              <w:spacing w:line="276" w:lineRule="auto"/>
              <w:rPr>
                <w:rFonts w:cs="Arial"/>
                <w:sz w:val="22"/>
                <w:szCs w:val="22"/>
                <w:lang w:val="en-GB" w:eastAsia="fr-FR"/>
              </w:rPr>
            </w:pPr>
            <w:r w:rsidRPr="00936148">
              <w:rPr>
                <w:rFonts w:cs="Arial"/>
                <w:color w:val="000000"/>
                <w:sz w:val="22"/>
                <w:szCs w:val="22"/>
                <w:lang w:val="en-GB" w:eastAsia="fr-FR"/>
              </w:rPr>
              <w:t>Welfare indicators</w:t>
            </w:r>
          </w:p>
        </w:tc>
      </w:tr>
      <w:tr w:rsidR="00A55D46" w:rsidRPr="00936148" w14:paraId="140980E7"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vAlign w:val="center"/>
            <w:hideMark/>
          </w:tcPr>
          <w:p w14:paraId="4E11CBBF" w14:textId="77777777" w:rsidR="00A55D46" w:rsidRPr="00936148" w:rsidRDefault="00A55D46" w:rsidP="00AC088F">
            <w:pPr>
              <w:spacing w:line="276" w:lineRule="auto"/>
              <w:rPr>
                <w:rFonts w:cs="Arial"/>
                <w:b w:val="0"/>
                <w:color w:val="000000"/>
                <w:sz w:val="22"/>
                <w:szCs w:val="22"/>
                <w:lang w:val="en-GB" w:eastAsia="fr-FR"/>
              </w:rPr>
            </w:pPr>
            <w:r w:rsidRPr="00936148">
              <w:rPr>
                <w:rFonts w:cs="Arial"/>
                <w:b w:val="0"/>
                <w:color w:val="000000"/>
                <w:sz w:val="22"/>
                <w:szCs w:val="22"/>
                <w:lang w:val="en-GB" w:eastAsia="fr-FR"/>
              </w:rPr>
              <w:t>Foot pad dermatitis</w:t>
            </w:r>
          </w:p>
        </w:tc>
        <w:tc>
          <w:tcPr>
            <w:tcW w:w="0" w:type="auto"/>
            <w:tcBorders>
              <w:top w:val="single" w:sz="4" w:space="0" w:color="auto"/>
              <w:bottom w:val="single" w:sz="4" w:space="0" w:color="auto"/>
            </w:tcBorders>
            <w:vAlign w:val="center"/>
            <w:hideMark/>
          </w:tcPr>
          <w:p w14:paraId="1BC23EBF"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ATOL_0002145 (</w:t>
            </w:r>
            <w:r w:rsidRPr="00936148">
              <w:rPr>
                <w:rFonts w:cs="Arial"/>
                <w:color w:val="000000"/>
                <w:sz w:val="22"/>
                <w:szCs w:val="22"/>
                <w:shd w:val="clear" w:color="auto" w:fill="FDFDFD"/>
                <w:lang w:val="en-GB"/>
              </w:rPr>
              <w:t>foot integrity</w:t>
            </w:r>
            <w:r w:rsidRPr="00936148">
              <w:rPr>
                <w:rFonts w:cs="Arial"/>
                <w:color w:val="000000"/>
                <w:sz w:val="22"/>
                <w:szCs w:val="22"/>
                <w:lang w:val="en-GB" w:eastAsia="fr-FR"/>
              </w:rPr>
              <w:t xml:space="preserve">) </w:t>
            </w:r>
          </w:p>
        </w:tc>
        <w:tc>
          <w:tcPr>
            <w:tcW w:w="0" w:type="auto"/>
            <w:tcBorders>
              <w:top w:val="single" w:sz="4" w:space="0" w:color="auto"/>
              <w:bottom w:val="single" w:sz="4" w:space="0" w:color="auto"/>
            </w:tcBorders>
            <w:vAlign w:val="center"/>
            <w:hideMark/>
          </w:tcPr>
          <w:p w14:paraId="05EDEF7F"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shd w:val="clear" w:color="auto" w:fill="FDFDFD"/>
                <w:lang w:val="en-GB"/>
              </w:rPr>
              <w:t>any measurable or observable characteristic related to the integrity of foot that affects movement.</w:t>
            </w:r>
          </w:p>
        </w:tc>
      </w:tr>
      <w:tr w:rsidR="00A55D46" w:rsidRPr="00936148" w14:paraId="71A8F358"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vAlign w:val="center"/>
            <w:hideMark/>
          </w:tcPr>
          <w:p w14:paraId="4BA2E660" w14:textId="77777777" w:rsidR="00A55D46" w:rsidRPr="00936148" w:rsidRDefault="00A55D46" w:rsidP="00AC088F">
            <w:pPr>
              <w:spacing w:line="276" w:lineRule="auto"/>
              <w:rPr>
                <w:rFonts w:cs="Arial"/>
                <w:b w:val="0"/>
                <w:color w:val="000000"/>
                <w:sz w:val="22"/>
                <w:szCs w:val="22"/>
                <w:lang w:val="en-GB" w:eastAsia="fr-FR"/>
              </w:rPr>
            </w:pPr>
            <w:r w:rsidRPr="00936148">
              <w:rPr>
                <w:rFonts w:cs="Arial"/>
                <w:b w:val="0"/>
                <w:color w:val="000000"/>
                <w:sz w:val="22"/>
                <w:szCs w:val="22"/>
                <w:lang w:val="en-GB"/>
              </w:rPr>
              <w:t>Hock burn</w:t>
            </w:r>
          </w:p>
        </w:tc>
        <w:tc>
          <w:tcPr>
            <w:tcW w:w="0" w:type="auto"/>
            <w:tcBorders>
              <w:top w:val="single" w:sz="4" w:space="0" w:color="auto"/>
              <w:bottom w:val="single" w:sz="4" w:space="0" w:color="auto"/>
            </w:tcBorders>
            <w:vAlign w:val="center"/>
            <w:hideMark/>
          </w:tcPr>
          <w:p w14:paraId="436CBD27"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ATOL_0000837 (</w:t>
            </w:r>
            <w:r w:rsidRPr="00936148">
              <w:rPr>
                <w:rFonts w:cs="Arial"/>
                <w:color w:val="000000"/>
                <w:sz w:val="22"/>
                <w:szCs w:val="22"/>
                <w:shd w:val="clear" w:color="auto" w:fill="FDFDFD"/>
                <w:lang w:val="en-GB"/>
              </w:rPr>
              <w:t>leg integrity</w:t>
            </w:r>
            <w:r w:rsidRPr="00936148">
              <w:rPr>
                <w:rFonts w:cs="Arial"/>
                <w:color w:val="000000"/>
                <w:sz w:val="22"/>
                <w:szCs w:val="22"/>
                <w:lang w:val="en-GB" w:eastAsia="fr-FR"/>
              </w:rPr>
              <w:t>)</w:t>
            </w:r>
          </w:p>
        </w:tc>
        <w:tc>
          <w:tcPr>
            <w:tcW w:w="0" w:type="auto"/>
            <w:tcBorders>
              <w:top w:val="single" w:sz="4" w:space="0" w:color="auto"/>
              <w:bottom w:val="single" w:sz="4" w:space="0" w:color="auto"/>
            </w:tcBorders>
            <w:vAlign w:val="center"/>
            <w:hideMark/>
          </w:tcPr>
          <w:p w14:paraId="3DA15790"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shd w:val="clear" w:color="auto" w:fill="FDFDFD"/>
                <w:lang w:val="en-GB"/>
              </w:rPr>
              <w:t>any measurable or observable characteristic related to the integrity of leg that affects movement.</w:t>
            </w:r>
          </w:p>
        </w:tc>
      </w:tr>
      <w:tr w:rsidR="00A55D46" w:rsidRPr="00936148" w14:paraId="33D7F1EC"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vAlign w:val="center"/>
          </w:tcPr>
          <w:p w14:paraId="798C7478" w14:textId="77777777" w:rsidR="00A55D46" w:rsidRPr="00936148" w:rsidRDefault="00A55D46" w:rsidP="00AC088F">
            <w:pPr>
              <w:spacing w:line="276" w:lineRule="auto"/>
              <w:rPr>
                <w:rFonts w:cs="Arial"/>
                <w:b w:val="0"/>
                <w:sz w:val="22"/>
                <w:szCs w:val="22"/>
                <w:lang w:val="en-GB" w:eastAsia="fr-FR"/>
              </w:rPr>
            </w:pPr>
            <w:r w:rsidRPr="00936148">
              <w:rPr>
                <w:rFonts w:cs="Arial"/>
                <w:b w:val="0"/>
                <w:sz w:val="22"/>
                <w:szCs w:val="22"/>
                <w:lang w:val="en-GB" w:eastAsia="fr-FR"/>
              </w:rPr>
              <w:t>Wing flapping</w:t>
            </w:r>
          </w:p>
        </w:tc>
        <w:tc>
          <w:tcPr>
            <w:tcW w:w="0" w:type="auto"/>
            <w:tcBorders>
              <w:top w:val="single" w:sz="4" w:space="0" w:color="auto"/>
              <w:bottom w:val="single" w:sz="4" w:space="0" w:color="auto"/>
            </w:tcBorders>
            <w:vAlign w:val="center"/>
          </w:tcPr>
          <w:p w14:paraId="1C5D2964"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ATOL_0000842 (member movement)</w:t>
            </w:r>
          </w:p>
        </w:tc>
        <w:tc>
          <w:tcPr>
            <w:tcW w:w="0" w:type="auto"/>
            <w:tcBorders>
              <w:top w:val="single" w:sz="4" w:space="0" w:color="auto"/>
              <w:bottom w:val="single" w:sz="4" w:space="0" w:color="auto"/>
            </w:tcBorders>
            <w:vAlign w:val="center"/>
          </w:tcPr>
          <w:p w14:paraId="3D09964E"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or observable characteristic related to motility of limbs, wings or fins</w:t>
            </w:r>
          </w:p>
        </w:tc>
      </w:tr>
      <w:tr w:rsidR="00A55D46" w:rsidRPr="00936148" w14:paraId="028339D9"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vAlign w:val="center"/>
            <w:hideMark/>
          </w:tcPr>
          <w:p w14:paraId="7E68BE6D" w14:textId="77777777" w:rsidR="00A55D46" w:rsidRPr="00936148" w:rsidRDefault="00A55D46" w:rsidP="00AC088F">
            <w:pPr>
              <w:spacing w:line="276" w:lineRule="auto"/>
              <w:rPr>
                <w:rFonts w:cs="Arial"/>
                <w:b w:val="0"/>
                <w:sz w:val="22"/>
                <w:szCs w:val="22"/>
                <w:lang w:val="en-GB" w:eastAsia="fr-FR"/>
              </w:rPr>
            </w:pPr>
            <w:r w:rsidRPr="00936148">
              <w:rPr>
                <w:rFonts w:cs="Arial"/>
                <w:b w:val="0"/>
                <w:sz w:val="22"/>
                <w:szCs w:val="22"/>
                <w:lang w:val="en-GB" w:eastAsia="fr-FR"/>
              </w:rPr>
              <w:t xml:space="preserve">Straightening </w:t>
            </w:r>
          </w:p>
        </w:tc>
        <w:tc>
          <w:tcPr>
            <w:tcW w:w="0" w:type="auto"/>
            <w:tcBorders>
              <w:top w:val="single" w:sz="4" w:space="0" w:color="auto"/>
              <w:bottom w:val="single" w:sz="4" w:space="0" w:color="auto"/>
            </w:tcBorders>
            <w:vAlign w:val="center"/>
          </w:tcPr>
          <w:p w14:paraId="135E57AF"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ATOL_0000242 (head movement)</w:t>
            </w:r>
          </w:p>
        </w:tc>
        <w:tc>
          <w:tcPr>
            <w:tcW w:w="0" w:type="auto"/>
            <w:tcBorders>
              <w:top w:val="single" w:sz="4" w:space="0" w:color="auto"/>
              <w:bottom w:val="single" w:sz="4" w:space="0" w:color="auto"/>
            </w:tcBorders>
            <w:vAlign w:val="center"/>
          </w:tcPr>
          <w:p w14:paraId="25568042"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or observable characteristic related to the motricity of the head</w:t>
            </w:r>
          </w:p>
        </w:tc>
      </w:tr>
      <w:tr w:rsidR="00A55D46" w:rsidRPr="00936148" w14:paraId="7B7F3503"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gridSpan w:val="2"/>
            <w:tcBorders>
              <w:top w:val="single" w:sz="4" w:space="0" w:color="auto"/>
              <w:bottom w:val="single" w:sz="4" w:space="0" w:color="auto"/>
            </w:tcBorders>
            <w:shd w:val="clear" w:color="auto" w:fill="D9D9D9" w:themeFill="background1" w:themeFillShade="D9"/>
            <w:vAlign w:val="center"/>
          </w:tcPr>
          <w:p w14:paraId="7F4EF373" w14:textId="77777777" w:rsidR="00A55D46" w:rsidRPr="00936148" w:rsidRDefault="00A55D46" w:rsidP="00AC088F">
            <w:pPr>
              <w:spacing w:line="276" w:lineRule="auto"/>
              <w:rPr>
                <w:rFonts w:cs="Arial"/>
                <w:bCs w:val="0"/>
                <w:color w:val="000000"/>
                <w:sz w:val="22"/>
                <w:szCs w:val="22"/>
                <w:lang w:val="en-GB" w:eastAsia="fr-FR"/>
              </w:rPr>
            </w:pPr>
            <w:r w:rsidRPr="00936148">
              <w:rPr>
                <w:rFonts w:cs="Arial"/>
                <w:color w:val="000000"/>
                <w:sz w:val="22"/>
                <w:szCs w:val="22"/>
                <w:lang w:val="en-GB" w:eastAsia="fr-FR"/>
              </w:rPr>
              <w:t>Performance indicators</w:t>
            </w:r>
          </w:p>
        </w:tc>
        <w:tc>
          <w:tcPr>
            <w:tcW w:w="0" w:type="auto"/>
            <w:tcBorders>
              <w:top w:val="single" w:sz="4" w:space="0" w:color="auto"/>
              <w:bottom w:val="single" w:sz="4" w:space="0" w:color="auto"/>
            </w:tcBorders>
            <w:shd w:val="clear" w:color="auto" w:fill="D9D9D9" w:themeFill="background1" w:themeFillShade="D9"/>
            <w:vAlign w:val="center"/>
          </w:tcPr>
          <w:p w14:paraId="12DE76C6"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bCs/>
                <w:color w:val="000000"/>
                <w:sz w:val="22"/>
                <w:szCs w:val="22"/>
                <w:lang w:val="en-GB" w:eastAsia="fr-FR"/>
              </w:rPr>
            </w:pPr>
          </w:p>
        </w:tc>
      </w:tr>
      <w:tr w:rsidR="00A55D46" w:rsidRPr="00936148" w14:paraId="3C18E30F"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vAlign w:val="center"/>
          </w:tcPr>
          <w:p w14:paraId="5A219EF0" w14:textId="77777777" w:rsidR="00A55D46" w:rsidRPr="00936148" w:rsidRDefault="00A55D46" w:rsidP="00AC088F">
            <w:pPr>
              <w:spacing w:line="276" w:lineRule="auto"/>
              <w:rPr>
                <w:rFonts w:cs="Arial"/>
                <w:b w:val="0"/>
                <w:color w:val="000000"/>
                <w:sz w:val="22"/>
                <w:szCs w:val="22"/>
                <w:shd w:val="clear" w:color="auto" w:fill="FDFDFD"/>
                <w:lang w:val="en-GB"/>
              </w:rPr>
            </w:pPr>
            <w:r w:rsidRPr="00936148">
              <w:rPr>
                <w:rFonts w:cs="Arial"/>
                <w:b w:val="0"/>
                <w:color w:val="000000"/>
                <w:sz w:val="22"/>
                <w:szCs w:val="22"/>
                <w:shd w:val="clear" w:color="auto" w:fill="FDFDFD"/>
                <w:lang w:val="en-GB"/>
              </w:rPr>
              <w:t>body weight</w:t>
            </w:r>
          </w:p>
        </w:tc>
        <w:tc>
          <w:tcPr>
            <w:tcW w:w="0" w:type="auto"/>
            <w:tcBorders>
              <w:top w:val="single" w:sz="4" w:space="0" w:color="auto"/>
              <w:bottom w:val="single" w:sz="4" w:space="0" w:color="auto"/>
            </w:tcBorders>
            <w:vAlign w:val="center"/>
          </w:tcPr>
          <w:p w14:paraId="56DB37ED"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ATOL_0000351 (body weight)</w:t>
            </w:r>
          </w:p>
        </w:tc>
        <w:tc>
          <w:tcPr>
            <w:tcW w:w="0" w:type="auto"/>
            <w:tcBorders>
              <w:top w:val="single" w:sz="4" w:space="0" w:color="auto"/>
              <w:bottom w:val="single" w:sz="4" w:space="0" w:color="auto"/>
            </w:tcBorders>
            <w:vAlign w:val="center"/>
          </w:tcPr>
          <w:p w14:paraId="32FD57AA"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characteristic related to the body weight of an organism.</w:t>
            </w:r>
          </w:p>
        </w:tc>
      </w:tr>
      <w:tr w:rsidR="00A55D46" w:rsidRPr="00936148" w14:paraId="338D19C9"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vAlign w:val="center"/>
          </w:tcPr>
          <w:p w14:paraId="21CB892C" w14:textId="77777777" w:rsidR="00A55D46" w:rsidRPr="00936148" w:rsidRDefault="00A55D46" w:rsidP="00AC088F">
            <w:pPr>
              <w:spacing w:line="276" w:lineRule="auto"/>
              <w:rPr>
                <w:rFonts w:cs="Arial"/>
                <w:b w:val="0"/>
                <w:color w:val="000000"/>
                <w:sz w:val="22"/>
                <w:szCs w:val="22"/>
                <w:lang w:val="en-GB" w:eastAsia="fr-FR"/>
              </w:rPr>
            </w:pPr>
            <w:r w:rsidRPr="00936148">
              <w:rPr>
                <w:rFonts w:cs="Arial"/>
                <w:b w:val="0"/>
                <w:color w:val="000000"/>
                <w:sz w:val="22"/>
                <w:szCs w:val="22"/>
                <w:shd w:val="clear" w:color="auto" w:fill="FDFDFD"/>
                <w:lang w:val="en-GB"/>
              </w:rPr>
              <w:t>carcass weight</w:t>
            </w:r>
          </w:p>
        </w:tc>
        <w:tc>
          <w:tcPr>
            <w:tcW w:w="0" w:type="auto"/>
            <w:tcBorders>
              <w:top w:val="single" w:sz="4" w:space="0" w:color="auto"/>
              <w:bottom w:val="single" w:sz="4" w:space="0" w:color="auto"/>
            </w:tcBorders>
            <w:vAlign w:val="center"/>
          </w:tcPr>
          <w:p w14:paraId="185A24D8"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ATOL_0001057 (carcass weight)</w:t>
            </w:r>
          </w:p>
        </w:tc>
        <w:tc>
          <w:tcPr>
            <w:tcW w:w="0" w:type="auto"/>
            <w:tcBorders>
              <w:top w:val="single" w:sz="4" w:space="0" w:color="auto"/>
              <w:bottom w:val="single" w:sz="4" w:space="0" w:color="auto"/>
            </w:tcBorders>
            <w:vAlign w:val="center"/>
          </w:tcPr>
          <w:p w14:paraId="55442D5D"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characteristic related to the weight of an animal following slaughter and depending on species (see comment) removal of the head, digestive tract, internal organs, and possibly the limbs.</w:t>
            </w:r>
          </w:p>
        </w:tc>
      </w:tr>
      <w:tr w:rsidR="00A55D46" w:rsidRPr="00936148" w14:paraId="1558ADC9"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vAlign w:val="center"/>
          </w:tcPr>
          <w:p w14:paraId="4722F50F" w14:textId="77777777" w:rsidR="00A55D46" w:rsidRPr="00936148" w:rsidRDefault="00A55D46" w:rsidP="00AC088F">
            <w:pPr>
              <w:spacing w:line="276" w:lineRule="auto"/>
              <w:rPr>
                <w:rFonts w:cs="Arial"/>
                <w:b w:val="0"/>
                <w:color w:val="000000"/>
                <w:sz w:val="22"/>
                <w:szCs w:val="22"/>
                <w:lang w:val="en-GB" w:eastAsia="fr-FR"/>
              </w:rPr>
            </w:pPr>
            <w:r w:rsidRPr="00936148">
              <w:rPr>
                <w:rFonts w:cs="Arial"/>
                <w:b w:val="0"/>
                <w:color w:val="000000"/>
                <w:sz w:val="22"/>
                <w:szCs w:val="22"/>
                <w:lang w:val="en-GB" w:eastAsia="fr-FR"/>
              </w:rPr>
              <w:t>carcass yield</w:t>
            </w:r>
          </w:p>
        </w:tc>
        <w:tc>
          <w:tcPr>
            <w:tcW w:w="0" w:type="auto"/>
            <w:tcBorders>
              <w:top w:val="single" w:sz="4" w:space="0" w:color="auto"/>
              <w:bottom w:val="single" w:sz="4" w:space="0" w:color="auto"/>
            </w:tcBorders>
            <w:vAlign w:val="center"/>
          </w:tcPr>
          <w:p w14:paraId="23200D67"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ATOL_0000548 (</w:t>
            </w:r>
            <w:r w:rsidRPr="00936148">
              <w:rPr>
                <w:rFonts w:cs="Arial"/>
                <w:color w:val="000000"/>
                <w:sz w:val="22"/>
                <w:szCs w:val="22"/>
                <w:shd w:val="clear" w:color="auto" w:fill="FDFDFD"/>
                <w:lang w:val="en-GB"/>
              </w:rPr>
              <w:t>carcass yield)</w:t>
            </w:r>
          </w:p>
        </w:tc>
        <w:tc>
          <w:tcPr>
            <w:tcW w:w="0" w:type="auto"/>
            <w:tcBorders>
              <w:top w:val="single" w:sz="4" w:space="0" w:color="auto"/>
              <w:bottom w:val="single" w:sz="4" w:space="0" w:color="auto"/>
            </w:tcBorders>
            <w:vAlign w:val="center"/>
          </w:tcPr>
          <w:p w14:paraId="1FAEF0CD"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or observable characteristic related to the yield obtained after processing of a carcass to remove specific parts, normalised by the body weight of the animal.</w:t>
            </w:r>
          </w:p>
        </w:tc>
      </w:tr>
      <w:tr w:rsidR="00A55D46" w:rsidRPr="00936148" w14:paraId="1DD29EE8"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vAlign w:val="center"/>
          </w:tcPr>
          <w:p w14:paraId="060FAC2C" w14:textId="77777777" w:rsidR="00A55D46" w:rsidRPr="00936148" w:rsidRDefault="00A55D46" w:rsidP="00AC088F">
            <w:pPr>
              <w:spacing w:line="276" w:lineRule="auto"/>
              <w:rPr>
                <w:rFonts w:cs="Arial"/>
                <w:b w:val="0"/>
                <w:color w:val="000000"/>
                <w:sz w:val="22"/>
                <w:szCs w:val="22"/>
                <w:lang w:val="en-GB" w:eastAsia="fr-FR"/>
              </w:rPr>
            </w:pPr>
            <w:r w:rsidRPr="00936148">
              <w:rPr>
                <w:rFonts w:cs="Arial"/>
                <w:b w:val="0"/>
                <w:color w:val="000000"/>
                <w:sz w:val="22"/>
                <w:szCs w:val="22"/>
                <w:lang w:val="en-GB" w:eastAsia="fr-FR"/>
              </w:rPr>
              <w:t>Breast weight</w:t>
            </w:r>
          </w:p>
        </w:tc>
        <w:tc>
          <w:tcPr>
            <w:tcW w:w="0" w:type="auto"/>
            <w:tcBorders>
              <w:top w:val="single" w:sz="4" w:space="0" w:color="auto"/>
              <w:bottom w:val="single" w:sz="4" w:space="0" w:color="auto"/>
            </w:tcBorders>
            <w:vAlign w:val="center"/>
          </w:tcPr>
          <w:p w14:paraId="224CD7A6"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ATOL_0000505 (skeletal muscle weight trait)</w:t>
            </w:r>
          </w:p>
        </w:tc>
        <w:tc>
          <w:tcPr>
            <w:tcW w:w="0" w:type="auto"/>
            <w:tcBorders>
              <w:top w:val="single" w:sz="4" w:space="0" w:color="auto"/>
              <w:bottom w:val="single" w:sz="4" w:space="0" w:color="auto"/>
            </w:tcBorders>
            <w:vAlign w:val="center"/>
          </w:tcPr>
          <w:p w14:paraId="78F9AF9A" w14:textId="77777777" w:rsidR="00A55D46" w:rsidRPr="00936148" w:rsidRDefault="00A55D46" w:rsidP="00AC088F">
            <w:pPr>
              <w:tabs>
                <w:tab w:val="left" w:pos="1995"/>
              </w:tabs>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characteristic related to the weight of one or more of the striated muscles connected at either or both extremities with the bony framework of the body.</w:t>
            </w:r>
          </w:p>
        </w:tc>
      </w:tr>
      <w:tr w:rsidR="00A55D46" w:rsidRPr="00936148" w14:paraId="6C7ED455"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vAlign w:val="center"/>
          </w:tcPr>
          <w:p w14:paraId="3426FCC7" w14:textId="77777777" w:rsidR="00A55D46" w:rsidRPr="00936148" w:rsidRDefault="00A55D46" w:rsidP="00AC088F">
            <w:pPr>
              <w:spacing w:line="276" w:lineRule="auto"/>
              <w:rPr>
                <w:rFonts w:cs="Arial"/>
                <w:b w:val="0"/>
                <w:color w:val="000000"/>
                <w:sz w:val="22"/>
                <w:szCs w:val="22"/>
                <w:lang w:val="en-GB" w:eastAsia="fr-FR"/>
              </w:rPr>
            </w:pPr>
            <w:r w:rsidRPr="00936148">
              <w:rPr>
                <w:rFonts w:cs="Arial"/>
                <w:b w:val="0"/>
                <w:color w:val="000000"/>
                <w:sz w:val="22"/>
                <w:szCs w:val="22"/>
                <w:lang w:val="en-GB" w:eastAsia="fr-FR"/>
              </w:rPr>
              <w:t>Breast yield</w:t>
            </w:r>
          </w:p>
        </w:tc>
        <w:tc>
          <w:tcPr>
            <w:tcW w:w="0" w:type="auto"/>
            <w:tcBorders>
              <w:top w:val="single" w:sz="4" w:space="0" w:color="auto"/>
              <w:bottom w:val="single" w:sz="4" w:space="0" w:color="auto"/>
            </w:tcBorders>
            <w:vAlign w:val="center"/>
          </w:tcPr>
          <w:p w14:paraId="56BC379B"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ATOL_0000130 (</w:t>
            </w:r>
            <w:r w:rsidRPr="00936148">
              <w:rPr>
                <w:rFonts w:cs="Arial"/>
                <w:color w:val="000000"/>
                <w:sz w:val="22"/>
                <w:szCs w:val="22"/>
                <w:shd w:val="clear" w:color="auto" w:fill="FDFDFD"/>
                <w:lang w:val="en-GB"/>
              </w:rPr>
              <w:t>muscle to body weight ratio)</w:t>
            </w:r>
          </w:p>
        </w:tc>
        <w:tc>
          <w:tcPr>
            <w:tcW w:w="0" w:type="auto"/>
            <w:tcBorders>
              <w:top w:val="single" w:sz="4" w:space="0" w:color="auto"/>
              <w:bottom w:val="single" w:sz="4" w:space="0" w:color="auto"/>
            </w:tcBorders>
            <w:vAlign w:val="center"/>
          </w:tcPr>
          <w:p w14:paraId="0DAE22EF" w14:textId="77777777" w:rsidR="00A55D46" w:rsidRPr="00936148" w:rsidRDefault="00A55D46" w:rsidP="00AC088F">
            <w:pPr>
              <w:tabs>
                <w:tab w:val="left" w:pos="1995"/>
              </w:tabs>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weight of all muscles or of a specific muscle normalised by the live body weight of the animal.</w:t>
            </w:r>
          </w:p>
        </w:tc>
      </w:tr>
      <w:tr w:rsidR="00A55D46" w:rsidRPr="00936148" w14:paraId="642F4C60"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vAlign w:val="center"/>
          </w:tcPr>
          <w:p w14:paraId="58A4B2D8" w14:textId="77777777" w:rsidR="00A55D46" w:rsidRPr="00936148" w:rsidRDefault="00A55D46" w:rsidP="00AC088F">
            <w:pPr>
              <w:spacing w:line="276" w:lineRule="auto"/>
              <w:rPr>
                <w:rFonts w:cs="Arial"/>
                <w:b w:val="0"/>
                <w:color w:val="000000"/>
                <w:sz w:val="22"/>
                <w:szCs w:val="22"/>
                <w:lang w:val="en-GB" w:eastAsia="fr-FR"/>
              </w:rPr>
            </w:pPr>
            <w:r w:rsidRPr="00936148">
              <w:rPr>
                <w:rFonts w:cs="Arial"/>
                <w:b w:val="0"/>
                <w:color w:val="000000"/>
                <w:sz w:val="22"/>
                <w:szCs w:val="22"/>
                <w:lang w:val="en-GB" w:eastAsia="fr-FR"/>
              </w:rPr>
              <w:t>Thigh weight</w:t>
            </w:r>
          </w:p>
        </w:tc>
        <w:tc>
          <w:tcPr>
            <w:tcW w:w="0" w:type="auto"/>
            <w:tcBorders>
              <w:top w:val="single" w:sz="4" w:space="0" w:color="auto"/>
              <w:bottom w:val="single" w:sz="4" w:space="0" w:color="auto"/>
            </w:tcBorders>
            <w:vAlign w:val="center"/>
          </w:tcPr>
          <w:p w14:paraId="416DECF3"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ATOL_0005543 (leg weight)</w:t>
            </w:r>
          </w:p>
        </w:tc>
        <w:tc>
          <w:tcPr>
            <w:tcW w:w="0" w:type="auto"/>
            <w:tcBorders>
              <w:top w:val="single" w:sz="4" w:space="0" w:color="auto"/>
              <w:bottom w:val="single" w:sz="4" w:space="0" w:color="auto"/>
            </w:tcBorders>
            <w:vAlign w:val="center"/>
          </w:tcPr>
          <w:p w14:paraId="3127F002" w14:textId="77777777" w:rsidR="00A55D46" w:rsidRPr="00936148" w:rsidRDefault="00A55D46" w:rsidP="00AC088F">
            <w:pPr>
              <w:tabs>
                <w:tab w:val="left" w:pos="1995"/>
              </w:tabs>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or observable characteristic related to the weight of hind limbs.</w:t>
            </w:r>
          </w:p>
        </w:tc>
      </w:tr>
      <w:tr w:rsidR="00A55D46" w:rsidRPr="00936148" w14:paraId="23FBE7E5"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0591DBF1" w14:textId="77777777" w:rsidR="00A55D46" w:rsidRPr="00936148" w:rsidRDefault="00A55D46" w:rsidP="00AC088F">
            <w:pPr>
              <w:spacing w:line="276" w:lineRule="auto"/>
              <w:rPr>
                <w:rFonts w:cs="Arial"/>
                <w:b w:val="0"/>
                <w:color w:val="000000"/>
                <w:sz w:val="22"/>
                <w:szCs w:val="22"/>
                <w:lang w:val="en-GB" w:eastAsia="fr-FR"/>
              </w:rPr>
            </w:pPr>
            <w:r w:rsidRPr="00936148">
              <w:rPr>
                <w:rFonts w:cs="Arial"/>
                <w:b w:val="0"/>
                <w:color w:val="000000"/>
                <w:sz w:val="22"/>
                <w:szCs w:val="22"/>
                <w:lang w:val="en-GB" w:eastAsia="fr-FR"/>
              </w:rPr>
              <w:t>Thigh yield</w:t>
            </w:r>
          </w:p>
        </w:tc>
        <w:tc>
          <w:tcPr>
            <w:tcW w:w="0" w:type="auto"/>
            <w:tcBorders>
              <w:top w:val="single" w:sz="4" w:space="0" w:color="auto"/>
              <w:left w:val="single" w:sz="4" w:space="0" w:color="auto"/>
              <w:bottom w:val="single" w:sz="4" w:space="0" w:color="auto"/>
              <w:right w:val="single" w:sz="4" w:space="0" w:color="auto"/>
            </w:tcBorders>
            <w:vAlign w:val="center"/>
          </w:tcPr>
          <w:p w14:paraId="47AF5097"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ATOL_0005544 (leg yield)</w:t>
            </w:r>
          </w:p>
        </w:tc>
        <w:tc>
          <w:tcPr>
            <w:tcW w:w="0" w:type="auto"/>
            <w:tcBorders>
              <w:top w:val="single" w:sz="4" w:space="0" w:color="auto"/>
              <w:left w:val="single" w:sz="4" w:space="0" w:color="auto"/>
              <w:bottom w:val="single" w:sz="4" w:space="0" w:color="auto"/>
            </w:tcBorders>
            <w:vAlign w:val="center"/>
          </w:tcPr>
          <w:p w14:paraId="2BB398DC"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or observable characteristic related to the relative weight of the hind limbs.</w:t>
            </w:r>
          </w:p>
        </w:tc>
      </w:tr>
      <w:tr w:rsidR="00A55D46" w:rsidRPr="00936148" w14:paraId="16E9791D"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11FC09F8" w14:textId="77777777" w:rsidR="00A55D46" w:rsidRPr="00936148" w:rsidRDefault="00A55D46" w:rsidP="00AC088F">
            <w:pPr>
              <w:spacing w:line="276" w:lineRule="auto"/>
              <w:rPr>
                <w:rFonts w:cs="Arial"/>
                <w:b w:val="0"/>
                <w:color w:val="000000"/>
                <w:sz w:val="22"/>
                <w:szCs w:val="22"/>
                <w:lang w:val="en-GB" w:eastAsia="fr-FR"/>
              </w:rPr>
            </w:pPr>
            <w:r w:rsidRPr="00936148">
              <w:rPr>
                <w:rFonts w:cs="Arial"/>
                <w:b w:val="0"/>
                <w:color w:val="000000"/>
                <w:sz w:val="22"/>
                <w:szCs w:val="22"/>
                <w:lang w:val="en-GB" w:eastAsia="fr-FR"/>
              </w:rPr>
              <w:lastRenderedPageBreak/>
              <w:t>pHu in the thigh and in the pectoralis major/pH</w:t>
            </w:r>
            <w:r w:rsidRPr="00936148">
              <w:rPr>
                <w:rFonts w:cs="Arial"/>
                <w:b w:val="0"/>
                <w:color w:val="000000"/>
                <w:sz w:val="22"/>
                <w:szCs w:val="22"/>
                <w:vertAlign w:val="subscript"/>
                <w:lang w:val="en-GB" w:eastAsia="fr-FR"/>
              </w:rPr>
              <w:t>15</w:t>
            </w:r>
          </w:p>
        </w:tc>
        <w:tc>
          <w:tcPr>
            <w:tcW w:w="0" w:type="auto"/>
            <w:tcBorders>
              <w:top w:val="single" w:sz="4" w:space="0" w:color="auto"/>
              <w:left w:val="single" w:sz="4" w:space="0" w:color="auto"/>
              <w:bottom w:val="single" w:sz="4" w:space="0" w:color="auto"/>
              <w:right w:val="single" w:sz="4" w:space="0" w:color="auto"/>
            </w:tcBorders>
            <w:vAlign w:val="center"/>
          </w:tcPr>
          <w:p w14:paraId="0D173767"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ATOL_0001684 (</w:t>
            </w:r>
            <w:r w:rsidRPr="00936148">
              <w:rPr>
                <w:rFonts w:cs="Arial"/>
                <w:color w:val="000000"/>
                <w:sz w:val="22"/>
                <w:szCs w:val="22"/>
                <w:shd w:val="clear" w:color="auto" w:fill="FDFDFD"/>
                <w:lang w:val="en-GB"/>
              </w:rPr>
              <w:t>meat pH)</w:t>
            </w:r>
          </w:p>
        </w:tc>
        <w:tc>
          <w:tcPr>
            <w:tcW w:w="0" w:type="auto"/>
            <w:tcBorders>
              <w:top w:val="single" w:sz="4" w:space="0" w:color="auto"/>
              <w:left w:val="single" w:sz="4" w:space="0" w:color="auto"/>
              <w:bottom w:val="single" w:sz="4" w:space="0" w:color="auto"/>
            </w:tcBorders>
            <w:vAlign w:val="center"/>
          </w:tcPr>
          <w:p w14:paraId="4EB528C2"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or observable characteristic related to the relative acidity or alkalinity of meat, as measured by the concentration of hydronium.</w:t>
            </w:r>
          </w:p>
        </w:tc>
      </w:tr>
      <w:tr w:rsidR="00A55D46" w:rsidRPr="00936148" w14:paraId="358EB372"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15D810D3" w14:textId="77777777" w:rsidR="00A55D46" w:rsidRPr="00936148" w:rsidRDefault="00A55D46" w:rsidP="00AC088F">
            <w:pPr>
              <w:spacing w:line="276" w:lineRule="auto"/>
              <w:rPr>
                <w:rFonts w:cs="Arial"/>
                <w:b w:val="0"/>
                <w:sz w:val="22"/>
                <w:szCs w:val="22"/>
                <w:lang w:val="en-GB" w:eastAsia="fr-FR"/>
              </w:rPr>
            </w:pPr>
            <w:r w:rsidRPr="00936148">
              <w:rPr>
                <w:rFonts w:cs="Arial"/>
                <w:b w:val="0"/>
                <w:sz w:val="22"/>
                <w:szCs w:val="22"/>
                <w:lang w:val="en-GB" w:eastAsia="fr-FR"/>
              </w:rPr>
              <w:t>Tibia length and diameter</w:t>
            </w:r>
          </w:p>
        </w:tc>
        <w:tc>
          <w:tcPr>
            <w:tcW w:w="0" w:type="auto"/>
            <w:tcBorders>
              <w:top w:val="single" w:sz="4" w:space="0" w:color="auto"/>
              <w:left w:val="single" w:sz="4" w:space="0" w:color="auto"/>
              <w:bottom w:val="single" w:sz="4" w:space="0" w:color="auto"/>
              <w:right w:val="single" w:sz="4" w:space="0" w:color="auto"/>
            </w:tcBorders>
            <w:vAlign w:val="center"/>
          </w:tcPr>
          <w:p w14:paraId="1D0A267A"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ATOL_0005550 (</w:t>
            </w:r>
            <w:r w:rsidRPr="00936148">
              <w:rPr>
                <w:rFonts w:cs="Arial"/>
                <w:sz w:val="22"/>
                <w:szCs w:val="22"/>
                <w:shd w:val="clear" w:color="auto" w:fill="FDFDFD"/>
                <w:lang w:val="en-GB"/>
              </w:rPr>
              <w:t>cutting piece morphology in the carcass trait)</w:t>
            </w:r>
          </w:p>
        </w:tc>
        <w:tc>
          <w:tcPr>
            <w:tcW w:w="0" w:type="auto"/>
            <w:tcBorders>
              <w:top w:val="single" w:sz="4" w:space="0" w:color="auto"/>
              <w:left w:val="single" w:sz="4" w:space="0" w:color="auto"/>
              <w:bottom w:val="single" w:sz="4" w:space="0" w:color="auto"/>
            </w:tcBorders>
            <w:vAlign w:val="center"/>
          </w:tcPr>
          <w:p w14:paraId="2972D629"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characteristic related to the morphology of the different pieces (muscle, adipose tissue, bone) in the carcass.</w:t>
            </w:r>
          </w:p>
        </w:tc>
      </w:tr>
      <w:tr w:rsidR="00A55D46" w:rsidRPr="00936148" w14:paraId="2763B66E"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3E86DA01" w14:textId="77777777" w:rsidR="00A55D46" w:rsidRPr="00936148" w:rsidRDefault="00A55D46" w:rsidP="00AC088F">
            <w:pPr>
              <w:spacing w:line="276" w:lineRule="auto"/>
              <w:rPr>
                <w:rFonts w:cs="Arial"/>
                <w:b w:val="0"/>
                <w:sz w:val="22"/>
                <w:szCs w:val="22"/>
                <w:lang w:val="en-GB" w:eastAsia="fr-FR"/>
              </w:rPr>
            </w:pPr>
            <w:bookmarkStart w:id="1" w:name="_Hlk119485300"/>
            <w:r w:rsidRPr="00936148">
              <w:rPr>
                <w:rFonts w:cs="Arial"/>
                <w:b w:val="0"/>
                <w:sz w:val="22"/>
                <w:szCs w:val="22"/>
                <w:lang w:val="en-GB" w:eastAsia="fr-FR"/>
              </w:rPr>
              <w:t>Tibia bone-breaking strength</w:t>
            </w:r>
          </w:p>
        </w:tc>
        <w:tc>
          <w:tcPr>
            <w:tcW w:w="0" w:type="auto"/>
            <w:tcBorders>
              <w:top w:val="single" w:sz="4" w:space="0" w:color="auto"/>
              <w:left w:val="single" w:sz="4" w:space="0" w:color="auto"/>
              <w:bottom w:val="single" w:sz="4" w:space="0" w:color="auto"/>
              <w:right w:val="single" w:sz="4" w:space="0" w:color="auto"/>
            </w:tcBorders>
            <w:vAlign w:val="center"/>
          </w:tcPr>
          <w:p w14:paraId="56663E0A"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VT:0001542 (bone strength trait)</w:t>
            </w:r>
          </w:p>
        </w:tc>
        <w:tc>
          <w:tcPr>
            <w:tcW w:w="0" w:type="auto"/>
            <w:tcBorders>
              <w:top w:val="single" w:sz="4" w:space="0" w:color="auto"/>
              <w:left w:val="single" w:sz="4" w:space="0" w:color="auto"/>
              <w:bottom w:val="single" w:sz="4" w:space="0" w:color="auto"/>
            </w:tcBorders>
            <w:vAlign w:val="center"/>
          </w:tcPr>
          <w:p w14:paraId="2B66F221"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or observable characteristic related to the ability of bone to withstand the application of force without yielding or breaking.</w:t>
            </w:r>
          </w:p>
        </w:tc>
      </w:tr>
      <w:bookmarkEnd w:id="1"/>
      <w:tr w:rsidR="00A55D46" w:rsidRPr="00936148" w14:paraId="1FBB2374"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gridSpan w:val="3"/>
            <w:tcBorders>
              <w:top w:val="single" w:sz="4" w:space="0" w:color="auto"/>
              <w:bottom w:val="single" w:sz="4" w:space="0" w:color="auto"/>
            </w:tcBorders>
            <w:shd w:val="clear" w:color="auto" w:fill="D9D9D9" w:themeFill="background1" w:themeFillShade="D9"/>
            <w:vAlign w:val="center"/>
          </w:tcPr>
          <w:p w14:paraId="375A56A7" w14:textId="77777777" w:rsidR="00A55D46" w:rsidRPr="00936148" w:rsidRDefault="00A55D46" w:rsidP="00AC088F">
            <w:pPr>
              <w:spacing w:line="276" w:lineRule="auto"/>
              <w:rPr>
                <w:rFonts w:cs="Arial"/>
                <w:color w:val="000000"/>
                <w:sz w:val="22"/>
                <w:szCs w:val="22"/>
                <w:lang w:val="en-GB" w:eastAsia="fr-FR"/>
              </w:rPr>
            </w:pPr>
            <w:r w:rsidRPr="00936148">
              <w:rPr>
                <w:rFonts w:cs="Arial"/>
                <w:color w:val="000000"/>
                <w:sz w:val="22"/>
                <w:szCs w:val="22"/>
                <w:lang w:val="en-GB" w:eastAsia="fr-FR"/>
              </w:rPr>
              <w:t>Meat quality indicators</w:t>
            </w:r>
          </w:p>
        </w:tc>
      </w:tr>
      <w:tr w:rsidR="00A55D46" w:rsidRPr="00936148" w14:paraId="48160B2F"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694BEA5C" w14:textId="77777777" w:rsidR="00A55D46" w:rsidRPr="00936148" w:rsidRDefault="00A55D46" w:rsidP="00AC088F">
            <w:pPr>
              <w:spacing w:line="276" w:lineRule="auto"/>
              <w:rPr>
                <w:rFonts w:cs="Arial"/>
                <w:b w:val="0"/>
                <w:color w:val="000000"/>
                <w:sz w:val="22"/>
                <w:szCs w:val="22"/>
                <w:lang w:val="en-GB" w:eastAsia="fr-FR"/>
              </w:rPr>
            </w:pPr>
            <w:r w:rsidRPr="00936148">
              <w:rPr>
                <w:rFonts w:cs="Arial"/>
                <w:b w:val="0"/>
                <w:color w:val="000000"/>
                <w:sz w:val="22"/>
                <w:szCs w:val="22"/>
                <w:lang w:val="en-GB" w:eastAsia="fr-FR"/>
              </w:rPr>
              <w:t>Colour (L*, a*, b*)</w:t>
            </w:r>
          </w:p>
        </w:tc>
        <w:tc>
          <w:tcPr>
            <w:tcW w:w="0" w:type="auto"/>
            <w:tcBorders>
              <w:top w:val="single" w:sz="4" w:space="0" w:color="auto"/>
              <w:left w:val="single" w:sz="4" w:space="0" w:color="auto"/>
              <w:bottom w:val="single" w:sz="4" w:space="0" w:color="auto"/>
              <w:right w:val="single" w:sz="4" w:space="0" w:color="auto"/>
            </w:tcBorders>
            <w:vAlign w:val="center"/>
          </w:tcPr>
          <w:p w14:paraId="206AC7BB"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ATOL_0001017 (</w:t>
            </w:r>
            <w:r w:rsidRPr="00936148">
              <w:rPr>
                <w:rFonts w:cs="Arial"/>
                <w:color w:val="000000"/>
                <w:sz w:val="22"/>
                <w:szCs w:val="22"/>
                <w:shd w:val="clear" w:color="auto" w:fill="FDFDFD"/>
                <w:lang w:val="en-GB"/>
              </w:rPr>
              <w:t>meat colour)</w:t>
            </w:r>
          </w:p>
        </w:tc>
        <w:tc>
          <w:tcPr>
            <w:tcW w:w="0" w:type="auto"/>
            <w:tcBorders>
              <w:top w:val="single" w:sz="4" w:space="0" w:color="auto"/>
              <w:left w:val="single" w:sz="4" w:space="0" w:color="auto"/>
              <w:bottom w:val="single" w:sz="4" w:space="0" w:color="auto"/>
            </w:tcBorders>
            <w:vAlign w:val="center"/>
          </w:tcPr>
          <w:p w14:paraId="3B7D1186"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characteristic related to the loss of fluid in a meat sample after a freezing-thawing cycle.</w:t>
            </w:r>
          </w:p>
        </w:tc>
      </w:tr>
      <w:tr w:rsidR="00A55D46" w:rsidRPr="00936148" w14:paraId="659BE2FD"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10B7EB2F" w14:textId="77777777" w:rsidR="00A55D46" w:rsidRPr="00936148" w:rsidRDefault="00A55D46" w:rsidP="00AC088F">
            <w:pPr>
              <w:spacing w:line="276" w:lineRule="auto"/>
              <w:rPr>
                <w:rFonts w:cs="Arial"/>
                <w:b w:val="0"/>
                <w:color w:val="000000"/>
                <w:sz w:val="22"/>
                <w:szCs w:val="22"/>
                <w:lang w:val="en-GB" w:eastAsia="fr-FR"/>
              </w:rPr>
            </w:pPr>
            <w:r w:rsidRPr="00936148">
              <w:rPr>
                <w:rFonts w:cs="Arial"/>
                <w:b w:val="0"/>
                <w:color w:val="000000"/>
                <w:sz w:val="22"/>
                <w:szCs w:val="22"/>
                <w:lang w:val="en-GB"/>
              </w:rPr>
              <w:t xml:space="preserve">Drip loss </w:t>
            </w:r>
          </w:p>
        </w:tc>
        <w:tc>
          <w:tcPr>
            <w:tcW w:w="0" w:type="auto"/>
            <w:tcBorders>
              <w:top w:val="single" w:sz="4" w:space="0" w:color="auto"/>
              <w:left w:val="single" w:sz="4" w:space="0" w:color="auto"/>
              <w:bottom w:val="single" w:sz="4" w:space="0" w:color="auto"/>
              <w:right w:val="single" w:sz="4" w:space="0" w:color="auto"/>
            </w:tcBorders>
            <w:vAlign w:val="center"/>
          </w:tcPr>
          <w:p w14:paraId="7AC62D22"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ATOL_0001647 (</w:t>
            </w:r>
            <w:r w:rsidRPr="00936148">
              <w:rPr>
                <w:rFonts w:cs="Arial"/>
                <w:color w:val="000000"/>
                <w:sz w:val="22"/>
                <w:szCs w:val="22"/>
                <w:shd w:val="clear" w:color="auto" w:fill="FDFDFD"/>
                <w:lang w:val="en-GB"/>
              </w:rPr>
              <w:t>meat cold storage loss)</w:t>
            </w:r>
          </w:p>
        </w:tc>
        <w:tc>
          <w:tcPr>
            <w:tcW w:w="0" w:type="auto"/>
            <w:tcBorders>
              <w:top w:val="single" w:sz="4" w:space="0" w:color="auto"/>
              <w:left w:val="single" w:sz="4" w:space="0" w:color="auto"/>
              <w:bottom w:val="single" w:sz="4" w:space="0" w:color="auto"/>
            </w:tcBorders>
            <w:vAlign w:val="center"/>
          </w:tcPr>
          <w:p w14:paraId="1FBE60FF"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or observable characteristic related to the decrease in the weight of a cut of meat during positive cold storage, mostly due to moisture loss.</w:t>
            </w:r>
          </w:p>
        </w:tc>
      </w:tr>
      <w:tr w:rsidR="00A55D46" w:rsidRPr="00936148" w14:paraId="69F35491"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285FE146" w14:textId="77777777" w:rsidR="00A55D46" w:rsidRPr="00936148" w:rsidRDefault="00A55D46" w:rsidP="00AC088F">
            <w:pPr>
              <w:spacing w:line="276" w:lineRule="auto"/>
              <w:rPr>
                <w:rFonts w:cs="Arial"/>
                <w:b w:val="0"/>
                <w:color w:val="000000"/>
                <w:sz w:val="22"/>
                <w:szCs w:val="22"/>
                <w:lang w:val="en-GB" w:eastAsia="fr-FR"/>
              </w:rPr>
            </w:pPr>
            <w:r w:rsidRPr="00936148">
              <w:rPr>
                <w:rFonts w:cs="Arial"/>
                <w:b w:val="0"/>
                <w:color w:val="000000"/>
                <w:sz w:val="22"/>
                <w:szCs w:val="22"/>
                <w:lang w:val="en-GB"/>
              </w:rPr>
              <w:t xml:space="preserve">Thawing-cooking loss </w:t>
            </w:r>
          </w:p>
        </w:tc>
        <w:tc>
          <w:tcPr>
            <w:tcW w:w="0" w:type="auto"/>
            <w:tcBorders>
              <w:top w:val="single" w:sz="4" w:space="0" w:color="auto"/>
              <w:left w:val="single" w:sz="4" w:space="0" w:color="auto"/>
              <w:bottom w:val="single" w:sz="4" w:space="0" w:color="auto"/>
              <w:right w:val="single" w:sz="4" w:space="0" w:color="auto"/>
            </w:tcBorders>
            <w:vAlign w:val="center"/>
          </w:tcPr>
          <w:p w14:paraId="0151FA59"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ATOL_0001664 (meat cooking loss)</w:t>
            </w:r>
          </w:p>
          <w:p w14:paraId="40FDD97C"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ATOL_0000068 (thawing loss of meat)</w:t>
            </w:r>
          </w:p>
        </w:tc>
        <w:tc>
          <w:tcPr>
            <w:tcW w:w="0" w:type="auto"/>
            <w:tcBorders>
              <w:top w:val="single" w:sz="4" w:space="0" w:color="auto"/>
              <w:left w:val="single" w:sz="4" w:space="0" w:color="auto"/>
              <w:bottom w:val="single" w:sz="4" w:space="0" w:color="auto"/>
            </w:tcBorders>
            <w:vAlign w:val="center"/>
          </w:tcPr>
          <w:p w14:paraId="658D49E1"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or observable characteristic related to the decrease in the weight of a cut of meat during cooking, mostly due to moisture loss.</w:t>
            </w:r>
          </w:p>
          <w:p w14:paraId="78582E40"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characteristic related to the loss of fluid in a meat sample after a freezing-thawing cycle</w:t>
            </w:r>
          </w:p>
        </w:tc>
      </w:tr>
      <w:tr w:rsidR="00A55D46" w:rsidRPr="00936148" w14:paraId="48E8C2DC"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370040AD" w14:textId="77777777" w:rsidR="00A55D46" w:rsidRPr="00936148" w:rsidRDefault="00A55D46" w:rsidP="00AC088F">
            <w:pPr>
              <w:spacing w:line="276" w:lineRule="auto"/>
              <w:rPr>
                <w:rFonts w:cs="Arial"/>
                <w:b w:val="0"/>
                <w:color w:val="000000"/>
                <w:sz w:val="22"/>
                <w:szCs w:val="22"/>
                <w:lang w:val="en-GB" w:eastAsia="fr-FR"/>
              </w:rPr>
            </w:pPr>
            <w:r w:rsidRPr="00936148">
              <w:rPr>
                <w:rFonts w:cs="Arial"/>
                <w:b w:val="0"/>
                <w:color w:val="000000"/>
                <w:sz w:val="22"/>
                <w:szCs w:val="22"/>
                <w:lang w:val="en-GB"/>
              </w:rPr>
              <w:t xml:space="preserve">Warner Bratzler shear force </w:t>
            </w:r>
          </w:p>
        </w:tc>
        <w:tc>
          <w:tcPr>
            <w:tcW w:w="0" w:type="auto"/>
            <w:tcBorders>
              <w:top w:val="single" w:sz="4" w:space="0" w:color="auto"/>
              <w:left w:val="single" w:sz="4" w:space="0" w:color="auto"/>
              <w:bottom w:val="single" w:sz="4" w:space="0" w:color="auto"/>
              <w:right w:val="single" w:sz="4" w:space="0" w:color="auto"/>
            </w:tcBorders>
            <w:vAlign w:val="center"/>
          </w:tcPr>
          <w:p w14:paraId="1FBE0C4F"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ATOL_0001649 (meat mechanical resistance)</w:t>
            </w:r>
          </w:p>
        </w:tc>
        <w:tc>
          <w:tcPr>
            <w:tcW w:w="0" w:type="auto"/>
            <w:tcBorders>
              <w:top w:val="single" w:sz="4" w:space="0" w:color="auto"/>
              <w:left w:val="single" w:sz="4" w:space="0" w:color="auto"/>
              <w:bottom w:val="single" w:sz="4" w:space="0" w:color="auto"/>
            </w:tcBorders>
            <w:vAlign w:val="center"/>
          </w:tcPr>
          <w:p w14:paraId="58EAF5E9"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characteristic of the mechanical resistance of meat during a deformation test (compression, shearing and tensile strength test…).</w:t>
            </w:r>
          </w:p>
        </w:tc>
      </w:tr>
      <w:tr w:rsidR="00A55D46" w:rsidRPr="00936148" w14:paraId="1E47AD10"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gridSpan w:val="3"/>
            <w:tcBorders>
              <w:top w:val="single" w:sz="4" w:space="0" w:color="auto"/>
              <w:bottom w:val="single" w:sz="4" w:space="0" w:color="auto"/>
            </w:tcBorders>
            <w:shd w:val="clear" w:color="auto" w:fill="D9D9D9" w:themeFill="background1" w:themeFillShade="D9"/>
            <w:vAlign w:val="center"/>
          </w:tcPr>
          <w:p w14:paraId="24885C3F" w14:textId="77777777" w:rsidR="00A55D46" w:rsidRPr="00936148" w:rsidRDefault="00A55D46" w:rsidP="00AC088F">
            <w:pPr>
              <w:spacing w:line="276" w:lineRule="auto"/>
              <w:rPr>
                <w:rFonts w:cs="Arial"/>
                <w:color w:val="000000"/>
                <w:sz w:val="22"/>
                <w:szCs w:val="22"/>
                <w:lang w:val="en-GB" w:eastAsia="fr-FR"/>
              </w:rPr>
            </w:pPr>
            <w:r w:rsidRPr="00936148">
              <w:rPr>
                <w:rFonts w:cs="Arial"/>
                <w:color w:val="242021"/>
                <w:sz w:val="22"/>
                <w:szCs w:val="22"/>
                <w:lang w:val="en-GB"/>
              </w:rPr>
              <w:t>Chemical and fatty acids composition in the tigh muscle</w:t>
            </w:r>
          </w:p>
        </w:tc>
      </w:tr>
      <w:tr w:rsidR="00A55D46" w:rsidRPr="00936148" w14:paraId="0098CC07"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3EC6FFED" w14:textId="77777777" w:rsidR="00A55D46" w:rsidRPr="00936148" w:rsidRDefault="00A55D46" w:rsidP="00AC088F">
            <w:pPr>
              <w:spacing w:line="276" w:lineRule="auto"/>
              <w:rPr>
                <w:rFonts w:cs="Arial"/>
                <w:b w:val="0"/>
                <w:sz w:val="22"/>
                <w:szCs w:val="22"/>
                <w:lang w:val="en-GB"/>
              </w:rPr>
            </w:pPr>
            <w:r w:rsidRPr="00936148">
              <w:rPr>
                <w:rFonts w:cs="Arial"/>
                <w:b w:val="0"/>
                <w:color w:val="242021"/>
                <w:sz w:val="22"/>
                <w:szCs w:val="22"/>
                <w:lang w:val="en-GB"/>
              </w:rPr>
              <w:t>Lipids</w:t>
            </w:r>
          </w:p>
        </w:tc>
        <w:tc>
          <w:tcPr>
            <w:tcW w:w="0" w:type="auto"/>
            <w:tcBorders>
              <w:top w:val="single" w:sz="4" w:space="0" w:color="auto"/>
              <w:left w:val="single" w:sz="4" w:space="0" w:color="auto"/>
              <w:bottom w:val="single" w:sz="4" w:space="0" w:color="auto"/>
              <w:right w:val="single" w:sz="4" w:space="0" w:color="auto"/>
            </w:tcBorders>
            <w:vAlign w:val="center"/>
          </w:tcPr>
          <w:p w14:paraId="7354FB04"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shd w:val="clear" w:color="auto" w:fill="FDFDFD"/>
                <w:lang w:val="en-GB"/>
              </w:rPr>
              <w:t>ATOL_0000056 (meat lipid quantity)</w:t>
            </w:r>
          </w:p>
        </w:tc>
        <w:tc>
          <w:tcPr>
            <w:tcW w:w="0" w:type="auto"/>
            <w:tcBorders>
              <w:top w:val="single" w:sz="4" w:space="0" w:color="auto"/>
              <w:left w:val="single" w:sz="4" w:space="0" w:color="auto"/>
              <w:bottom w:val="single" w:sz="4" w:space="0" w:color="auto"/>
            </w:tcBorders>
            <w:vAlign w:val="center"/>
          </w:tcPr>
          <w:p w14:paraId="1E2EB314"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measure of the quantity of the different meat lipids (CHEBI:18059).</w:t>
            </w:r>
          </w:p>
        </w:tc>
      </w:tr>
      <w:tr w:rsidR="00A55D46" w:rsidRPr="00936148" w14:paraId="4985D01C"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00D7E025" w14:textId="77777777" w:rsidR="00A55D46" w:rsidRPr="00936148" w:rsidRDefault="00A55D46" w:rsidP="00AC088F">
            <w:pPr>
              <w:spacing w:line="276" w:lineRule="auto"/>
              <w:rPr>
                <w:rFonts w:cs="Arial"/>
                <w:b w:val="0"/>
                <w:color w:val="000000"/>
                <w:sz w:val="22"/>
                <w:szCs w:val="22"/>
                <w:lang w:val="en-GB"/>
              </w:rPr>
            </w:pPr>
            <w:r w:rsidRPr="00936148">
              <w:rPr>
                <w:rFonts w:cs="Arial"/>
                <w:b w:val="0"/>
                <w:sz w:val="22"/>
                <w:szCs w:val="22"/>
                <w:lang w:val="en-GB"/>
              </w:rPr>
              <w:t>Proteins</w:t>
            </w:r>
          </w:p>
        </w:tc>
        <w:tc>
          <w:tcPr>
            <w:tcW w:w="0" w:type="auto"/>
            <w:tcBorders>
              <w:top w:val="single" w:sz="4" w:space="0" w:color="auto"/>
              <w:left w:val="single" w:sz="4" w:space="0" w:color="auto"/>
              <w:bottom w:val="single" w:sz="4" w:space="0" w:color="auto"/>
              <w:right w:val="single" w:sz="4" w:space="0" w:color="auto"/>
            </w:tcBorders>
            <w:vAlign w:val="center"/>
          </w:tcPr>
          <w:p w14:paraId="74BE9660"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shd w:val="clear" w:color="auto" w:fill="FDFDFD"/>
                <w:lang w:val="en-GB"/>
              </w:rPr>
              <w:t>ATOL_0000051 (meat protein quantity)</w:t>
            </w:r>
          </w:p>
        </w:tc>
        <w:tc>
          <w:tcPr>
            <w:tcW w:w="0" w:type="auto"/>
            <w:tcBorders>
              <w:top w:val="single" w:sz="4" w:space="0" w:color="auto"/>
              <w:left w:val="single" w:sz="4" w:space="0" w:color="auto"/>
              <w:bottom w:val="single" w:sz="4" w:space="0" w:color="auto"/>
            </w:tcBorders>
            <w:vAlign w:val="center"/>
          </w:tcPr>
          <w:p w14:paraId="4E9BC949"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shd w:val="clear" w:color="auto" w:fill="FDFDFD"/>
                <w:lang w:val="en-GB"/>
              </w:rPr>
              <w:t>any measure of the quantity of meat proteins (CHEBI:36080).</w:t>
            </w:r>
          </w:p>
        </w:tc>
      </w:tr>
      <w:tr w:rsidR="00A55D46" w:rsidRPr="00936148" w14:paraId="78C9067E"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2D8D8CCD" w14:textId="77777777" w:rsidR="00A55D46" w:rsidRPr="00936148" w:rsidRDefault="00A55D46" w:rsidP="00AC088F">
            <w:pPr>
              <w:spacing w:line="276" w:lineRule="auto"/>
              <w:rPr>
                <w:rFonts w:cs="Arial"/>
                <w:b w:val="0"/>
                <w:color w:val="000000"/>
                <w:sz w:val="22"/>
                <w:szCs w:val="22"/>
                <w:lang w:val="en-GB"/>
              </w:rPr>
            </w:pPr>
            <w:r w:rsidRPr="00936148">
              <w:rPr>
                <w:rFonts w:cs="Arial"/>
                <w:b w:val="0"/>
                <w:sz w:val="22"/>
                <w:szCs w:val="22"/>
                <w:lang w:val="en-GB"/>
              </w:rPr>
              <w:t>Dry matter</w:t>
            </w:r>
          </w:p>
        </w:tc>
        <w:tc>
          <w:tcPr>
            <w:tcW w:w="0" w:type="auto"/>
            <w:tcBorders>
              <w:top w:val="single" w:sz="4" w:space="0" w:color="auto"/>
              <w:left w:val="single" w:sz="4" w:space="0" w:color="auto"/>
              <w:bottom w:val="single" w:sz="4" w:space="0" w:color="auto"/>
              <w:right w:val="single" w:sz="4" w:space="0" w:color="auto"/>
            </w:tcBorders>
            <w:vAlign w:val="center"/>
          </w:tcPr>
          <w:p w14:paraId="2A5F6B04"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ATOL_0000101 (meat dry matter content)</w:t>
            </w:r>
          </w:p>
        </w:tc>
        <w:tc>
          <w:tcPr>
            <w:tcW w:w="0" w:type="auto"/>
            <w:tcBorders>
              <w:top w:val="single" w:sz="4" w:space="0" w:color="auto"/>
              <w:left w:val="single" w:sz="4" w:space="0" w:color="auto"/>
              <w:bottom w:val="single" w:sz="4" w:space="0" w:color="auto"/>
            </w:tcBorders>
            <w:vAlign w:val="center"/>
          </w:tcPr>
          <w:p w14:paraId="29994A6D"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measurable characteristic of the dry matter content of meat.</w:t>
            </w:r>
          </w:p>
        </w:tc>
      </w:tr>
      <w:tr w:rsidR="00A55D46" w:rsidRPr="00936148" w14:paraId="5822F118"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530B1A3D" w14:textId="77777777" w:rsidR="00A55D46" w:rsidRPr="00936148" w:rsidRDefault="00A55D46" w:rsidP="00AC088F">
            <w:pPr>
              <w:spacing w:line="276" w:lineRule="auto"/>
              <w:rPr>
                <w:rFonts w:cs="Arial"/>
                <w:b w:val="0"/>
                <w:sz w:val="22"/>
                <w:szCs w:val="22"/>
                <w:lang w:val="en-GB"/>
              </w:rPr>
            </w:pPr>
            <w:r w:rsidRPr="00936148">
              <w:rPr>
                <w:rFonts w:cs="Arial"/>
                <w:b w:val="0"/>
                <w:sz w:val="22"/>
                <w:szCs w:val="22"/>
                <w:lang w:val="en-GB"/>
              </w:rPr>
              <w:t xml:space="preserve">fatty acids </w:t>
            </w:r>
          </w:p>
          <w:p w14:paraId="6BFA89C6" w14:textId="77777777" w:rsidR="00A55D46" w:rsidRPr="00936148" w:rsidRDefault="00A55D46" w:rsidP="00AC088F">
            <w:pPr>
              <w:spacing w:line="276" w:lineRule="auto"/>
              <w:rPr>
                <w:rFonts w:cs="Arial"/>
                <w:b w:val="0"/>
                <w:sz w:val="22"/>
                <w:szCs w:val="22"/>
                <w:lang w:val="en-GB"/>
              </w:rPr>
            </w:pPr>
            <w:r w:rsidRPr="00936148">
              <w:rPr>
                <w:rFonts w:cs="Arial"/>
                <w:b w:val="0"/>
                <w:sz w:val="22"/>
                <w:szCs w:val="22"/>
                <w:lang w:val="en-GB"/>
              </w:rPr>
              <w:t>composition in the thigh muscle</w:t>
            </w:r>
          </w:p>
        </w:tc>
        <w:tc>
          <w:tcPr>
            <w:tcW w:w="0" w:type="auto"/>
            <w:tcBorders>
              <w:top w:val="single" w:sz="4" w:space="0" w:color="auto"/>
              <w:left w:val="single" w:sz="4" w:space="0" w:color="auto"/>
              <w:bottom w:val="single" w:sz="4" w:space="0" w:color="auto"/>
              <w:right w:val="single" w:sz="4" w:space="0" w:color="auto"/>
            </w:tcBorders>
            <w:vAlign w:val="center"/>
          </w:tcPr>
          <w:p w14:paraId="05845530"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ATOL_0000058 (</w:t>
            </w:r>
            <w:r w:rsidRPr="00936148">
              <w:rPr>
                <w:rFonts w:cs="Arial"/>
                <w:color w:val="000000"/>
                <w:sz w:val="22"/>
                <w:szCs w:val="22"/>
                <w:shd w:val="clear" w:color="auto" w:fill="FDFDFD"/>
                <w:lang w:val="en-GB"/>
              </w:rPr>
              <w:t>meat fatty acid content)</w:t>
            </w:r>
          </w:p>
        </w:tc>
        <w:tc>
          <w:tcPr>
            <w:tcW w:w="0" w:type="auto"/>
            <w:tcBorders>
              <w:top w:val="single" w:sz="4" w:space="0" w:color="auto"/>
              <w:left w:val="single" w:sz="4" w:space="0" w:color="auto"/>
              <w:bottom w:val="single" w:sz="4" w:space="0" w:color="auto"/>
            </w:tcBorders>
            <w:vAlign w:val="center"/>
          </w:tcPr>
          <w:p w14:paraId="40C4C769"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any measure of the quantity of different fatty acids (CHEBI:35366) present in the meat.</w:t>
            </w:r>
          </w:p>
        </w:tc>
      </w:tr>
      <w:tr w:rsidR="00A55D46" w:rsidRPr="00936148" w14:paraId="2E782D3A"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gridSpan w:val="3"/>
            <w:tcBorders>
              <w:top w:val="single" w:sz="4" w:space="0" w:color="auto"/>
              <w:bottom w:val="single" w:sz="4" w:space="0" w:color="auto"/>
            </w:tcBorders>
            <w:shd w:val="clear" w:color="auto" w:fill="D9D9D9" w:themeFill="background1" w:themeFillShade="D9"/>
            <w:vAlign w:val="center"/>
          </w:tcPr>
          <w:p w14:paraId="4F87F96A" w14:textId="77777777" w:rsidR="00A55D46" w:rsidRPr="00936148" w:rsidRDefault="00A55D46" w:rsidP="00AC088F">
            <w:pPr>
              <w:spacing w:line="276" w:lineRule="auto"/>
              <w:rPr>
                <w:rFonts w:cs="Arial"/>
                <w:color w:val="000000"/>
                <w:sz w:val="22"/>
                <w:szCs w:val="22"/>
                <w:lang w:val="en-GB" w:eastAsia="fr-FR"/>
              </w:rPr>
            </w:pPr>
            <w:r w:rsidRPr="00936148">
              <w:rPr>
                <w:rFonts w:cs="Arial"/>
                <w:color w:val="000000"/>
                <w:sz w:val="22"/>
                <w:szCs w:val="22"/>
                <w:lang w:val="en-GB"/>
              </w:rPr>
              <w:t>Blood parameters</w:t>
            </w:r>
          </w:p>
        </w:tc>
      </w:tr>
      <w:tr w:rsidR="00A55D46" w:rsidRPr="00936148" w14:paraId="2F612224"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536BDC1E" w14:textId="77777777" w:rsidR="00A55D46" w:rsidRPr="00936148" w:rsidRDefault="00A55D46" w:rsidP="00AC088F">
            <w:pPr>
              <w:spacing w:line="276" w:lineRule="auto"/>
              <w:rPr>
                <w:rFonts w:cs="Arial"/>
                <w:b w:val="0"/>
                <w:sz w:val="22"/>
                <w:szCs w:val="22"/>
                <w:lang w:val="en-GB"/>
              </w:rPr>
            </w:pPr>
            <w:r w:rsidRPr="00936148">
              <w:rPr>
                <w:rFonts w:cs="Arial"/>
                <w:b w:val="0"/>
                <w:color w:val="000000"/>
                <w:sz w:val="22"/>
                <w:szCs w:val="22"/>
                <w:lang w:val="en-GB"/>
              </w:rPr>
              <w:lastRenderedPageBreak/>
              <w:t>Uric acid</w:t>
            </w:r>
          </w:p>
        </w:tc>
        <w:tc>
          <w:tcPr>
            <w:tcW w:w="0" w:type="auto"/>
            <w:tcBorders>
              <w:top w:val="single" w:sz="4" w:space="0" w:color="auto"/>
              <w:left w:val="single" w:sz="4" w:space="0" w:color="auto"/>
              <w:bottom w:val="single" w:sz="4" w:space="0" w:color="auto"/>
              <w:right w:val="single" w:sz="4" w:space="0" w:color="auto"/>
            </w:tcBorders>
            <w:vAlign w:val="center"/>
          </w:tcPr>
          <w:p w14:paraId="6BE840C4"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CHEBI:27226 (uric acid)</w:t>
            </w:r>
          </w:p>
        </w:tc>
        <w:tc>
          <w:tcPr>
            <w:tcW w:w="0" w:type="auto"/>
            <w:tcBorders>
              <w:top w:val="single" w:sz="4" w:space="0" w:color="auto"/>
              <w:left w:val="single" w:sz="4" w:space="0" w:color="auto"/>
              <w:bottom w:val="single" w:sz="4" w:space="0" w:color="auto"/>
            </w:tcBorders>
            <w:vAlign w:val="center"/>
          </w:tcPr>
          <w:p w14:paraId="48097F30"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 oxopurine that is the final oxidation product of purine metabolism.</w:t>
            </w:r>
          </w:p>
        </w:tc>
      </w:tr>
      <w:tr w:rsidR="00A55D46" w:rsidRPr="00936148" w14:paraId="4AE15DE3"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3C67806B" w14:textId="77777777" w:rsidR="00A55D46" w:rsidRPr="00936148" w:rsidRDefault="00A55D46" w:rsidP="00AC088F">
            <w:pPr>
              <w:spacing w:line="276" w:lineRule="auto"/>
              <w:rPr>
                <w:rFonts w:cs="Arial"/>
                <w:b w:val="0"/>
                <w:sz w:val="22"/>
                <w:szCs w:val="22"/>
                <w:lang w:val="en-GB"/>
              </w:rPr>
            </w:pPr>
            <w:r w:rsidRPr="00936148">
              <w:rPr>
                <w:rFonts w:cs="Arial"/>
                <w:b w:val="0"/>
                <w:color w:val="000000"/>
                <w:sz w:val="22"/>
                <w:szCs w:val="22"/>
                <w:lang w:val="en-GB"/>
              </w:rPr>
              <w:t>Glucose</w:t>
            </w:r>
          </w:p>
        </w:tc>
        <w:tc>
          <w:tcPr>
            <w:tcW w:w="0" w:type="auto"/>
            <w:tcBorders>
              <w:top w:val="single" w:sz="4" w:space="0" w:color="auto"/>
              <w:left w:val="single" w:sz="4" w:space="0" w:color="auto"/>
              <w:bottom w:val="single" w:sz="4" w:space="0" w:color="auto"/>
              <w:right w:val="single" w:sz="4" w:space="0" w:color="auto"/>
            </w:tcBorders>
            <w:vAlign w:val="center"/>
          </w:tcPr>
          <w:p w14:paraId="69B64B55"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CHEBI:17234 (glucose)</w:t>
            </w:r>
          </w:p>
        </w:tc>
        <w:tc>
          <w:tcPr>
            <w:tcW w:w="0" w:type="auto"/>
            <w:tcBorders>
              <w:top w:val="single" w:sz="4" w:space="0" w:color="auto"/>
              <w:left w:val="single" w:sz="4" w:space="0" w:color="auto"/>
              <w:bottom w:val="single" w:sz="4" w:space="0" w:color="auto"/>
            </w:tcBorders>
            <w:vAlign w:val="center"/>
          </w:tcPr>
          <w:p w14:paraId="1174DA24"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color w:val="000000"/>
                <w:sz w:val="22"/>
                <w:szCs w:val="22"/>
                <w:lang w:val="en-GB" w:eastAsia="fr-FR"/>
              </w:rPr>
            </w:pPr>
            <w:r w:rsidRPr="00936148">
              <w:rPr>
                <w:rFonts w:cs="Arial"/>
                <w:color w:val="000000"/>
                <w:sz w:val="22"/>
                <w:szCs w:val="22"/>
                <w:lang w:val="en-GB" w:eastAsia="fr-FR"/>
              </w:rPr>
              <w:t>An aldohexose used as a source of energy and metabolic intermediate.</w:t>
            </w:r>
          </w:p>
        </w:tc>
      </w:tr>
      <w:tr w:rsidR="00A55D46" w:rsidRPr="00936148" w14:paraId="7E1A5BFA"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42DB99E4" w14:textId="77777777" w:rsidR="00A55D46" w:rsidRPr="00936148" w:rsidRDefault="00A55D46" w:rsidP="00AC088F">
            <w:pPr>
              <w:spacing w:line="276" w:lineRule="auto"/>
              <w:rPr>
                <w:rFonts w:cs="Arial"/>
                <w:b w:val="0"/>
                <w:sz w:val="22"/>
                <w:szCs w:val="22"/>
                <w:lang w:val="en-GB"/>
              </w:rPr>
            </w:pPr>
            <w:r w:rsidRPr="00936148">
              <w:rPr>
                <w:rFonts w:cs="Arial"/>
                <w:b w:val="0"/>
                <w:sz w:val="22"/>
                <w:szCs w:val="22"/>
                <w:lang w:val="en-GB"/>
              </w:rPr>
              <w:t>Carbonyl</w:t>
            </w:r>
          </w:p>
        </w:tc>
        <w:tc>
          <w:tcPr>
            <w:tcW w:w="0" w:type="auto"/>
            <w:tcBorders>
              <w:top w:val="single" w:sz="4" w:space="0" w:color="auto"/>
              <w:left w:val="single" w:sz="4" w:space="0" w:color="auto"/>
              <w:bottom w:val="single" w:sz="4" w:space="0" w:color="auto"/>
              <w:right w:val="single" w:sz="4" w:space="0" w:color="auto"/>
            </w:tcBorders>
            <w:vAlign w:val="center"/>
          </w:tcPr>
          <w:p w14:paraId="7DABA427"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CHEBI:36586</w:t>
            </w:r>
            <w:r w:rsidRPr="00936148">
              <w:rPr>
                <w:rFonts w:cs="Arial"/>
                <w:sz w:val="22"/>
                <w:szCs w:val="22"/>
              </w:rPr>
              <w:t xml:space="preserve"> (</w:t>
            </w:r>
            <w:r w:rsidRPr="00936148">
              <w:rPr>
                <w:rFonts w:cs="Arial"/>
                <w:sz w:val="22"/>
                <w:szCs w:val="22"/>
                <w:lang w:val="en-GB" w:eastAsia="fr-FR"/>
              </w:rPr>
              <w:t>carbonyl compound)</w:t>
            </w:r>
          </w:p>
        </w:tc>
        <w:tc>
          <w:tcPr>
            <w:tcW w:w="0" w:type="auto"/>
            <w:tcBorders>
              <w:top w:val="single" w:sz="4" w:space="0" w:color="auto"/>
              <w:left w:val="single" w:sz="4" w:space="0" w:color="auto"/>
              <w:bottom w:val="single" w:sz="4" w:space="0" w:color="auto"/>
            </w:tcBorders>
            <w:vAlign w:val="center"/>
          </w:tcPr>
          <w:p w14:paraId="3CC574B0"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Any compound containing the carbonyl group, C=O. The term is commonly used in the restricted sense of aldehydes and ketones, although it actually includes carboxylic acids and derivatives.</w:t>
            </w:r>
          </w:p>
        </w:tc>
      </w:tr>
      <w:tr w:rsidR="00A55D46" w:rsidRPr="00936148" w14:paraId="316E9217"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54477011" w14:textId="77777777" w:rsidR="00A55D46" w:rsidRPr="00936148" w:rsidRDefault="00A55D46" w:rsidP="00AC088F">
            <w:pPr>
              <w:spacing w:line="276" w:lineRule="auto"/>
              <w:rPr>
                <w:rFonts w:cs="Arial"/>
                <w:b w:val="0"/>
                <w:sz w:val="22"/>
                <w:szCs w:val="22"/>
                <w:lang w:val="en-GB"/>
              </w:rPr>
            </w:pPr>
            <w:r w:rsidRPr="00936148">
              <w:rPr>
                <w:rFonts w:cs="Arial"/>
                <w:b w:val="0"/>
                <w:sz w:val="22"/>
                <w:szCs w:val="22"/>
                <w:lang w:val="en-GB"/>
              </w:rPr>
              <w:t>Triglycerides</w:t>
            </w:r>
          </w:p>
        </w:tc>
        <w:tc>
          <w:tcPr>
            <w:tcW w:w="0" w:type="auto"/>
            <w:tcBorders>
              <w:top w:val="single" w:sz="4" w:space="0" w:color="auto"/>
              <w:left w:val="single" w:sz="4" w:space="0" w:color="auto"/>
              <w:bottom w:val="single" w:sz="4" w:space="0" w:color="auto"/>
              <w:right w:val="single" w:sz="4" w:space="0" w:color="auto"/>
            </w:tcBorders>
            <w:vAlign w:val="center"/>
          </w:tcPr>
          <w:p w14:paraId="53A32BE5"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CHEBI:17855 (triglyceride)</w:t>
            </w:r>
          </w:p>
        </w:tc>
        <w:tc>
          <w:tcPr>
            <w:tcW w:w="0" w:type="auto"/>
            <w:tcBorders>
              <w:top w:val="single" w:sz="4" w:space="0" w:color="auto"/>
              <w:left w:val="single" w:sz="4" w:space="0" w:color="auto"/>
              <w:bottom w:val="single" w:sz="4" w:space="0" w:color="auto"/>
            </w:tcBorders>
            <w:vAlign w:val="center"/>
          </w:tcPr>
          <w:p w14:paraId="35D7C35D"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Any glyceride resulting from the condensation of all three hydroxy groups of glycerol (propane-1,2,3-triol) with fatty acids.</w:t>
            </w:r>
          </w:p>
        </w:tc>
      </w:tr>
      <w:tr w:rsidR="00A55D46" w:rsidRPr="00936148" w14:paraId="5C657B9B"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79E744E2" w14:textId="77777777" w:rsidR="00A55D46" w:rsidRPr="00936148" w:rsidRDefault="00A55D46" w:rsidP="00AC088F">
            <w:pPr>
              <w:spacing w:line="276" w:lineRule="auto"/>
              <w:rPr>
                <w:rFonts w:cs="Arial"/>
                <w:b w:val="0"/>
                <w:sz w:val="22"/>
                <w:szCs w:val="22"/>
                <w:lang w:val="en-GB"/>
              </w:rPr>
            </w:pPr>
            <w:r w:rsidRPr="00936148">
              <w:rPr>
                <w:rFonts w:cs="Arial"/>
                <w:b w:val="0"/>
                <w:sz w:val="22"/>
                <w:szCs w:val="22"/>
                <w:lang w:val="en-GB"/>
              </w:rPr>
              <w:t xml:space="preserve">Creatine Kinase </w:t>
            </w:r>
          </w:p>
        </w:tc>
        <w:tc>
          <w:tcPr>
            <w:tcW w:w="0" w:type="auto"/>
            <w:tcBorders>
              <w:top w:val="single" w:sz="4" w:space="0" w:color="auto"/>
              <w:left w:val="single" w:sz="4" w:space="0" w:color="auto"/>
              <w:bottom w:val="single" w:sz="4" w:space="0" w:color="auto"/>
              <w:right w:val="single" w:sz="4" w:space="0" w:color="auto"/>
            </w:tcBorders>
            <w:vAlign w:val="center"/>
          </w:tcPr>
          <w:p w14:paraId="384A8BB6"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VT:1000047 (blood creatine kinase amount)</w:t>
            </w:r>
          </w:p>
        </w:tc>
        <w:tc>
          <w:tcPr>
            <w:tcW w:w="0" w:type="auto"/>
            <w:tcBorders>
              <w:top w:val="single" w:sz="4" w:space="0" w:color="auto"/>
              <w:left w:val="single" w:sz="4" w:space="0" w:color="auto"/>
              <w:bottom w:val="single" w:sz="4" w:space="0" w:color="auto"/>
            </w:tcBorders>
            <w:vAlign w:val="center"/>
          </w:tcPr>
          <w:p w14:paraId="1EDE9777"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The proportion, quantity, or volume in whole blood, serum, or plasma of the enzyme creatine kinase, which uses ATP to convert creatine to phosphocreatine and ADP; elevated levels are indicative of muscle damage.</w:t>
            </w:r>
          </w:p>
        </w:tc>
      </w:tr>
      <w:tr w:rsidR="00A55D46" w:rsidRPr="00936148" w14:paraId="65C4E72D"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3C43DF2C" w14:textId="77777777" w:rsidR="00A55D46" w:rsidRPr="00936148" w:rsidRDefault="00A55D46" w:rsidP="00AC088F">
            <w:pPr>
              <w:spacing w:line="276" w:lineRule="auto"/>
              <w:rPr>
                <w:rFonts w:cs="Arial"/>
                <w:b w:val="0"/>
                <w:sz w:val="22"/>
                <w:szCs w:val="22"/>
                <w:lang w:val="en-GB"/>
              </w:rPr>
            </w:pPr>
            <w:r w:rsidRPr="00936148">
              <w:rPr>
                <w:rFonts w:cs="Arial"/>
                <w:b w:val="0"/>
                <w:sz w:val="22"/>
                <w:szCs w:val="22"/>
                <w:lang w:val="en-GB"/>
              </w:rPr>
              <w:t xml:space="preserve">Infectious bronchitis antibody titres </w:t>
            </w:r>
          </w:p>
        </w:tc>
        <w:tc>
          <w:tcPr>
            <w:tcW w:w="0" w:type="auto"/>
            <w:tcBorders>
              <w:top w:val="single" w:sz="4" w:space="0" w:color="auto"/>
              <w:left w:val="single" w:sz="4" w:space="0" w:color="auto"/>
              <w:bottom w:val="single" w:sz="4" w:space="0" w:color="auto"/>
              <w:right w:val="single" w:sz="4" w:space="0" w:color="auto"/>
            </w:tcBorders>
            <w:vAlign w:val="center"/>
          </w:tcPr>
          <w:p w14:paraId="12D56A1D"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AHOL_0005296</w:t>
            </w:r>
          </w:p>
        </w:tc>
        <w:tc>
          <w:tcPr>
            <w:tcW w:w="0" w:type="auto"/>
            <w:tcBorders>
              <w:top w:val="single" w:sz="4" w:space="0" w:color="auto"/>
              <w:left w:val="single" w:sz="4" w:space="0" w:color="auto"/>
              <w:bottom w:val="single" w:sz="4" w:space="0" w:color="auto"/>
            </w:tcBorders>
            <w:vAlign w:val="center"/>
          </w:tcPr>
          <w:p w14:paraId="205486D2"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Any measurable or observable characteristic related to the presence of, or the vaccination against infectious bronchitis in poultry</w:t>
            </w:r>
          </w:p>
        </w:tc>
      </w:tr>
      <w:tr w:rsidR="00A55D46" w:rsidRPr="00936148" w14:paraId="069E8AD8"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4DE58EBA" w14:textId="77777777" w:rsidR="00A55D46" w:rsidRPr="00936148" w:rsidRDefault="00A55D46" w:rsidP="00AC088F">
            <w:pPr>
              <w:spacing w:line="276" w:lineRule="auto"/>
              <w:rPr>
                <w:rFonts w:cs="Arial"/>
                <w:b w:val="0"/>
                <w:sz w:val="22"/>
                <w:szCs w:val="22"/>
                <w:lang w:val="en-GB"/>
              </w:rPr>
            </w:pPr>
            <w:r w:rsidRPr="00936148">
              <w:rPr>
                <w:rFonts w:cs="Arial"/>
                <w:b w:val="0"/>
                <w:sz w:val="22"/>
                <w:szCs w:val="22"/>
                <w:lang w:val="en-GB"/>
              </w:rPr>
              <w:t xml:space="preserve">Haptoglobin-like </w:t>
            </w:r>
          </w:p>
        </w:tc>
        <w:tc>
          <w:tcPr>
            <w:tcW w:w="0" w:type="auto"/>
            <w:tcBorders>
              <w:top w:val="single" w:sz="4" w:space="0" w:color="auto"/>
              <w:left w:val="single" w:sz="4" w:space="0" w:color="auto"/>
              <w:bottom w:val="single" w:sz="4" w:space="0" w:color="auto"/>
              <w:right w:val="single" w:sz="4" w:space="0" w:color="auto"/>
            </w:tcBorders>
            <w:vAlign w:val="center"/>
          </w:tcPr>
          <w:p w14:paraId="7AA14631"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ATOL_0000935 (haptoglobin level)</w:t>
            </w:r>
          </w:p>
        </w:tc>
        <w:tc>
          <w:tcPr>
            <w:tcW w:w="0" w:type="auto"/>
            <w:tcBorders>
              <w:top w:val="single" w:sz="4" w:space="0" w:color="auto"/>
              <w:left w:val="single" w:sz="4" w:space="0" w:color="auto"/>
              <w:bottom w:val="single" w:sz="4" w:space="0" w:color="auto"/>
            </w:tcBorders>
            <w:vAlign w:val="center"/>
          </w:tcPr>
          <w:p w14:paraId="180EB0BA"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any measurable characteristic related to the proportion or amount in the blood of the acute phase protein haptoglobin</w:t>
            </w:r>
          </w:p>
        </w:tc>
      </w:tr>
      <w:tr w:rsidR="00A55D46" w:rsidRPr="00936148" w14:paraId="074E9DE0"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0B412796" w14:textId="77777777" w:rsidR="00A55D46" w:rsidRPr="00936148" w:rsidRDefault="00A55D46" w:rsidP="00AC088F">
            <w:pPr>
              <w:spacing w:line="276" w:lineRule="auto"/>
              <w:rPr>
                <w:rFonts w:cs="Arial"/>
                <w:b w:val="0"/>
                <w:sz w:val="22"/>
                <w:szCs w:val="22"/>
                <w:lang w:val="en-GB"/>
              </w:rPr>
            </w:pPr>
            <w:bookmarkStart w:id="2" w:name="_Hlk120713925"/>
            <w:r w:rsidRPr="00936148">
              <w:rPr>
                <w:rFonts w:cs="Arial"/>
                <w:b w:val="0"/>
                <w:sz w:val="22"/>
                <w:szCs w:val="22"/>
                <w:lang w:val="en-GB"/>
              </w:rPr>
              <w:t xml:space="preserve">Lysozyme </w:t>
            </w:r>
            <w:bookmarkEnd w:id="2"/>
          </w:p>
        </w:tc>
        <w:tc>
          <w:tcPr>
            <w:tcW w:w="0" w:type="auto"/>
            <w:tcBorders>
              <w:top w:val="single" w:sz="4" w:space="0" w:color="auto"/>
              <w:left w:val="single" w:sz="4" w:space="0" w:color="auto"/>
              <w:bottom w:val="single" w:sz="4" w:space="0" w:color="auto"/>
              <w:right w:val="single" w:sz="4" w:space="0" w:color="auto"/>
            </w:tcBorders>
            <w:vAlign w:val="center"/>
          </w:tcPr>
          <w:p w14:paraId="5D9851EC"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ATOL_0005756 (plasma lysozyme concentration)</w:t>
            </w:r>
          </w:p>
        </w:tc>
        <w:tc>
          <w:tcPr>
            <w:tcW w:w="0" w:type="auto"/>
            <w:tcBorders>
              <w:top w:val="single" w:sz="4" w:space="0" w:color="auto"/>
              <w:left w:val="single" w:sz="4" w:space="0" w:color="auto"/>
              <w:bottom w:val="single" w:sz="4" w:space="0" w:color="auto"/>
            </w:tcBorders>
            <w:vAlign w:val="center"/>
          </w:tcPr>
          <w:p w14:paraId="378BBFEC"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any measurable or observable characteristic related to plasma lysozyme concentration as a major antimicrobial agent, due to several mechanisms among which the catalytic activity against peptidoglycan</w:t>
            </w:r>
          </w:p>
        </w:tc>
      </w:tr>
      <w:tr w:rsidR="00A55D46" w:rsidRPr="00936148" w14:paraId="3F3989D1"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6E0B4562" w14:textId="77777777" w:rsidR="00A55D46" w:rsidRPr="00936148" w:rsidRDefault="00A55D46" w:rsidP="00AC088F">
            <w:pPr>
              <w:spacing w:line="276" w:lineRule="auto"/>
              <w:rPr>
                <w:rFonts w:cs="Arial"/>
                <w:b w:val="0"/>
                <w:sz w:val="22"/>
                <w:szCs w:val="22"/>
                <w:lang w:val="en-GB"/>
              </w:rPr>
            </w:pPr>
            <w:r w:rsidRPr="00936148">
              <w:rPr>
                <w:rFonts w:cs="Arial"/>
                <w:b w:val="0"/>
                <w:sz w:val="22"/>
                <w:szCs w:val="22"/>
                <w:lang w:val="en-GB"/>
              </w:rPr>
              <w:t>H</w:t>
            </w:r>
            <w:r w:rsidRPr="00936148">
              <w:rPr>
                <w:rFonts w:cs="Arial"/>
                <w:b w:val="0"/>
                <w:sz w:val="22"/>
                <w:szCs w:val="22"/>
                <w:vertAlign w:val="subscript"/>
                <w:lang w:val="en-GB"/>
              </w:rPr>
              <w:t>2</w:t>
            </w:r>
            <w:r w:rsidRPr="00936148">
              <w:rPr>
                <w:rFonts w:cs="Arial"/>
                <w:b w:val="0"/>
                <w:sz w:val="22"/>
                <w:szCs w:val="22"/>
                <w:lang w:val="en-GB"/>
              </w:rPr>
              <w:t>O</w:t>
            </w:r>
            <w:r w:rsidRPr="00936148">
              <w:rPr>
                <w:rFonts w:cs="Arial"/>
                <w:b w:val="0"/>
                <w:sz w:val="22"/>
                <w:szCs w:val="22"/>
                <w:vertAlign w:val="subscript"/>
                <w:lang w:val="en-GB"/>
              </w:rPr>
              <w:t>2</w:t>
            </w:r>
          </w:p>
        </w:tc>
        <w:tc>
          <w:tcPr>
            <w:tcW w:w="0" w:type="auto"/>
            <w:tcBorders>
              <w:top w:val="single" w:sz="4" w:space="0" w:color="auto"/>
              <w:left w:val="single" w:sz="4" w:space="0" w:color="auto"/>
              <w:bottom w:val="single" w:sz="4" w:space="0" w:color="auto"/>
              <w:right w:val="single" w:sz="4" w:space="0" w:color="auto"/>
            </w:tcBorders>
            <w:vAlign w:val="center"/>
          </w:tcPr>
          <w:p w14:paraId="4171A47B"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CHEBI:16240 (hydrogen peroxide)</w:t>
            </w:r>
          </w:p>
        </w:tc>
        <w:tc>
          <w:tcPr>
            <w:tcW w:w="0" w:type="auto"/>
            <w:tcBorders>
              <w:top w:val="single" w:sz="4" w:space="0" w:color="auto"/>
              <w:left w:val="single" w:sz="4" w:space="0" w:color="auto"/>
              <w:bottom w:val="single" w:sz="4" w:space="0" w:color="auto"/>
            </w:tcBorders>
            <w:vAlign w:val="center"/>
          </w:tcPr>
          <w:p w14:paraId="3FBFE178"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An inorganic peroxide consisting of two hydroxy groups joined by a covalent oxygen-oxygen single bond.</w:t>
            </w:r>
          </w:p>
        </w:tc>
      </w:tr>
      <w:tr w:rsidR="00A55D46" w:rsidRPr="00936148" w14:paraId="5B5EC4E2"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1D68ECDF" w14:textId="77777777" w:rsidR="00A55D46" w:rsidRPr="00936148" w:rsidRDefault="00A55D46" w:rsidP="00AC088F">
            <w:pPr>
              <w:spacing w:line="276" w:lineRule="auto"/>
              <w:rPr>
                <w:rFonts w:cs="Arial"/>
                <w:b w:val="0"/>
                <w:sz w:val="22"/>
                <w:szCs w:val="22"/>
                <w:lang w:val="en-GB"/>
              </w:rPr>
            </w:pPr>
            <w:r w:rsidRPr="00936148">
              <w:rPr>
                <w:rFonts w:cs="Arial"/>
                <w:b w:val="0"/>
                <w:sz w:val="22"/>
                <w:szCs w:val="22"/>
                <w:lang w:val="en-GB"/>
              </w:rPr>
              <w:t>Total Antioxidant Status</w:t>
            </w:r>
          </w:p>
        </w:tc>
        <w:tc>
          <w:tcPr>
            <w:tcW w:w="0" w:type="auto"/>
            <w:tcBorders>
              <w:top w:val="single" w:sz="4" w:space="0" w:color="auto"/>
              <w:left w:val="single" w:sz="4" w:space="0" w:color="auto"/>
              <w:bottom w:val="single" w:sz="4" w:space="0" w:color="auto"/>
              <w:right w:val="single" w:sz="4" w:space="0" w:color="auto"/>
            </w:tcBorders>
            <w:vAlign w:val="center"/>
          </w:tcPr>
          <w:p w14:paraId="5D53E799"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CHEBI:22586 (antioxidant)</w:t>
            </w:r>
          </w:p>
        </w:tc>
        <w:tc>
          <w:tcPr>
            <w:tcW w:w="0" w:type="auto"/>
            <w:tcBorders>
              <w:top w:val="single" w:sz="4" w:space="0" w:color="auto"/>
              <w:left w:val="single" w:sz="4" w:space="0" w:color="auto"/>
              <w:bottom w:val="single" w:sz="4" w:space="0" w:color="auto"/>
            </w:tcBorders>
            <w:vAlign w:val="center"/>
          </w:tcPr>
          <w:p w14:paraId="76E8C872"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A substance that opposes oxidation or inhibits reactions brought about by dioxygen or peroxides.</w:t>
            </w:r>
          </w:p>
        </w:tc>
      </w:tr>
      <w:tr w:rsidR="00A55D46" w:rsidRPr="00936148" w14:paraId="2CA9497C"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5DB3FB86" w14:textId="77777777" w:rsidR="00A55D46" w:rsidRPr="00936148" w:rsidRDefault="00A55D46" w:rsidP="00AC088F">
            <w:pPr>
              <w:spacing w:line="276" w:lineRule="auto"/>
              <w:rPr>
                <w:rFonts w:cs="Arial"/>
                <w:b w:val="0"/>
                <w:sz w:val="22"/>
                <w:szCs w:val="22"/>
                <w:lang w:val="en-GB"/>
              </w:rPr>
            </w:pPr>
            <w:r w:rsidRPr="00936148">
              <w:rPr>
                <w:rFonts w:cs="Arial"/>
                <w:b w:val="0"/>
                <w:sz w:val="22"/>
                <w:szCs w:val="22"/>
                <w:lang w:val="en-GB"/>
              </w:rPr>
              <w:t>∑ Tocols</w:t>
            </w:r>
          </w:p>
        </w:tc>
        <w:tc>
          <w:tcPr>
            <w:tcW w:w="0" w:type="auto"/>
            <w:tcBorders>
              <w:top w:val="single" w:sz="4" w:space="0" w:color="auto"/>
              <w:left w:val="single" w:sz="4" w:space="0" w:color="auto"/>
              <w:bottom w:val="single" w:sz="4" w:space="0" w:color="auto"/>
              <w:right w:val="single" w:sz="4" w:space="0" w:color="auto"/>
            </w:tcBorders>
            <w:vAlign w:val="center"/>
          </w:tcPr>
          <w:p w14:paraId="5CC53352"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CHEBI:27013 (tocopherol)</w:t>
            </w:r>
          </w:p>
        </w:tc>
        <w:tc>
          <w:tcPr>
            <w:tcW w:w="0" w:type="auto"/>
            <w:tcBorders>
              <w:top w:val="single" w:sz="4" w:space="0" w:color="auto"/>
              <w:left w:val="single" w:sz="4" w:space="0" w:color="auto"/>
              <w:bottom w:val="single" w:sz="4" w:space="0" w:color="auto"/>
            </w:tcBorders>
            <w:vAlign w:val="center"/>
          </w:tcPr>
          <w:p w14:paraId="144EC35B"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A collective name for a group of closely related lipids that contain a chroman-6-ol nucleus substituted at position 2 by a methyl group and by a saturated hydrocarbon chain consisting of three isoprenoid units. They are designated as α-, β-, γ-, and δ-tocopherol depending on the number and position of additional methyl substituents on the aromatic ring. Tocopherols occur in vegetable oils and vegetable oil products, almost exclusively with R,R,R configuration. Tocotrienols differ from tocopherols only in having three double bonds in the hydrocarbon chain.</w:t>
            </w:r>
          </w:p>
        </w:tc>
      </w:tr>
      <w:tr w:rsidR="00A55D46" w:rsidRPr="00936148" w14:paraId="1DC426ED"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7574E233" w14:textId="77777777" w:rsidR="00A55D46" w:rsidRPr="00936148" w:rsidRDefault="00A55D46" w:rsidP="00AC088F">
            <w:pPr>
              <w:spacing w:line="276" w:lineRule="auto"/>
              <w:rPr>
                <w:rFonts w:cs="Arial"/>
                <w:b w:val="0"/>
                <w:sz w:val="22"/>
                <w:szCs w:val="22"/>
                <w:lang w:val="en-GB"/>
              </w:rPr>
            </w:pPr>
            <w:r w:rsidRPr="00936148">
              <w:rPr>
                <w:rFonts w:cs="Arial"/>
                <w:b w:val="0"/>
                <w:sz w:val="22"/>
                <w:szCs w:val="22"/>
                <w:lang w:val="en-GB"/>
              </w:rPr>
              <w:lastRenderedPageBreak/>
              <w:t>Glutathione Peroxidase</w:t>
            </w:r>
          </w:p>
        </w:tc>
        <w:tc>
          <w:tcPr>
            <w:tcW w:w="0" w:type="auto"/>
            <w:tcBorders>
              <w:top w:val="single" w:sz="4" w:space="0" w:color="auto"/>
              <w:left w:val="single" w:sz="4" w:space="0" w:color="auto"/>
              <w:bottom w:val="single" w:sz="4" w:space="0" w:color="auto"/>
              <w:right w:val="single" w:sz="4" w:space="0" w:color="auto"/>
            </w:tcBorders>
            <w:vAlign w:val="center"/>
          </w:tcPr>
          <w:p w14:paraId="2016BBA9"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VT:0010630 (blood glutathione peroxidase amount)</w:t>
            </w:r>
          </w:p>
        </w:tc>
        <w:tc>
          <w:tcPr>
            <w:tcW w:w="0" w:type="auto"/>
            <w:tcBorders>
              <w:top w:val="single" w:sz="4" w:space="0" w:color="auto"/>
              <w:left w:val="single" w:sz="4" w:space="0" w:color="auto"/>
              <w:bottom w:val="single" w:sz="4" w:space="0" w:color="auto"/>
            </w:tcBorders>
            <w:vAlign w:val="center"/>
          </w:tcPr>
          <w:p w14:paraId="232A030F"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The proportion, quantity, or volume in whole blood, serum, or plasma of this enzyme, which catalyzes the reaction of two glutathiones with H</w:t>
            </w:r>
            <w:r w:rsidRPr="00936148">
              <w:rPr>
                <w:rFonts w:cs="Arial"/>
                <w:sz w:val="22"/>
                <w:szCs w:val="22"/>
                <w:vertAlign w:val="subscript"/>
                <w:lang w:val="en-GB" w:eastAsia="fr-FR"/>
              </w:rPr>
              <w:t>2</w:t>
            </w:r>
            <w:r w:rsidRPr="00936148">
              <w:rPr>
                <w:rFonts w:cs="Arial"/>
                <w:sz w:val="22"/>
                <w:szCs w:val="22"/>
                <w:lang w:val="en-GB" w:eastAsia="fr-FR"/>
              </w:rPr>
              <w:t>O</w:t>
            </w:r>
            <w:r w:rsidRPr="00936148">
              <w:rPr>
                <w:rFonts w:cs="Arial"/>
                <w:sz w:val="22"/>
                <w:szCs w:val="22"/>
                <w:vertAlign w:val="subscript"/>
                <w:lang w:val="en-GB" w:eastAsia="fr-FR"/>
              </w:rPr>
              <w:t>2</w:t>
            </w:r>
            <w:r w:rsidRPr="00936148">
              <w:rPr>
                <w:rFonts w:cs="Arial"/>
                <w:sz w:val="22"/>
                <w:szCs w:val="22"/>
                <w:lang w:val="en-GB" w:eastAsia="fr-FR"/>
              </w:rPr>
              <w:t>, forming glutathione disulfide and two water molecules, and is a crucial enzyme in hydrogen peroxide detoxification.</w:t>
            </w:r>
          </w:p>
        </w:tc>
      </w:tr>
      <w:tr w:rsidR="00A55D46" w:rsidRPr="00936148" w14:paraId="3EA457FD" w14:textId="77777777" w:rsidTr="00AC088F">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vAlign w:val="center"/>
          </w:tcPr>
          <w:p w14:paraId="091608B9" w14:textId="77777777" w:rsidR="00A55D46" w:rsidRPr="00936148" w:rsidRDefault="00A55D46" w:rsidP="00AC088F">
            <w:pPr>
              <w:spacing w:line="276" w:lineRule="auto"/>
              <w:rPr>
                <w:rFonts w:cs="Arial"/>
                <w:b w:val="0"/>
                <w:sz w:val="22"/>
                <w:szCs w:val="22"/>
                <w:lang w:val="en-GB"/>
              </w:rPr>
            </w:pPr>
            <w:r w:rsidRPr="00936148">
              <w:rPr>
                <w:rFonts w:cs="Arial"/>
                <w:b w:val="0"/>
                <w:sz w:val="22"/>
                <w:szCs w:val="22"/>
                <w:lang w:val="en-GB"/>
              </w:rPr>
              <w:t>Fatty acids composition in serum</w:t>
            </w:r>
          </w:p>
        </w:tc>
        <w:tc>
          <w:tcPr>
            <w:tcW w:w="0" w:type="auto"/>
            <w:tcBorders>
              <w:top w:val="single" w:sz="4" w:space="0" w:color="auto"/>
              <w:left w:val="single" w:sz="4" w:space="0" w:color="auto"/>
              <w:bottom w:val="single" w:sz="4" w:space="0" w:color="auto"/>
              <w:right w:val="single" w:sz="4" w:space="0" w:color="auto"/>
            </w:tcBorders>
            <w:vAlign w:val="center"/>
          </w:tcPr>
          <w:p w14:paraId="2D5964A5"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CHEBI:35366 (fatty acid)</w:t>
            </w:r>
          </w:p>
        </w:tc>
        <w:tc>
          <w:tcPr>
            <w:tcW w:w="0" w:type="auto"/>
            <w:tcBorders>
              <w:top w:val="single" w:sz="4" w:space="0" w:color="auto"/>
              <w:left w:val="single" w:sz="4" w:space="0" w:color="auto"/>
              <w:bottom w:val="single" w:sz="4" w:space="0" w:color="auto"/>
            </w:tcBorders>
            <w:vAlign w:val="center"/>
          </w:tcPr>
          <w:p w14:paraId="5976D3B3" w14:textId="77777777" w:rsidR="00A55D46" w:rsidRPr="00936148" w:rsidRDefault="00A55D46" w:rsidP="00AC088F">
            <w:pPr>
              <w:spacing w:line="276" w:lineRule="auto"/>
              <w:cnfStyle w:val="000000000000" w:firstRow="0" w:lastRow="0" w:firstColumn="0" w:lastColumn="0" w:oddVBand="0" w:evenVBand="0" w:oddHBand="0" w:evenHBand="0" w:firstRowFirstColumn="0" w:firstRowLastColumn="0" w:lastRowFirstColumn="0" w:lastRowLastColumn="0"/>
              <w:rPr>
                <w:rFonts w:cs="Arial"/>
                <w:sz w:val="22"/>
                <w:szCs w:val="22"/>
                <w:lang w:val="en-GB" w:eastAsia="fr-FR"/>
              </w:rPr>
            </w:pPr>
            <w:r w:rsidRPr="00936148">
              <w:rPr>
                <w:rFonts w:cs="Arial"/>
                <w:sz w:val="22"/>
                <w:szCs w:val="22"/>
                <w:lang w:val="en-GB" w:eastAsia="fr-FR"/>
              </w:rPr>
              <w:t>Any aliphatic monocarboxylic acid derived from or contained in esterified form in an animal or vegetable fat, oil or wax. Natural fatty acids commonly have a chain of 4 to 28 carbons (usually unbranched and even-numbered), which may be saturated or unsaturated. By extension, the term is sometimes used to embrace all acyclic aliphatic carboxylic acids.</w:t>
            </w:r>
          </w:p>
        </w:tc>
      </w:tr>
    </w:tbl>
    <w:p w14:paraId="0B9FA1A3" w14:textId="41D05635" w:rsidR="005A1EC9" w:rsidRDefault="005A1EC9"/>
    <w:sectPr w:rsidR="005A1EC9" w:rsidSect="00A55D46">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C39235" w14:textId="77777777" w:rsidR="005A770F" w:rsidRDefault="005A770F" w:rsidP="005A770F">
      <w:r>
        <w:separator/>
      </w:r>
    </w:p>
  </w:endnote>
  <w:endnote w:type="continuationSeparator" w:id="0">
    <w:p w14:paraId="72D6A72B" w14:textId="77777777" w:rsidR="005A770F" w:rsidRDefault="005A770F" w:rsidP="005A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BCE92" w14:textId="77777777" w:rsidR="005A770F" w:rsidRDefault="005A770F" w:rsidP="005A770F">
      <w:r>
        <w:separator/>
      </w:r>
    </w:p>
  </w:footnote>
  <w:footnote w:type="continuationSeparator" w:id="0">
    <w:p w14:paraId="26F146DB" w14:textId="77777777" w:rsidR="005A770F" w:rsidRDefault="005A770F" w:rsidP="005A77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3A6095" w14:textId="5A67EE6C" w:rsidR="005A770F" w:rsidRPr="005A770F" w:rsidRDefault="005A770F">
    <w:pPr>
      <w:pStyle w:val="En-tte"/>
      <w:rPr>
        <w:lang w:val="en-GB"/>
      </w:rPr>
    </w:pPr>
    <w:r w:rsidRPr="005A770F">
      <w:rPr>
        <w:lang w:val="en-GB"/>
      </w:rPr>
      <w:t>Supplementary file</w:t>
    </w:r>
  </w:p>
  <w:p w14:paraId="3AF5A775" w14:textId="77777777" w:rsidR="005A770F" w:rsidRPr="005A770F" w:rsidRDefault="005A770F">
    <w:pPr>
      <w:pStyle w:val="En-tte"/>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D46"/>
    <w:rsid w:val="00497A0E"/>
    <w:rsid w:val="005A1EC9"/>
    <w:rsid w:val="005A770F"/>
    <w:rsid w:val="00A25C95"/>
    <w:rsid w:val="00A55D46"/>
    <w:rsid w:val="00CF412F"/>
    <w:rsid w:val="00E639CC"/>
    <w:rsid w:val="00FD42A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2A34E"/>
  <w15:chartTrackingRefBased/>
  <w15:docId w15:val="{D1C1BF71-7A4B-43EE-B256-E4C01B468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55D46"/>
    <w:pPr>
      <w:overflowPunct w:val="0"/>
      <w:autoSpaceDE w:val="0"/>
      <w:autoSpaceDN w:val="0"/>
      <w:adjustRightInd w:val="0"/>
      <w:spacing w:after="0" w:line="240" w:lineRule="auto"/>
      <w:textAlignment w:val="baseline"/>
    </w:pPr>
    <w:rPr>
      <w:rFonts w:ascii="Arial" w:eastAsia="Times New Roman" w:hAnsi="Arial" w:cs="Times New Roman"/>
      <w:sz w:val="24"/>
      <w:szCs w:val="24"/>
      <w:lang w:val="nl-NL" w:eastAsia="nl-N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auGrille1Clair1">
    <w:name w:val="Tableau Grille 1 Clair1"/>
    <w:basedOn w:val="TableauNormal"/>
    <w:next w:val="TableauGrille1Clair"/>
    <w:uiPriority w:val="46"/>
    <w:rsid w:val="00A55D46"/>
    <w:pPr>
      <w:spacing w:after="0" w:line="240" w:lineRule="auto"/>
    </w:pPr>
    <w:rPr>
      <w:rFonts w:eastAsiaTheme="minorEastAsia"/>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auGrille1Clair">
    <w:name w:val="Grid Table 1 Light"/>
    <w:basedOn w:val="TableauNormal"/>
    <w:uiPriority w:val="46"/>
    <w:rsid w:val="00A55D4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ANMheading1">
    <w:name w:val="ANM heading 1"/>
    <w:next w:val="Normal"/>
    <w:link w:val="ANMheading1Car"/>
    <w:uiPriority w:val="99"/>
    <w:qFormat/>
    <w:rsid w:val="00A55D46"/>
    <w:pPr>
      <w:spacing w:before="100" w:beforeAutospacing="1" w:after="100" w:afterAutospacing="1" w:line="480" w:lineRule="auto"/>
    </w:pPr>
    <w:rPr>
      <w:rFonts w:ascii="Arial" w:eastAsia="Times New Roman" w:hAnsi="Arial" w:cs="Times New Roman"/>
      <w:b/>
      <w:sz w:val="24"/>
      <w:szCs w:val="24"/>
      <w:lang w:val="en-GB" w:eastAsia="fr-FR"/>
    </w:rPr>
  </w:style>
  <w:style w:type="character" w:customStyle="1" w:styleId="ANMheading1Car">
    <w:name w:val="ANM heading 1 Car"/>
    <w:link w:val="ANMheading1"/>
    <w:uiPriority w:val="99"/>
    <w:locked/>
    <w:rsid w:val="00A55D46"/>
    <w:rPr>
      <w:rFonts w:ascii="Arial" w:eastAsia="Times New Roman" w:hAnsi="Arial" w:cs="Times New Roman"/>
      <w:b/>
      <w:sz w:val="24"/>
      <w:szCs w:val="24"/>
      <w:lang w:val="en-GB" w:eastAsia="fr-FR"/>
    </w:rPr>
  </w:style>
  <w:style w:type="character" w:customStyle="1" w:styleId="ANMheading3Car">
    <w:name w:val="ANM heading 3 Car"/>
    <w:link w:val="ANMheading3"/>
    <w:uiPriority w:val="99"/>
    <w:locked/>
    <w:rsid w:val="005A770F"/>
    <w:rPr>
      <w:rFonts w:ascii="Arial" w:hAnsi="Arial"/>
      <w:i/>
      <w:sz w:val="24"/>
      <w:szCs w:val="24"/>
      <w:lang w:eastAsia="fr-FR"/>
    </w:rPr>
  </w:style>
  <w:style w:type="paragraph" w:customStyle="1" w:styleId="ANMmaintext">
    <w:name w:val="ANM main text"/>
    <w:link w:val="ANMmaintextCarCar"/>
    <w:uiPriority w:val="99"/>
    <w:qFormat/>
    <w:rsid w:val="005A770F"/>
    <w:pPr>
      <w:spacing w:after="0" w:line="480" w:lineRule="auto"/>
    </w:pPr>
    <w:rPr>
      <w:rFonts w:ascii="Arial" w:eastAsia="Times New Roman" w:hAnsi="Arial" w:cs="Times New Roman"/>
      <w:sz w:val="24"/>
      <w:szCs w:val="24"/>
      <w:lang w:val="en-GB" w:eastAsia="fr-FR"/>
    </w:rPr>
  </w:style>
  <w:style w:type="character" w:customStyle="1" w:styleId="ANMmaintextCarCar">
    <w:name w:val="ANM main text Car Car"/>
    <w:link w:val="ANMmaintext"/>
    <w:uiPriority w:val="99"/>
    <w:locked/>
    <w:rsid w:val="005A770F"/>
    <w:rPr>
      <w:rFonts w:ascii="Arial" w:eastAsia="Times New Roman" w:hAnsi="Arial" w:cs="Times New Roman"/>
      <w:sz w:val="24"/>
      <w:szCs w:val="24"/>
      <w:lang w:val="en-GB" w:eastAsia="fr-FR"/>
    </w:rPr>
  </w:style>
  <w:style w:type="paragraph" w:customStyle="1" w:styleId="ANMsuperscript">
    <w:name w:val="ANM superscript"/>
    <w:next w:val="ANMmaintext"/>
    <w:link w:val="ANMsuperscriptCar"/>
    <w:uiPriority w:val="99"/>
    <w:qFormat/>
    <w:rsid w:val="005A770F"/>
    <w:pPr>
      <w:spacing w:after="0" w:line="480" w:lineRule="auto"/>
    </w:pPr>
    <w:rPr>
      <w:rFonts w:ascii="Arial" w:eastAsia="Times New Roman" w:hAnsi="Arial" w:cs="Times New Roman"/>
      <w:sz w:val="24"/>
      <w:szCs w:val="24"/>
      <w:vertAlign w:val="superscript"/>
      <w:lang w:val="en-GB" w:eastAsia="fr-FR"/>
    </w:rPr>
  </w:style>
  <w:style w:type="paragraph" w:customStyle="1" w:styleId="ANMheading3">
    <w:name w:val="ANM heading 3"/>
    <w:next w:val="ANMmaintext"/>
    <w:link w:val="ANMheading3Car"/>
    <w:autoRedefine/>
    <w:uiPriority w:val="99"/>
    <w:qFormat/>
    <w:rsid w:val="005A770F"/>
    <w:pPr>
      <w:spacing w:before="100" w:beforeAutospacing="1" w:after="0" w:line="480" w:lineRule="auto"/>
    </w:pPr>
    <w:rPr>
      <w:rFonts w:ascii="Arial" w:hAnsi="Arial"/>
      <w:i/>
      <w:sz w:val="24"/>
      <w:szCs w:val="24"/>
      <w:lang w:eastAsia="fr-FR"/>
    </w:rPr>
  </w:style>
  <w:style w:type="character" w:customStyle="1" w:styleId="ANMsuperscriptCar">
    <w:name w:val="ANM superscript Car"/>
    <w:link w:val="ANMsuperscript"/>
    <w:uiPriority w:val="99"/>
    <w:locked/>
    <w:rsid w:val="005A770F"/>
    <w:rPr>
      <w:rFonts w:ascii="Arial" w:eastAsia="Times New Roman" w:hAnsi="Arial" w:cs="Times New Roman"/>
      <w:sz w:val="24"/>
      <w:szCs w:val="24"/>
      <w:vertAlign w:val="superscript"/>
      <w:lang w:val="en-GB" w:eastAsia="fr-FR"/>
    </w:rPr>
  </w:style>
  <w:style w:type="character" w:styleId="Lienhypertexte">
    <w:name w:val="Hyperlink"/>
    <w:uiPriority w:val="99"/>
    <w:unhideWhenUsed/>
    <w:rsid w:val="005A770F"/>
    <w:rPr>
      <w:color w:val="0000FF"/>
      <w:u w:val="single"/>
    </w:rPr>
  </w:style>
  <w:style w:type="character" w:customStyle="1" w:styleId="sa8294f4d">
    <w:name w:val="s_a8294f4d"/>
    <w:basedOn w:val="Policepardfaut"/>
    <w:semiHidden/>
    <w:rsid w:val="005A770F"/>
  </w:style>
  <w:style w:type="paragraph" w:styleId="En-tte">
    <w:name w:val="header"/>
    <w:basedOn w:val="Normal"/>
    <w:link w:val="En-tteCar"/>
    <w:uiPriority w:val="99"/>
    <w:unhideWhenUsed/>
    <w:rsid w:val="005A770F"/>
    <w:pPr>
      <w:tabs>
        <w:tab w:val="center" w:pos="4536"/>
        <w:tab w:val="right" w:pos="9072"/>
      </w:tabs>
    </w:pPr>
  </w:style>
  <w:style w:type="character" w:customStyle="1" w:styleId="En-tteCar">
    <w:name w:val="En-tête Car"/>
    <w:basedOn w:val="Policepardfaut"/>
    <w:link w:val="En-tte"/>
    <w:uiPriority w:val="99"/>
    <w:rsid w:val="005A770F"/>
    <w:rPr>
      <w:rFonts w:ascii="Arial" w:eastAsia="Times New Roman" w:hAnsi="Arial" w:cs="Times New Roman"/>
      <w:sz w:val="24"/>
      <w:szCs w:val="24"/>
      <w:lang w:val="nl-NL" w:eastAsia="nl-NL"/>
    </w:rPr>
  </w:style>
  <w:style w:type="paragraph" w:styleId="Pieddepage">
    <w:name w:val="footer"/>
    <w:basedOn w:val="Normal"/>
    <w:link w:val="PieddepageCar"/>
    <w:uiPriority w:val="99"/>
    <w:unhideWhenUsed/>
    <w:rsid w:val="005A770F"/>
    <w:pPr>
      <w:tabs>
        <w:tab w:val="center" w:pos="4536"/>
        <w:tab w:val="right" w:pos="9072"/>
      </w:tabs>
    </w:pPr>
  </w:style>
  <w:style w:type="character" w:customStyle="1" w:styleId="PieddepageCar">
    <w:name w:val="Pied de page Car"/>
    <w:basedOn w:val="Policepardfaut"/>
    <w:link w:val="Pieddepage"/>
    <w:uiPriority w:val="99"/>
    <w:rsid w:val="005A770F"/>
    <w:rPr>
      <w:rFonts w:ascii="Arial" w:eastAsia="Times New Roman" w:hAnsi="Arial" w:cs="Times New Roman"/>
      <w:sz w:val="24"/>
      <w:szCs w:val="24"/>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laire.bonnefous@inrae.f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1276</Words>
  <Characters>7022</Characters>
  <Application>Microsoft Office Word</Application>
  <DocSecurity>0</DocSecurity>
  <Lines>58</Lines>
  <Paragraphs>16</Paragraphs>
  <ScaleCrop>false</ScaleCrop>
  <Company/>
  <LinksUpToDate>false</LinksUpToDate>
  <CharactersWithSpaces>8282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Bonnefous</dc:creator>
  <cp:keywords/>
  <dc:description/>
  <cp:lastModifiedBy>Claire Bonnefous</cp:lastModifiedBy>
  <cp:revision>5</cp:revision>
  <dcterms:created xsi:type="dcterms:W3CDTF">2023-06-15T15:04:00Z</dcterms:created>
  <dcterms:modified xsi:type="dcterms:W3CDTF">2023-07-19T12:14:00Z</dcterms:modified>
</cp:coreProperties>
</file>