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4" w:leftChars="202"/>
        <w:jc w:val="left"/>
        <w:rPr>
          <w:rFonts w:ascii="Times New Roman" w:hAnsi="Times New Roman" w:eastAsia="宋体" w:cs="Times New Roman"/>
          <w:sz w:val="20"/>
          <w:szCs w:val="20"/>
        </w:rPr>
      </w:pPr>
      <w:bookmarkStart w:id="0" w:name="_Hlk132144129"/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Title: </w:t>
      </w:r>
      <w:r>
        <w:rPr>
          <w:rFonts w:ascii="Times New Roman" w:hAnsi="Times New Roman" w:eastAsia="宋体" w:cs="Times New Roman"/>
          <w:sz w:val="20"/>
          <w:szCs w:val="20"/>
        </w:rPr>
        <w:t>Clinical efficacy analysis of percutaneous "tripod" combined with radiofrequency ablation and bone cement filling in the treatment of periacetabular metastases.</w:t>
      </w:r>
    </w:p>
    <w:bookmarkEnd w:id="0"/>
    <w:p>
      <w:pPr>
        <w:ind w:firstLine="420"/>
        <w:jc w:val="left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ind w:firstLine="420"/>
        <w:jc w:val="left"/>
        <w:rPr>
          <w:rFonts w:hint="eastAsia" w:ascii="Times New Roman" w:hAnsi="Times New Roman" w:eastAsia="宋体" w:cs="Times New Roman"/>
          <w:b/>
          <w:bCs/>
          <w:sz w:val="20"/>
          <w:szCs w:val="20"/>
        </w:rPr>
      </w:pPr>
      <w:bookmarkStart w:id="1" w:name="_GoBack"/>
      <w:bookmarkEnd w:id="1"/>
    </w:p>
    <w:p>
      <w:pPr>
        <w:ind w:left="424" w:leftChars="202"/>
        <w:jc w:val="left"/>
        <w:rPr>
          <w:rFonts w:ascii="Times New Roman" w:hAnsi="Times New Roman" w:eastAsia="宋体" w:cs="Times New Roman"/>
          <w:sz w:val="20"/>
          <w:szCs w:val="20"/>
          <w:vertAlign w:val="superscript"/>
        </w:rPr>
      </w:pPr>
      <w:r>
        <w:rPr>
          <w:rFonts w:ascii="Times New Roman" w:hAnsi="Times New Roman" w:eastAsia="仿宋" w:cs="Times New Roman"/>
          <w:b/>
          <w:bCs/>
          <w:sz w:val="20"/>
          <w:szCs w:val="20"/>
        </w:rPr>
        <w:t xml:space="preserve">Author information </w:t>
      </w:r>
      <w:r>
        <w:rPr>
          <w:rFonts w:ascii="Times New Roman" w:hAnsi="Times New Roman" w:eastAsia="仿宋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Yun</w:t>
      </w:r>
      <w:r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CFCFC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Lan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 xml:space="preserve"> 1,2</w:t>
      </w:r>
      <w:r>
        <w:rPr>
          <w:rFonts w:hint="eastAsia" w:ascii="宋体" w:hAnsi="宋体" w:eastAsia="宋体" w:cs="宋体"/>
          <w:sz w:val="20"/>
          <w:szCs w:val="20"/>
          <w:vertAlign w:val="superscript"/>
        </w:rPr>
        <w:t>△</w:t>
      </w:r>
      <w:r>
        <w:rPr>
          <w:rFonts w:ascii="Times New Roman" w:hAnsi="Times New Roman" w:eastAsia="仿宋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Ruoyu Li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 xml:space="preserve"> 1</w:t>
      </w:r>
      <w:r>
        <w:rPr>
          <w:rFonts w:hint="eastAsia" w:ascii="宋体" w:hAnsi="宋体" w:eastAsia="宋体" w:cs="宋体"/>
          <w:sz w:val="20"/>
          <w:szCs w:val="20"/>
          <w:vertAlign w:val="superscript"/>
        </w:rPr>
        <w:t>△</w:t>
      </w:r>
      <w:r>
        <w:rPr>
          <w:rFonts w:ascii="Times New Roman" w:hAnsi="Times New Roman" w:eastAsia="仿宋" w:cs="Times New Roman"/>
          <w:sz w:val="20"/>
          <w:szCs w:val="20"/>
        </w:rPr>
        <w:t xml:space="preserve"> , Linheng Jiang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 xml:space="preserve"> 2</w:t>
      </w:r>
      <w:r>
        <w:rPr>
          <w:rFonts w:ascii="Times New Roman" w:hAnsi="Times New Roman" w:eastAsia="仿宋" w:cs="Times New Roman"/>
          <w:sz w:val="20"/>
          <w:szCs w:val="20"/>
        </w:rPr>
        <w:t>,</w:t>
      </w:r>
      <w:r>
        <w:rPr>
          <w:rFonts w:ascii="Times New Roman" w:hAnsi="Times New Roman" w:eastAsia="仿宋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eastAsia="仿宋" w:cs="Times New Roman"/>
          <w:sz w:val="20"/>
          <w:szCs w:val="20"/>
        </w:rPr>
        <w:t xml:space="preserve">Nannan Zhou 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eastAsia="仿宋" w:cs="Times New Roman"/>
          <w:sz w:val="20"/>
          <w:szCs w:val="20"/>
        </w:rPr>
        <w:t xml:space="preserve">, </w:t>
      </w:r>
      <w:r>
        <w:rPr>
          <w:rFonts w:ascii="Times New Roman" w:hAnsi="Times New Roman" w:eastAsia="仿宋" w:cs="Times New Roman"/>
          <w:kern w:val="0"/>
          <w:sz w:val="20"/>
          <w:szCs w:val="20"/>
        </w:rPr>
        <w:t xml:space="preserve">Mincon He </w:t>
      </w:r>
      <w:r>
        <w:rPr>
          <w:rFonts w:ascii="Times New Roman" w:hAnsi="Times New Roman" w:eastAsia="仿宋" w:cs="Times New Roman"/>
          <w:kern w:val="0"/>
          <w:sz w:val="20"/>
          <w:szCs w:val="20"/>
          <w:vertAlign w:val="superscript"/>
        </w:rPr>
        <w:t>3</w:t>
      </w:r>
      <w:r>
        <w:rPr>
          <w:rFonts w:ascii="Times New Roman" w:hAnsi="Times New Roman" w:eastAsia="仿宋" w:cs="Times New Roman"/>
          <w:kern w:val="0"/>
          <w:sz w:val="20"/>
          <w:szCs w:val="20"/>
        </w:rPr>
        <w:t>,</w:t>
      </w:r>
      <w:r>
        <w:rPr>
          <w:rFonts w:ascii="Times New Roman" w:hAnsi="Times New Roman" w:eastAsia="仿宋" w:cs="Times New Roman"/>
          <w:sz w:val="20"/>
          <w:szCs w:val="20"/>
        </w:rPr>
        <w:t xml:space="preserve"> Bin Fang 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eastAsia="仿宋" w:cs="Times New Roman"/>
          <w:sz w:val="20"/>
          <w:szCs w:val="20"/>
        </w:rPr>
        <w:t xml:space="preserve">, Chunzhi Yi </w:t>
      </w:r>
      <w:r>
        <w:rPr>
          <w:rFonts w:ascii="Times New Roman" w:hAnsi="Times New Roman" w:eastAsia="仿宋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>*</w:t>
      </w:r>
    </w:p>
    <w:p>
      <w:pPr>
        <w:ind w:firstLine="420"/>
        <w:jc w:val="left"/>
        <w:rPr>
          <w:rFonts w:ascii="Times New Roman" w:hAnsi="Times New Roman" w:eastAsia="宋体" w:cs="Times New Roman"/>
          <w:sz w:val="20"/>
          <w:szCs w:val="20"/>
          <w:vertAlign w:val="superscript"/>
        </w:rPr>
      </w:pPr>
    </w:p>
    <w:p>
      <w:pPr>
        <w:ind w:firstLine="420"/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Department of Orthopedic Oncology, the First Affiliated Hospital of Guangzhou University of Chinese Medicine, Guangzhou 510000, Guangdong, China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The First Clinical Medical College of Guangzhou University of Chinese Medicine, Guangzhou 510000, Guangdong, China </w:t>
      </w:r>
    </w:p>
    <w:p>
      <w:pPr>
        <w:numPr>
          <w:ilvl w:val="0"/>
          <w:numId w:val="1"/>
        </w:numPr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Guangdong Academy of Traditional Chinese Medicine Orthopedics and Traumatology, Guangzhou 510000, Guangdong, China</w:t>
      </w:r>
    </w:p>
    <w:p>
      <w:pPr>
        <w:ind w:left="360"/>
        <w:rPr>
          <w:rFonts w:ascii="Times New Roman" w:hAnsi="Times New Roman" w:eastAsia="宋体" w:cs="Times New Roman"/>
          <w:sz w:val="20"/>
          <w:szCs w:val="20"/>
        </w:rPr>
      </w:pPr>
    </w:p>
    <w:p>
      <w:pPr>
        <w:ind w:left="36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  <w:vertAlign w:val="superscript"/>
        </w:rPr>
        <w:t>△</w:t>
      </w:r>
      <w:r>
        <w:rPr>
          <w:rFonts w:ascii="Times New Roman" w:hAnsi="Times New Roman" w:eastAsia="宋体" w:cs="Times New Roman"/>
          <w:sz w:val="20"/>
          <w:szCs w:val="20"/>
        </w:rPr>
        <w:t xml:space="preserve">Co-first author: </w:t>
      </w:r>
      <w:r>
        <w:rPr>
          <w:rFonts w:ascii="Times New Roman" w:hAnsi="Times New Roman" w:eastAsia="仿宋" w:cs="Times New Roman"/>
          <w:sz w:val="20"/>
          <w:szCs w:val="20"/>
        </w:rPr>
        <w:t>Yun Lan,  Ruoyu Li.</w:t>
      </w:r>
    </w:p>
    <w:p>
      <w:pPr>
        <w:ind w:left="36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eastAsia="宋体" w:cs="Times New Roman"/>
          <w:sz w:val="20"/>
          <w:szCs w:val="20"/>
        </w:rPr>
        <w:t>Corresponding author：</w:t>
      </w:r>
      <w:r>
        <w:rPr>
          <w:rFonts w:ascii="Times New Roman" w:hAnsi="Times New Roman" w:eastAsia="仿宋" w:cs="Times New Roman"/>
          <w:sz w:val="20"/>
          <w:szCs w:val="20"/>
        </w:rPr>
        <w:t>Chunzhi Yi</w:t>
      </w:r>
      <w:r>
        <w:rPr>
          <w:rFonts w:ascii="Times New Roman" w:hAnsi="Times New Roman" w:eastAsia="宋体" w:cs="Times New Roman"/>
          <w:sz w:val="20"/>
          <w:szCs w:val="20"/>
        </w:rPr>
        <w:t xml:space="preserve"> ,  ORCID: 0000000329701575  E-mail: </w:t>
      </w:r>
      <w:r>
        <w:fldChar w:fldCharType="begin"/>
      </w:r>
      <w:r>
        <w:instrText xml:space="preserve"> HYPERLINK "mailto:531667142@qq.com" </w:instrText>
      </w:r>
      <w:r>
        <w:fldChar w:fldCharType="separate"/>
      </w:r>
      <w:r>
        <w:rPr>
          <w:rStyle w:val="6"/>
          <w:rFonts w:ascii="Times New Roman" w:hAnsi="Times New Roman" w:eastAsia="宋体" w:cs="Times New Roman"/>
          <w:sz w:val="20"/>
          <w:szCs w:val="20"/>
        </w:rPr>
        <w:t>531667142@qq.com</w:t>
      </w:r>
      <w:r>
        <w:rPr>
          <w:rStyle w:val="6"/>
          <w:rFonts w:ascii="Times New Roman" w:hAnsi="Times New Roman" w:eastAsia="宋体" w:cs="Times New Roman"/>
          <w:sz w:val="20"/>
          <w:szCs w:val="20"/>
        </w:rPr>
        <w:fldChar w:fldCharType="end"/>
      </w: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>Typical cases</w:t>
      </w:r>
    </w:p>
    <w:p>
      <w:r>
        <w:drawing>
          <wp:inline distT="0" distB="0" distL="0" distR="0">
            <wp:extent cx="5034280" cy="3510915"/>
            <wp:effectExtent l="0" t="0" r="1397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4796" cy="353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t xml:space="preserve">Figure 1   A 72-year-old female patient with a previous history of bladder cancer for more than 2 years and hip pain for 3 months was diagnosed with multiple metastases from bladder cancer. </w:t>
      </w:r>
      <w:r>
        <w:rPr>
          <w:b/>
          <w:bCs/>
        </w:rPr>
        <w:t>A</w:t>
      </w:r>
      <w:r>
        <w:t xml:space="preserve">: Preoperative lesion X-ray, CT and MRI, which showed osteolytic destruction of the inner wall of the patient's right acetabulum and above, with a soft tissue mass protruding into the pelvis; Harington type 3; </w:t>
      </w:r>
      <w:r>
        <w:rPr>
          <w:b/>
          <w:bCs/>
        </w:rPr>
        <w:t>B</w:t>
      </w:r>
      <w:r>
        <w:t>: X-rays 3 days after surgery showed good screw fixation and cement protruding into the pelvis along the lesion, and the patient had no obvious discomfort ;</w:t>
      </w:r>
      <w:r>
        <w:rPr>
          <w:b/>
          <w:bCs/>
        </w:rPr>
        <w:t>C</w:t>
      </w:r>
      <w:r>
        <w:t xml:space="preserve">: Postoperative 2-month x-ray, no change in screw position and osteogenic changes within the medial acetabular lesion; </w:t>
      </w:r>
      <w:r>
        <w:rPr>
          <w:b/>
          <w:bCs/>
        </w:rPr>
        <w:t>D</w:t>
      </w:r>
      <w:r>
        <w:t xml:space="preserve">: On postoperative X-ray review in 6 months, the internal fixation was secure and the local lesion was further osteogenic; </w:t>
      </w:r>
      <w:r>
        <w:rPr>
          <w:b/>
          <w:bCs/>
        </w:rPr>
        <w:t>E</w:t>
      </w:r>
      <w:r>
        <w:t>: Post-operative 3D reconstruction schematic, which can understand the position of the screw from different angles.</w:t>
      </w:r>
    </w:p>
    <w:p/>
    <w:p/>
    <w:p>
      <w:r>
        <w:drawing>
          <wp:inline distT="0" distB="0" distL="0" distR="0">
            <wp:extent cx="5274310" cy="34023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Figure 2   A 54-year-old female patient with a history of lung cancer for 1 year, bilateral hip pain and limited mobility for 4 months, was diagnosed with multiple metastasis of lung cancer. A, B, C: X-ray, CT, MRI at the affected area before surgery, bilateral osteolytic destruction of the medial wall and upper acetabulum, all Harington type 3; D: X-ray 1 day after surgery, bilateral acetabulum, iliac screw fixation and bone cement filling, a slight bone cement exudation from the inner edge of the left acetabulum, and the position of both hip joints is normal; E: X-rays were re-examined three months after surgery, and the screw position did not change, and the osteogenesis of the lesion changed</w:t>
      </w:r>
      <w:r>
        <w:rPr>
          <w:rFonts w:hint="eastAsia"/>
        </w:rPr>
        <w:t>.</w:t>
      </w:r>
    </w:p>
    <w:p/>
    <w:p>
      <w:r>
        <w:drawing>
          <wp:inline distT="0" distB="0" distL="0" distR="0">
            <wp:extent cx="5274310" cy="29476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t>Figure 3   A 64-year-old male patient with a history of prostate cancer for more than 1 year, right hip pain and limited mobility for 1 year, was diagnosed with prostate cancer and metastases to the right pelvis.A: X-ray, CT, and MRI of the affected area before surgery, visible osteolytic destruction above the right acetabulum and inner wall, Harington type 3; B: X-ray 3 days after surgery, it can be seen that the screw position is good, and the bone cement is evenly diffused above the acetabulum; C: X-ray was re-examined two months after surgery, the screw position did not change, and the local osteogenesis of the lesion above the acetabulum changed.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60AB5"/>
    <w:multiLevelType w:val="multilevel"/>
    <w:tmpl w:val="1DF60AB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yNTBlZTUyMDFlMDAzMjhhMjY0Mjc5YmUwNzEzMTYifQ=="/>
  </w:docVars>
  <w:rsids>
    <w:rsidRoot w:val="001F59E4"/>
    <w:rsid w:val="00094F29"/>
    <w:rsid w:val="001F59E4"/>
    <w:rsid w:val="00366F28"/>
    <w:rsid w:val="006E5D7C"/>
    <w:rsid w:val="00803D9D"/>
    <w:rsid w:val="00DA00AE"/>
    <w:rsid w:val="72F1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488</Words>
  <Characters>2604</Characters>
  <Lines>44</Lines>
  <Paragraphs>12</Paragraphs>
  <TotalTime>5</TotalTime>
  <ScaleCrop>false</ScaleCrop>
  <LinksUpToDate>false</LinksUpToDate>
  <CharactersWithSpaces>3084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2023-04-06T11:46:00Z</dcterms:created>
  <dc:creator>蒋 林亨</dc:creator>
  <cp:lastModifiedBy>刘新宇</cp:lastModifiedBy>
  <dcterms:modified xsi:type="dcterms:W3CDTF">2023-07-12T13:33:11Z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8e31fc107812b7451229ce636936926e72c78161bfd32bc93381862199fa5a31</vt:lpwstr>
  </property>
  <property fmtid="{D5CDD505-2E9C-101B-9397-08002B2CF9AE}" pid="3" name="KSOProductBuildVer">
    <vt:lpwstr>2052-11.1.0.14309</vt:lpwstr>
  </property>
  <property fmtid="{D5CDD505-2E9C-101B-9397-08002B2CF9AE}" pid="4" name="ICV">
    <vt:lpwstr>3AE6369F4301403EAA4772DB002CB76A_12</vt:lpwstr>
  </property>
</Properties>
</file>