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65F4A" w14:textId="77777777" w:rsidR="00D16665" w:rsidRDefault="00D16665" w:rsidP="00D16665">
      <w:pPr>
        <w:spacing w:line="480" w:lineRule="auto"/>
        <w:jc w:val="both"/>
        <w:rPr>
          <w:rFonts w:ascii="Times New Roman" w:hAnsi="Times New Roman" w:cs="Times New Roman"/>
        </w:rPr>
      </w:pPr>
      <w:r w:rsidRPr="00945759">
        <w:rPr>
          <w:noProof/>
        </w:rPr>
        <w:drawing>
          <wp:inline distT="0" distB="0" distL="0" distR="0" wp14:anchorId="4FF5B1BA" wp14:editId="1FB0001E">
            <wp:extent cx="5943600" cy="533149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331498"/>
                    </a:xfrm>
                    <a:prstGeom prst="rect">
                      <a:avLst/>
                    </a:prstGeom>
                    <a:noFill/>
                    <a:ln>
                      <a:noFill/>
                    </a:ln>
                  </pic:spPr>
                </pic:pic>
              </a:graphicData>
            </a:graphic>
          </wp:inline>
        </w:drawing>
      </w:r>
    </w:p>
    <w:p w14:paraId="18528316" w14:textId="52015B80" w:rsidR="00D16665" w:rsidRPr="00576B42" w:rsidRDefault="00D16665" w:rsidP="00D16665">
      <w:pPr>
        <w:spacing w:line="480" w:lineRule="auto"/>
        <w:jc w:val="both"/>
        <w:rPr>
          <w:rFonts w:ascii="Times New Roman" w:hAnsi="Times New Roman" w:cs="Times New Roman"/>
          <w:b/>
        </w:rPr>
      </w:pPr>
      <w:r w:rsidRPr="00576B42">
        <w:rPr>
          <w:rFonts w:ascii="Times New Roman" w:hAnsi="Times New Roman" w:cs="Times New Roman"/>
          <w:b/>
        </w:rPr>
        <w:t xml:space="preserve">Supplemental Table </w:t>
      </w:r>
      <w:r>
        <w:rPr>
          <w:rFonts w:ascii="Times New Roman" w:hAnsi="Times New Roman" w:cs="Times New Roman"/>
          <w:b/>
        </w:rPr>
        <w:t>1</w:t>
      </w:r>
      <w:r w:rsidRPr="00576B42">
        <w:rPr>
          <w:rFonts w:ascii="Times New Roman" w:hAnsi="Times New Roman" w:cs="Times New Roman"/>
          <w:b/>
        </w:rPr>
        <w:t xml:space="preserve">: </w:t>
      </w:r>
      <w:r w:rsidRPr="00065ACB">
        <w:rPr>
          <w:rFonts w:ascii="Times New Roman" w:hAnsi="Times New Roman" w:cs="Times New Roman"/>
          <w:b/>
        </w:rPr>
        <w:t xml:space="preserve">Primers used for Sanger sequencing of all canine </w:t>
      </w:r>
      <w:r w:rsidRPr="00065ACB">
        <w:rPr>
          <w:rFonts w:ascii="Times New Roman" w:hAnsi="Times New Roman" w:cs="Times New Roman"/>
          <w:b/>
          <w:i/>
        </w:rPr>
        <w:t>SACS</w:t>
      </w:r>
      <w:r w:rsidRPr="00065ACB">
        <w:rPr>
          <w:rFonts w:ascii="Times New Roman" w:hAnsi="Times New Roman" w:cs="Times New Roman"/>
          <w:b/>
        </w:rPr>
        <w:t xml:space="preserve"> exons.</w:t>
      </w:r>
      <w:r w:rsidRPr="00576B42">
        <w:rPr>
          <w:rFonts w:ascii="Times New Roman" w:hAnsi="Times New Roman" w:cs="Times New Roman"/>
        </w:rPr>
        <w:t xml:space="preserve"> Primers were built using</w:t>
      </w:r>
      <w:r>
        <w:rPr>
          <w:rFonts w:ascii="Times New Roman" w:hAnsi="Times New Roman" w:cs="Times New Roman"/>
        </w:rPr>
        <w:t xml:space="preserve"> ENSCAFT00030020331.1</w:t>
      </w:r>
      <w:r w:rsidRPr="00576B42">
        <w:rPr>
          <w:rFonts w:ascii="Times New Roman" w:hAnsi="Times New Roman" w:cs="Times New Roman"/>
        </w:rPr>
        <w:t xml:space="preserve"> canine sequence from Ensembl (</w:t>
      </w:r>
      <w:r w:rsidRPr="00D16665">
        <w:rPr>
          <w:rFonts w:ascii="Times New Roman" w:hAnsi="Times New Roman" w:cs="Times New Roman"/>
        </w:rPr>
        <w:t>www.ensembl.org</w:t>
      </w:r>
      <w:r w:rsidRPr="00576B42">
        <w:rPr>
          <w:rFonts w:ascii="Times New Roman" w:hAnsi="Times New Roman" w:cs="Times New Roman"/>
        </w:rPr>
        <w:t xml:space="preserve">) and primers were designed using Primer3 (http//bioinfo.ut.ee/primer3/) </w:t>
      </w:r>
      <w:r w:rsidRPr="00576B42">
        <w:rPr>
          <w:rFonts w:ascii="Times New Roman" w:hAnsi="Times New Roman" w:cs="Times New Roman"/>
        </w:rPr>
        <w:fldChar w:fldCharType="begin" w:fldLock="1"/>
      </w:r>
      <w:r>
        <w:rPr>
          <w:rFonts w:ascii="Times New Roman" w:hAnsi="Times New Roman" w:cs="Times New Roman"/>
        </w:rPr>
        <w:instrText>ADDIN CSL_CITATION {"citationItems":[{"id":"ITEM-1","itemData":{"DOI":"10.1093/nar/gks596","ISBN":"1362-4962 (Electronic)\\r0305-1048 (Linking)","ISSN":"03051048","PMID":"22730293","abstract":"Polymerase chain reaction (PCR) is a basic molecular biology technique with a multiplicity of uses, including deoxyribonucleic acid cloning and sequencing, functional analysis of genes, diagnosis of diseases, genotyping and discovery of genetic variants. Reliable primer design is crucial for successful PCR, and for over a decade, the open-source Primer3 software has been widely used for primer design, often in high-throughput genomics applications. It has also been incorporated into numerous publicly available software packages and web services. During this period, we have greatly expanded Primer3's functionality. In this article, we describe Primer3's current capabilities, emphasizing recent improvements. The most notable enhancements incorporate more accurate thermodynamic models in the primer design process, both to improve melting temperature prediction and to reduce the likelihood that primers will form hairpins or dimers. Additional enhancements include more precise control of primer placement-a change motivated partly by opportunities to use whole-genome sequences to improve primer specificity. We also added features to increase ease of use, including the ability to save and re-use parameter settings and the ability to require that individual primers not be used in more than one primer pair. We have made the core code more modular and provided cleaner programming interfaces to further ease integration with other software. These improvements position Primer3 for continued use with genome-scale data in the decade ahead.","author":[{"dropping-particle":"","family":"Untergasser","given":"Andreas","non-dropping-particle":"","parse-names":false,"suffix":""},{"dropping-particle":"","family":"Cutcutache","given":"Ioana","non-dropping-particle":"","parse-names":false,"suffix":""},{"dropping-particle":"","family":"Koressaar","given":"Triinu","non-dropping-particle":"","parse-names":false,"suffix":""},{"dropping-particle":"","family":"Ye","given":"Jian","non-dropping-particle":"","parse-names":false,"suffix":""},{"dropping-particle":"","family":"Faircloth","given":"Brant C.","non-dropping-particle":"","parse-names":false,"suffix":""},{"dropping-particle":"","family":"Remm","given":"Maido","non-dropping-particle":"","parse-names":false,"suffix":""},{"dropping-particle":"","family":"Rozen","given":"Steven G.","non-dropping-particle":"","parse-names":false,"suffix":""}],"container-title":"Nucleic Acids Research","id":"ITEM-1","issue":"15","issued":{"date-parts":[["2012"]]},"page":"1-12","title":"Primer3-new capabilities and interfaces","type":"article-journal","volume":"40"},"uris":["http://www.mendeley.com/documents/?uuid=639a6553-61bb-41b9-b153-2a5443351cd1"]}],"mendeley":{"formattedCitation":"(Untergasser et al. 2012)","plainTextFormattedCitation":"(Untergasser et al. 2012)","previouslyFormattedCitation":"(Untergasser et al. 2012)"},"properties":{"noteIndex":0},"schema":"https://github.com/citation-style-language/schema/raw/master/csl-citation.json"}</w:instrText>
      </w:r>
      <w:r w:rsidRPr="00576B42">
        <w:rPr>
          <w:rFonts w:ascii="Times New Roman" w:hAnsi="Times New Roman" w:cs="Times New Roman"/>
        </w:rPr>
        <w:fldChar w:fldCharType="separate"/>
      </w:r>
      <w:r w:rsidRPr="009258F7">
        <w:rPr>
          <w:rFonts w:ascii="Times New Roman" w:hAnsi="Times New Roman" w:cs="Times New Roman"/>
          <w:noProof/>
        </w:rPr>
        <w:t>(Untergasser et al. 2012)</w:t>
      </w:r>
      <w:r w:rsidRPr="00576B42">
        <w:rPr>
          <w:rFonts w:ascii="Times New Roman" w:hAnsi="Times New Roman" w:cs="Times New Roman"/>
        </w:rPr>
        <w:fldChar w:fldCharType="end"/>
      </w:r>
      <w:r w:rsidRPr="00576B42">
        <w:rPr>
          <w:rFonts w:ascii="Times New Roman" w:hAnsi="Times New Roman" w:cs="Times New Roman"/>
        </w:rPr>
        <w:t xml:space="preserve">.  </w:t>
      </w:r>
      <w:r w:rsidRPr="00576B42">
        <w:rPr>
          <w:rFonts w:ascii="Times New Roman" w:hAnsi="Times New Roman" w:cs="Times New Roman"/>
          <w:b/>
        </w:rPr>
        <w:t xml:space="preserve"> </w:t>
      </w:r>
    </w:p>
    <w:p w14:paraId="22A0AE61" w14:textId="66F6EBAC" w:rsidR="00D16665" w:rsidRDefault="00D16665" w:rsidP="00D16665">
      <w:pPr>
        <w:spacing w:line="480" w:lineRule="auto"/>
        <w:jc w:val="both"/>
        <w:rPr>
          <w:rFonts w:ascii="Times New Roman" w:hAnsi="Times New Roman" w:cs="Times New Roman"/>
          <w:b/>
          <w:i/>
        </w:rPr>
      </w:pPr>
    </w:p>
    <w:p w14:paraId="29BC1D39" w14:textId="30B9D139" w:rsidR="00D16665" w:rsidRDefault="00D16665" w:rsidP="00D16665">
      <w:pPr>
        <w:spacing w:line="480" w:lineRule="auto"/>
        <w:jc w:val="both"/>
        <w:rPr>
          <w:rFonts w:ascii="Times New Roman" w:hAnsi="Times New Roman" w:cs="Times New Roman"/>
          <w:b/>
          <w:i/>
        </w:rPr>
      </w:pPr>
    </w:p>
    <w:p w14:paraId="639C566A" w14:textId="7FAC111F" w:rsidR="00D16665" w:rsidRDefault="00D16665" w:rsidP="00D16665">
      <w:pPr>
        <w:spacing w:line="480" w:lineRule="auto"/>
        <w:jc w:val="both"/>
        <w:rPr>
          <w:rFonts w:ascii="Times New Roman" w:hAnsi="Times New Roman" w:cs="Times New Roman"/>
          <w:b/>
          <w:i/>
        </w:rPr>
      </w:pPr>
    </w:p>
    <w:p w14:paraId="0719D2B1" w14:textId="04B490AB" w:rsidR="00D16665" w:rsidRDefault="00D16665" w:rsidP="00D16665">
      <w:pPr>
        <w:spacing w:line="480" w:lineRule="auto"/>
        <w:jc w:val="both"/>
        <w:rPr>
          <w:rFonts w:ascii="Times New Roman" w:hAnsi="Times New Roman" w:cs="Times New Roman"/>
          <w:b/>
          <w:i/>
        </w:rPr>
      </w:pPr>
    </w:p>
    <w:p w14:paraId="1E1EA4B9" w14:textId="77777777" w:rsidR="00D16665" w:rsidRDefault="00D16665" w:rsidP="00D16665">
      <w:pPr>
        <w:spacing w:line="480" w:lineRule="auto"/>
        <w:jc w:val="both"/>
        <w:rPr>
          <w:rFonts w:ascii="Times New Roman" w:hAnsi="Times New Roman" w:cs="Times New Roman"/>
          <w:b/>
          <w:i/>
        </w:rPr>
      </w:pPr>
    </w:p>
    <w:tbl>
      <w:tblPr>
        <w:tblW w:w="7180" w:type="dxa"/>
        <w:tblLook w:val="04A0" w:firstRow="1" w:lastRow="0" w:firstColumn="1" w:lastColumn="0" w:noHBand="0" w:noVBand="1"/>
      </w:tblPr>
      <w:tblGrid>
        <w:gridCol w:w="2653"/>
        <w:gridCol w:w="4527"/>
      </w:tblGrid>
      <w:tr w:rsidR="00D16665" w:rsidRPr="00945759" w14:paraId="24A184FA" w14:textId="77777777" w:rsidTr="007E7D86">
        <w:trPr>
          <w:trHeight w:val="315"/>
        </w:trPr>
        <w:tc>
          <w:tcPr>
            <w:tcW w:w="7180" w:type="dxa"/>
            <w:gridSpan w:val="2"/>
            <w:tcBorders>
              <w:top w:val="nil"/>
              <w:left w:val="nil"/>
              <w:bottom w:val="single" w:sz="8" w:space="0" w:color="auto"/>
              <w:right w:val="nil"/>
            </w:tcBorders>
            <w:shd w:val="clear" w:color="auto" w:fill="auto"/>
            <w:noWrap/>
            <w:vAlign w:val="bottom"/>
            <w:hideMark/>
          </w:tcPr>
          <w:p w14:paraId="094E8719" w14:textId="77777777" w:rsidR="00D16665" w:rsidRPr="00945759" w:rsidRDefault="00D16665" w:rsidP="007E7D86">
            <w:pPr>
              <w:jc w:val="center"/>
              <w:rPr>
                <w:rFonts w:ascii="Calibri" w:eastAsia="Times New Roman" w:hAnsi="Calibri" w:cs="Calibri"/>
                <w:b/>
                <w:bCs/>
                <w:color w:val="000000"/>
              </w:rPr>
            </w:pPr>
            <w:r w:rsidRPr="00945759">
              <w:rPr>
                <w:rFonts w:ascii="Calibri" w:eastAsia="Times New Roman" w:hAnsi="Calibri" w:cs="Calibri"/>
                <w:b/>
                <w:bCs/>
                <w:color w:val="000000"/>
              </w:rPr>
              <w:lastRenderedPageBreak/>
              <w:t xml:space="preserve">S2 Table: Allele-Specific PCR for </w:t>
            </w:r>
            <w:r w:rsidRPr="00945759">
              <w:rPr>
                <w:rFonts w:ascii="Calibri" w:eastAsia="Times New Roman" w:hAnsi="Calibri" w:cs="Calibri"/>
                <w:b/>
                <w:bCs/>
                <w:i/>
                <w:iCs/>
                <w:color w:val="000000"/>
              </w:rPr>
              <w:t>SACS</w:t>
            </w:r>
            <w:r w:rsidRPr="00945759">
              <w:rPr>
                <w:rFonts w:ascii="Calibri" w:eastAsia="Times New Roman" w:hAnsi="Calibri" w:cs="Calibri"/>
                <w:b/>
                <w:bCs/>
                <w:color w:val="000000"/>
              </w:rPr>
              <w:t>-Associated NDG Variant</w:t>
            </w:r>
          </w:p>
        </w:tc>
      </w:tr>
      <w:tr w:rsidR="00D16665" w:rsidRPr="00945759" w14:paraId="2ECC6B78" w14:textId="77777777" w:rsidTr="007E7D86">
        <w:trPr>
          <w:trHeight w:val="300"/>
        </w:trPr>
        <w:tc>
          <w:tcPr>
            <w:tcW w:w="2653" w:type="dxa"/>
            <w:tcBorders>
              <w:top w:val="nil"/>
              <w:left w:val="nil"/>
              <w:bottom w:val="single" w:sz="4" w:space="0" w:color="auto"/>
              <w:right w:val="nil"/>
            </w:tcBorders>
            <w:shd w:val="clear" w:color="auto" w:fill="auto"/>
            <w:noWrap/>
            <w:vAlign w:val="bottom"/>
            <w:hideMark/>
          </w:tcPr>
          <w:p w14:paraId="63773BD1" w14:textId="77777777" w:rsidR="00D16665" w:rsidRPr="00945759" w:rsidRDefault="00D16665" w:rsidP="007E7D86">
            <w:pPr>
              <w:rPr>
                <w:rFonts w:ascii="Calibri" w:eastAsia="Times New Roman" w:hAnsi="Calibri" w:cs="Calibri"/>
                <w:color w:val="000000"/>
              </w:rPr>
            </w:pPr>
            <w:r w:rsidRPr="00945759">
              <w:rPr>
                <w:rFonts w:ascii="Calibri" w:eastAsia="Times New Roman" w:hAnsi="Calibri" w:cs="Calibri"/>
                <w:color w:val="000000"/>
              </w:rPr>
              <w:t>Primer Name</w:t>
            </w:r>
          </w:p>
        </w:tc>
        <w:tc>
          <w:tcPr>
            <w:tcW w:w="4527" w:type="dxa"/>
            <w:tcBorders>
              <w:top w:val="nil"/>
              <w:left w:val="nil"/>
              <w:bottom w:val="single" w:sz="4" w:space="0" w:color="auto"/>
              <w:right w:val="nil"/>
            </w:tcBorders>
            <w:shd w:val="clear" w:color="auto" w:fill="auto"/>
            <w:noWrap/>
            <w:vAlign w:val="bottom"/>
            <w:hideMark/>
          </w:tcPr>
          <w:p w14:paraId="703EA853" w14:textId="77777777" w:rsidR="00D16665" w:rsidRPr="00945759" w:rsidRDefault="00D16665" w:rsidP="007E7D86">
            <w:pPr>
              <w:rPr>
                <w:rFonts w:ascii="Calibri" w:eastAsia="Times New Roman" w:hAnsi="Calibri" w:cs="Calibri"/>
                <w:color w:val="000000"/>
              </w:rPr>
            </w:pPr>
            <w:r w:rsidRPr="00945759">
              <w:rPr>
                <w:rFonts w:ascii="Calibri" w:eastAsia="Times New Roman" w:hAnsi="Calibri" w:cs="Calibri"/>
                <w:color w:val="000000"/>
              </w:rPr>
              <w:t>Primer Sequence</w:t>
            </w:r>
          </w:p>
        </w:tc>
      </w:tr>
      <w:tr w:rsidR="00D16665" w:rsidRPr="00945759" w14:paraId="2C34348B" w14:textId="77777777" w:rsidTr="007E7D86">
        <w:trPr>
          <w:trHeight w:val="300"/>
        </w:trPr>
        <w:tc>
          <w:tcPr>
            <w:tcW w:w="2653" w:type="dxa"/>
            <w:tcBorders>
              <w:top w:val="nil"/>
              <w:left w:val="nil"/>
              <w:bottom w:val="nil"/>
              <w:right w:val="nil"/>
            </w:tcBorders>
            <w:shd w:val="clear" w:color="auto" w:fill="auto"/>
            <w:noWrap/>
            <w:vAlign w:val="bottom"/>
            <w:hideMark/>
          </w:tcPr>
          <w:p w14:paraId="7343A30C" w14:textId="77777777" w:rsidR="00D16665" w:rsidRPr="00945759" w:rsidRDefault="00D16665" w:rsidP="007E7D86">
            <w:pPr>
              <w:rPr>
                <w:rFonts w:ascii="Calibri" w:eastAsia="Times New Roman" w:hAnsi="Calibri" w:cs="Calibri"/>
                <w:b/>
                <w:bCs/>
                <w:color w:val="000000"/>
              </w:rPr>
            </w:pPr>
            <w:r w:rsidRPr="00945759">
              <w:rPr>
                <w:rFonts w:ascii="Calibri" w:eastAsia="Times New Roman" w:hAnsi="Calibri" w:cs="Calibri"/>
                <w:b/>
                <w:bCs/>
                <w:color w:val="000000"/>
              </w:rPr>
              <w:t>NDG-SACS F</w:t>
            </w:r>
          </w:p>
        </w:tc>
        <w:tc>
          <w:tcPr>
            <w:tcW w:w="4527" w:type="dxa"/>
            <w:tcBorders>
              <w:top w:val="nil"/>
              <w:left w:val="nil"/>
              <w:bottom w:val="nil"/>
              <w:right w:val="nil"/>
            </w:tcBorders>
            <w:shd w:val="clear" w:color="auto" w:fill="auto"/>
            <w:noWrap/>
            <w:vAlign w:val="bottom"/>
            <w:hideMark/>
          </w:tcPr>
          <w:p w14:paraId="04D2F601" w14:textId="77777777" w:rsidR="00D16665" w:rsidRPr="00945759" w:rsidRDefault="00D16665" w:rsidP="007E7D86">
            <w:pPr>
              <w:rPr>
                <w:rFonts w:ascii="Calibri" w:eastAsia="Times New Roman" w:hAnsi="Calibri" w:cs="Calibri"/>
                <w:color w:val="000000"/>
              </w:rPr>
            </w:pPr>
            <w:r w:rsidRPr="00945759">
              <w:rPr>
                <w:rFonts w:ascii="Calibri" w:eastAsia="Times New Roman" w:hAnsi="Calibri" w:cs="Calibri"/>
                <w:color w:val="000000"/>
              </w:rPr>
              <w:t>CAATACCTGCCGAAATCCAT</w:t>
            </w:r>
          </w:p>
        </w:tc>
      </w:tr>
      <w:tr w:rsidR="00D16665" w:rsidRPr="00945759" w14:paraId="07E981E2" w14:textId="77777777" w:rsidTr="007E7D86">
        <w:trPr>
          <w:trHeight w:val="300"/>
        </w:trPr>
        <w:tc>
          <w:tcPr>
            <w:tcW w:w="2653" w:type="dxa"/>
            <w:tcBorders>
              <w:top w:val="nil"/>
              <w:left w:val="nil"/>
              <w:bottom w:val="nil"/>
              <w:right w:val="nil"/>
            </w:tcBorders>
            <w:shd w:val="clear" w:color="auto" w:fill="auto"/>
            <w:noWrap/>
            <w:vAlign w:val="bottom"/>
            <w:hideMark/>
          </w:tcPr>
          <w:p w14:paraId="69D08A77" w14:textId="77777777" w:rsidR="00D16665" w:rsidRPr="00945759" w:rsidRDefault="00D16665" w:rsidP="007E7D86">
            <w:pPr>
              <w:rPr>
                <w:rFonts w:ascii="Calibri" w:eastAsia="Times New Roman" w:hAnsi="Calibri" w:cs="Calibri"/>
                <w:b/>
                <w:bCs/>
                <w:color w:val="000000"/>
              </w:rPr>
            </w:pPr>
            <w:r w:rsidRPr="00945759">
              <w:rPr>
                <w:rFonts w:ascii="Calibri" w:eastAsia="Times New Roman" w:hAnsi="Calibri" w:cs="Calibri"/>
                <w:b/>
                <w:bCs/>
                <w:color w:val="000000"/>
              </w:rPr>
              <w:t xml:space="preserve">NDG-SACS </w:t>
            </w:r>
            <w:r w:rsidRPr="00810C1B">
              <w:rPr>
                <w:rFonts w:ascii="Calibri" w:eastAsia="Times New Roman" w:hAnsi="Calibri" w:cs="Calibri"/>
                <w:b/>
                <w:bCs/>
              </w:rPr>
              <w:t>N</w:t>
            </w:r>
            <w:r w:rsidRPr="00945759">
              <w:rPr>
                <w:rFonts w:ascii="Calibri" w:eastAsia="Times New Roman" w:hAnsi="Calibri" w:cs="Calibri"/>
                <w:b/>
                <w:bCs/>
                <w:color w:val="000000"/>
              </w:rPr>
              <w:t xml:space="preserve"> R</w:t>
            </w:r>
          </w:p>
        </w:tc>
        <w:tc>
          <w:tcPr>
            <w:tcW w:w="4527" w:type="dxa"/>
            <w:tcBorders>
              <w:top w:val="nil"/>
              <w:left w:val="nil"/>
              <w:bottom w:val="nil"/>
              <w:right w:val="nil"/>
            </w:tcBorders>
            <w:shd w:val="clear" w:color="auto" w:fill="auto"/>
            <w:noWrap/>
            <w:vAlign w:val="bottom"/>
            <w:hideMark/>
          </w:tcPr>
          <w:p w14:paraId="005CEC7F" w14:textId="77777777" w:rsidR="00D16665" w:rsidRPr="00945759" w:rsidRDefault="00D16665" w:rsidP="007E7D86">
            <w:pPr>
              <w:rPr>
                <w:rFonts w:ascii="Calibri" w:eastAsia="Times New Roman" w:hAnsi="Calibri" w:cs="Calibri"/>
                <w:color w:val="000000"/>
              </w:rPr>
            </w:pPr>
            <w:r w:rsidRPr="00945759">
              <w:rPr>
                <w:rFonts w:ascii="Calibri" w:eastAsia="Times New Roman" w:hAnsi="Calibri" w:cs="Calibri"/>
                <w:color w:val="000000"/>
              </w:rPr>
              <w:t>CAGATCGAGTGAGCTAACT</w:t>
            </w:r>
          </w:p>
        </w:tc>
      </w:tr>
      <w:tr w:rsidR="00D16665" w:rsidRPr="00945759" w14:paraId="1B94B0A5" w14:textId="77777777" w:rsidTr="007E7D86">
        <w:trPr>
          <w:trHeight w:val="300"/>
        </w:trPr>
        <w:tc>
          <w:tcPr>
            <w:tcW w:w="2653" w:type="dxa"/>
            <w:tcBorders>
              <w:top w:val="nil"/>
              <w:left w:val="nil"/>
              <w:bottom w:val="nil"/>
              <w:right w:val="nil"/>
            </w:tcBorders>
            <w:shd w:val="clear" w:color="auto" w:fill="auto"/>
            <w:noWrap/>
            <w:vAlign w:val="bottom"/>
            <w:hideMark/>
          </w:tcPr>
          <w:p w14:paraId="242861FE" w14:textId="77777777" w:rsidR="00D16665" w:rsidRPr="00945759" w:rsidRDefault="00D16665" w:rsidP="007E7D86">
            <w:pPr>
              <w:rPr>
                <w:rFonts w:ascii="Calibri" w:eastAsia="Times New Roman" w:hAnsi="Calibri" w:cs="Calibri"/>
                <w:b/>
                <w:bCs/>
                <w:color w:val="000000"/>
              </w:rPr>
            </w:pPr>
            <w:r w:rsidRPr="00945759">
              <w:rPr>
                <w:rFonts w:ascii="Calibri" w:eastAsia="Times New Roman" w:hAnsi="Calibri" w:cs="Calibri"/>
                <w:b/>
                <w:bCs/>
                <w:color w:val="000000"/>
              </w:rPr>
              <w:t xml:space="preserve">NDG-SACS </w:t>
            </w:r>
            <w:r w:rsidRPr="00810C1B">
              <w:rPr>
                <w:rFonts w:ascii="Calibri" w:eastAsia="Times New Roman" w:hAnsi="Calibri" w:cs="Calibri"/>
                <w:b/>
                <w:bCs/>
              </w:rPr>
              <w:t>A</w:t>
            </w:r>
            <w:r w:rsidRPr="00945759">
              <w:rPr>
                <w:rFonts w:ascii="Calibri" w:eastAsia="Times New Roman" w:hAnsi="Calibri" w:cs="Calibri"/>
                <w:b/>
                <w:bCs/>
                <w:color w:val="000000"/>
              </w:rPr>
              <w:t xml:space="preserve"> R</w:t>
            </w:r>
          </w:p>
        </w:tc>
        <w:tc>
          <w:tcPr>
            <w:tcW w:w="4527" w:type="dxa"/>
            <w:tcBorders>
              <w:top w:val="nil"/>
              <w:left w:val="nil"/>
              <w:bottom w:val="nil"/>
              <w:right w:val="nil"/>
            </w:tcBorders>
            <w:shd w:val="clear" w:color="auto" w:fill="auto"/>
            <w:noWrap/>
            <w:vAlign w:val="bottom"/>
            <w:hideMark/>
          </w:tcPr>
          <w:p w14:paraId="3C44198B" w14:textId="77777777" w:rsidR="00D16665" w:rsidRPr="00945759" w:rsidRDefault="00D16665" w:rsidP="007E7D86">
            <w:pPr>
              <w:rPr>
                <w:rFonts w:ascii="Calibri" w:eastAsia="Times New Roman" w:hAnsi="Calibri" w:cs="Calibri"/>
                <w:color w:val="000000"/>
              </w:rPr>
            </w:pPr>
            <w:r w:rsidRPr="00945759">
              <w:rPr>
                <w:rFonts w:ascii="Calibri" w:eastAsia="Times New Roman" w:hAnsi="Calibri" w:cs="Calibri"/>
                <w:color w:val="000000"/>
              </w:rPr>
              <w:t>ATACAGATCGAGTGAGCTATT</w:t>
            </w:r>
          </w:p>
        </w:tc>
      </w:tr>
      <w:tr w:rsidR="00D16665" w:rsidRPr="00945759" w14:paraId="728EDCBE" w14:textId="77777777" w:rsidTr="007E7D86">
        <w:trPr>
          <w:trHeight w:val="300"/>
        </w:trPr>
        <w:tc>
          <w:tcPr>
            <w:tcW w:w="2653" w:type="dxa"/>
            <w:tcBorders>
              <w:top w:val="nil"/>
              <w:left w:val="nil"/>
              <w:bottom w:val="nil"/>
              <w:right w:val="nil"/>
            </w:tcBorders>
            <w:shd w:val="clear" w:color="auto" w:fill="auto"/>
            <w:noWrap/>
            <w:vAlign w:val="bottom"/>
            <w:hideMark/>
          </w:tcPr>
          <w:p w14:paraId="32495C25" w14:textId="77777777" w:rsidR="00D16665" w:rsidRPr="00945759" w:rsidRDefault="00D16665" w:rsidP="007E7D86">
            <w:pPr>
              <w:rPr>
                <w:rFonts w:ascii="Calibri" w:eastAsia="Times New Roman" w:hAnsi="Calibri" w:cs="Calibri"/>
                <w:b/>
                <w:bCs/>
                <w:color w:val="000000"/>
              </w:rPr>
            </w:pPr>
            <w:r w:rsidRPr="00945759">
              <w:rPr>
                <w:rFonts w:ascii="Calibri" w:eastAsia="Times New Roman" w:hAnsi="Calibri" w:cs="Calibri"/>
                <w:b/>
                <w:bCs/>
                <w:color w:val="000000"/>
              </w:rPr>
              <w:t>LPN1-ARHGEF10 F</w:t>
            </w:r>
          </w:p>
        </w:tc>
        <w:tc>
          <w:tcPr>
            <w:tcW w:w="4527" w:type="dxa"/>
            <w:tcBorders>
              <w:top w:val="nil"/>
              <w:left w:val="nil"/>
              <w:bottom w:val="nil"/>
              <w:right w:val="nil"/>
            </w:tcBorders>
            <w:shd w:val="clear" w:color="auto" w:fill="auto"/>
            <w:noWrap/>
            <w:vAlign w:val="bottom"/>
            <w:hideMark/>
          </w:tcPr>
          <w:p w14:paraId="4360C5BE" w14:textId="77777777" w:rsidR="00D16665" w:rsidRPr="00945759" w:rsidRDefault="00D16665" w:rsidP="007E7D86">
            <w:pPr>
              <w:rPr>
                <w:rFonts w:ascii="Calibri" w:eastAsia="Times New Roman" w:hAnsi="Calibri" w:cs="Calibri"/>
                <w:color w:val="000000"/>
              </w:rPr>
            </w:pPr>
            <w:r w:rsidRPr="00945759">
              <w:rPr>
                <w:rFonts w:ascii="Calibri" w:eastAsia="Times New Roman" w:hAnsi="Calibri" w:cs="Calibri"/>
                <w:color w:val="000000"/>
              </w:rPr>
              <w:t>AGCCACTTTCGGGATTCTTC</w:t>
            </w:r>
          </w:p>
        </w:tc>
      </w:tr>
      <w:tr w:rsidR="00D16665" w:rsidRPr="00945759" w14:paraId="26D4739A" w14:textId="77777777" w:rsidTr="007E7D86">
        <w:trPr>
          <w:trHeight w:val="300"/>
        </w:trPr>
        <w:tc>
          <w:tcPr>
            <w:tcW w:w="2653" w:type="dxa"/>
            <w:tcBorders>
              <w:top w:val="nil"/>
              <w:left w:val="nil"/>
              <w:bottom w:val="nil"/>
              <w:right w:val="nil"/>
            </w:tcBorders>
            <w:shd w:val="clear" w:color="auto" w:fill="auto"/>
            <w:noWrap/>
            <w:vAlign w:val="bottom"/>
            <w:hideMark/>
          </w:tcPr>
          <w:p w14:paraId="6DB7533E" w14:textId="77777777" w:rsidR="00D16665" w:rsidRPr="00945759" w:rsidRDefault="00D16665" w:rsidP="007E7D86">
            <w:pPr>
              <w:rPr>
                <w:rFonts w:ascii="Calibri" w:eastAsia="Times New Roman" w:hAnsi="Calibri" w:cs="Calibri"/>
                <w:b/>
                <w:bCs/>
                <w:color w:val="000000"/>
              </w:rPr>
            </w:pPr>
            <w:r w:rsidRPr="00945759">
              <w:rPr>
                <w:rFonts w:ascii="Calibri" w:eastAsia="Times New Roman" w:hAnsi="Calibri" w:cs="Calibri"/>
                <w:b/>
                <w:bCs/>
                <w:color w:val="000000"/>
              </w:rPr>
              <w:t>LPN1-ARHGEF10 R</w:t>
            </w:r>
          </w:p>
        </w:tc>
        <w:tc>
          <w:tcPr>
            <w:tcW w:w="4527" w:type="dxa"/>
            <w:tcBorders>
              <w:top w:val="nil"/>
              <w:left w:val="nil"/>
              <w:bottom w:val="nil"/>
              <w:right w:val="nil"/>
            </w:tcBorders>
            <w:shd w:val="clear" w:color="auto" w:fill="auto"/>
            <w:noWrap/>
            <w:vAlign w:val="bottom"/>
            <w:hideMark/>
          </w:tcPr>
          <w:p w14:paraId="2D0152DB" w14:textId="77777777" w:rsidR="00D16665" w:rsidRPr="00945759" w:rsidRDefault="00D16665" w:rsidP="007E7D86">
            <w:pPr>
              <w:rPr>
                <w:rFonts w:ascii="Calibri" w:eastAsia="Times New Roman" w:hAnsi="Calibri" w:cs="Calibri"/>
                <w:color w:val="000000"/>
              </w:rPr>
            </w:pPr>
            <w:r w:rsidRPr="00945759">
              <w:rPr>
                <w:rFonts w:ascii="Calibri" w:eastAsia="Times New Roman" w:hAnsi="Calibri" w:cs="Calibri"/>
                <w:color w:val="000000"/>
              </w:rPr>
              <w:t>TGTTCCCTTGGTCACAGGAC</w:t>
            </w:r>
          </w:p>
        </w:tc>
      </w:tr>
    </w:tbl>
    <w:p w14:paraId="3F639ED5" w14:textId="77777777" w:rsidR="00D16665" w:rsidRDefault="00D16665" w:rsidP="00D16665">
      <w:pPr>
        <w:spacing w:line="480" w:lineRule="auto"/>
        <w:jc w:val="both"/>
        <w:rPr>
          <w:rFonts w:ascii="Times New Roman" w:hAnsi="Times New Roman" w:cs="Times New Roman"/>
          <w:b/>
          <w:i/>
        </w:rPr>
      </w:pPr>
    </w:p>
    <w:p w14:paraId="6BD11A95" w14:textId="77777777" w:rsidR="00D16665" w:rsidRPr="00576B42" w:rsidRDefault="00D16665" w:rsidP="00D16665">
      <w:pPr>
        <w:spacing w:line="480" w:lineRule="auto"/>
        <w:jc w:val="both"/>
        <w:rPr>
          <w:rFonts w:ascii="Times New Roman" w:hAnsi="Times New Roman" w:cs="Times New Roman"/>
        </w:rPr>
      </w:pPr>
      <w:r w:rsidRPr="00576B42">
        <w:rPr>
          <w:rFonts w:ascii="Times New Roman" w:hAnsi="Times New Roman" w:cs="Times New Roman"/>
          <w:b/>
        </w:rPr>
        <w:t xml:space="preserve">Supplemental Table </w:t>
      </w:r>
      <w:r>
        <w:rPr>
          <w:rFonts w:ascii="Times New Roman" w:hAnsi="Times New Roman" w:cs="Times New Roman"/>
          <w:b/>
        </w:rPr>
        <w:t>2</w:t>
      </w:r>
      <w:r w:rsidRPr="00576B42">
        <w:rPr>
          <w:rFonts w:ascii="Times New Roman" w:hAnsi="Times New Roman" w:cs="Times New Roman"/>
          <w:b/>
        </w:rPr>
        <w:t xml:space="preserve">: </w:t>
      </w:r>
      <w:r w:rsidRPr="00065ACB">
        <w:rPr>
          <w:rFonts w:ascii="Times New Roman" w:hAnsi="Times New Roman" w:cs="Times New Roman"/>
          <w:b/>
        </w:rPr>
        <w:t xml:space="preserve">Primers used in genetic testing for detection of </w:t>
      </w:r>
      <w:r w:rsidRPr="00065ACB">
        <w:rPr>
          <w:rFonts w:ascii="Times New Roman" w:hAnsi="Times New Roman" w:cs="Times New Roman"/>
          <w:b/>
          <w:i/>
        </w:rPr>
        <w:t>SACS</w:t>
      </w:r>
      <w:r w:rsidRPr="00065ACB">
        <w:rPr>
          <w:rFonts w:ascii="Times New Roman" w:hAnsi="Times New Roman" w:cs="Times New Roman"/>
          <w:b/>
        </w:rPr>
        <w:t xml:space="preserve"> c.12731_12734delTTAG normal and deletion alleles via an allele-specific PCR.</w:t>
      </w:r>
      <w:r w:rsidRPr="00576B42">
        <w:rPr>
          <w:rFonts w:ascii="Times New Roman" w:hAnsi="Times New Roman" w:cs="Times New Roman"/>
        </w:rPr>
        <w:t xml:space="preserve"> Primers for the internal control are also listed; this product is located on CFA16. </w:t>
      </w:r>
    </w:p>
    <w:p w14:paraId="6F2F11AA" w14:textId="3292DB4C" w:rsidR="00E1715D" w:rsidRDefault="00014625"/>
    <w:p w14:paraId="0E84B128" w14:textId="77777777" w:rsidR="00014625" w:rsidRDefault="00014625" w:rsidP="00014625">
      <w:pPr>
        <w:spacing w:line="480" w:lineRule="auto"/>
        <w:jc w:val="both"/>
        <w:rPr>
          <w:rFonts w:ascii="Times New Roman" w:hAnsi="Times New Roman" w:cs="Times New Roman"/>
        </w:rPr>
      </w:pPr>
      <w:r w:rsidRPr="00945759">
        <w:rPr>
          <w:noProof/>
        </w:rPr>
        <w:lastRenderedPageBreak/>
        <w:drawing>
          <wp:inline distT="0" distB="0" distL="0" distR="0" wp14:anchorId="419E374E" wp14:editId="6DBC7331">
            <wp:extent cx="5943600" cy="52200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5220031"/>
                    </a:xfrm>
                    <a:prstGeom prst="rect">
                      <a:avLst/>
                    </a:prstGeom>
                    <a:noFill/>
                    <a:ln>
                      <a:noFill/>
                    </a:ln>
                  </pic:spPr>
                </pic:pic>
              </a:graphicData>
            </a:graphic>
          </wp:inline>
        </w:drawing>
      </w:r>
      <w:r w:rsidRPr="00065ACB">
        <w:rPr>
          <w:rFonts w:ascii="Times New Roman" w:hAnsi="Times New Roman" w:cs="Times New Roman"/>
          <w:b/>
        </w:rPr>
        <w:t xml:space="preserve">Supplemental Table </w:t>
      </w:r>
      <w:r>
        <w:rPr>
          <w:rFonts w:ascii="Times New Roman" w:hAnsi="Times New Roman" w:cs="Times New Roman"/>
          <w:b/>
        </w:rPr>
        <w:t>3</w:t>
      </w:r>
      <w:r w:rsidRPr="00065ACB">
        <w:rPr>
          <w:rFonts w:ascii="Times New Roman" w:hAnsi="Times New Roman" w:cs="Times New Roman"/>
          <w:b/>
        </w:rPr>
        <w:t>: Results of modified homozygosity mapping approach, using PLINK</w:t>
      </w:r>
      <w:r>
        <w:rPr>
          <w:rFonts w:ascii="Times New Roman" w:hAnsi="Times New Roman" w:cs="Times New Roman"/>
          <w:b/>
        </w:rPr>
        <w:t xml:space="preserve"> - - model </w:t>
      </w:r>
      <w:r w:rsidRPr="00065ACB">
        <w:rPr>
          <w:rFonts w:ascii="Times New Roman" w:hAnsi="Times New Roman" w:cs="Times New Roman"/>
          <w:b/>
        </w:rPr>
        <w:t xml:space="preserve"> test, with</w:t>
      </w:r>
      <w:r>
        <w:rPr>
          <w:rFonts w:ascii="Times New Roman" w:hAnsi="Times New Roman" w:cs="Times New Roman"/>
          <w:b/>
        </w:rPr>
        <w:t xml:space="preserve"> - - fisher</w:t>
      </w:r>
      <w:r w:rsidRPr="00065ACB">
        <w:rPr>
          <w:rFonts w:ascii="Times New Roman" w:hAnsi="Times New Roman" w:cs="Times New Roman"/>
          <w:b/>
        </w:rPr>
        <w:t xml:space="preserve"> command, on Great Pyrenees discovery group (n = 32).</w:t>
      </w:r>
      <w:r w:rsidRPr="00065ACB">
        <w:rPr>
          <w:rFonts w:ascii="Times New Roman" w:hAnsi="Times New Roman" w:cs="Times New Roman"/>
        </w:rPr>
        <w:t xml:space="preserve"> The top 100 SNPs are shown for</w:t>
      </w:r>
      <w:r w:rsidRPr="00576B42">
        <w:rPr>
          <w:rFonts w:ascii="Times New Roman" w:hAnsi="Times New Roman" w:cs="Times New Roman"/>
        </w:rPr>
        <w:t xml:space="preserve"> each test, sorted by p-value. Allele counts are provided for each of the five tests, separated into cases (“Aff”) and controls (“Unaff”). The homozygous CFA25 LD region is bolded</w:t>
      </w:r>
      <w:r>
        <w:rPr>
          <w:rFonts w:ascii="Times New Roman" w:hAnsi="Times New Roman" w:cs="Times New Roman"/>
        </w:rPr>
        <w:t xml:space="preserve"> and is best observed in the “Geno” and “Dom” tests. The CFA25 region was not detected in the “Rec” test, despite the condition clearly being autosomal recessive. This seems counterintuitive, until recognizing that the variant allele, and its tagging haplotype, were actually more common in our discovery group compared to the reference/normal allele, because we had so many carrier (heterozygous) dogs. This resulted in PLINK considering the variant allele “dominant”, simply because it was the major allele (PLINK designates the minor allele “recessive”). </w:t>
      </w:r>
    </w:p>
    <w:p w14:paraId="138CFDBC" w14:textId="77777777" w:rsidR="00014625" w:rsidRDefault="00014625" w:rsidP="00014625">
      <w:pPr>
        <w:spacing w:line="480" w:lineRule="auto"/>
        <w:jc w:val="both"/>
        <w:rPr>
          <w:rFonts w:ascii="Times New Roman" w:hAnsi="Times New Roman" w:cs="Times New Roman"/>
        </w:rPr>
      </w:pPr>
    </w:p>
    <w:p w14:paraId="22EEE399" w14:textId="77777777" w:rsidR="00014625" w:rsidRPr="00576B42" w:rsidRDefault="00014625" w:rsidP="00014625">
      <w:pPr>
        <w:spacing w:line="480" w:lineRule="auto"/>
        <w:jc w:val="both"/>
        <w:rPr>
          <w:rFonts w:ascii="Times New Roman" w:hAnsi="Times New Roman" w:cs="Times New Roman"/>
        </w:rPr>
      </w:pPr>
      <w:r>
        <w:rPr>
          <w:rFonts w:ascii="Times New Roman" w:hAnsi="Times New Roman" w:cs="Times New Roman"/>
        </w:rPr>
        <w:t>SNPs on CFA19 and CFA25 were phased to visually ascertain shared haplotypes among all cases. CFA19 was quickly ruled out due to the presence of multiple haplotypes among cases (not shown). Phasing</w:t>
      </w:r>
      <w:r w:rsidRPr="00576B42">
        <w:rPr>
          <w:rFonts w:ascii="Times New Roman" w:hAnsi="Times New Roman" w:cs="Times New Roman"/>
        </w:rPr>
        <w:t xml:space="preserve"> the entirety of CFA25 (</w:t>
      </w:r>
      <w:r w:rsidRPr="00576B42">
        <w:rPr>
          <w:rFonts w:ascii="Times New Roman" w:hAnsi="Times New Roman" w:cs="Times New Roman"/>
          <w:b/>
        </w:rPr>
        <w:t>Supplemental Figure 1</w:t>
      </w:r>
      <w:r w:rsidRPr="00576B42">
        <w:rPr>
          <w:rFonts w:ascii="Times New Roman" w:hAnsi="Times New Roman" w:cs="Times New Roman"/>
        </w:rPr>
        <w:t>)</w:t>
      </w:r>
      <w:r>
        <w:rPr>
          <w:rFonts w:ascii="Times New Roman" w:hAnsi="Times New Roman" w:cs="Times New Roman"/>
        </w:rPr>
        <w:t xml:space="preserve"> demonstrated that all </w:t>
      </w:r>
      <w:r w:rsidRPr="00576B42">
        <w:rPr>
          <w:rFonts w:ascii="Times New Roman" w:hAnsi="Times New Roman" w:cs="Times New Roman"/>
        </w:rPr>
        <w:t xml:space="preserve">cases were homozygous for the same haplotype from the start of CFA25 through </w:t>
      </w:r>
      <w:r>
        <w:rPr>
          <w:rFonts w:ascii="Times New Roman" w:hAnsi="Times New Roman" w:cs="Times New Roman"/>
        </w:rPr>
        <w:t xml:space="preserve">the </w:t>
      </w:r>
      <w:r w:rsidRPr="00576B42">
        <w:rPr>
          <w:rFonts w:ascii="Times New Roman" w:hAnsi="Times New Roman" w:cs="Times New Roman"/>
        </w:rPr>
        <w:t xml:space="preserve">27.74 Mb </w:t>
      </w:r>
      <w:r>
        <w:rPr>
          <w:rFonts w:ascii="Times New Roman" w:hAnsi="Times New Roman" w:cs="Times New Roman"/>
        </w:rPr>
        <w:t xml:space="preserve">location </w:t>
      </w:r>
      <w:r w:rsidRPr="00576B42">
        <w:rPr>
          <w:rFonts w:ascii="Times New Roman" w:hAnsi="Times New Roman" w:cs="Times New Roman"/>
        </w:rPr>
        <w:t>(position</w:t>
      </w:r>
      <w:r>
        <w:rPr>
          <w:rFonts w:ascii="Times New Roman" w:hAnsi="Times New Roman" w:cs="Times New Roman"/>
        </w:rPr>
        <w:t>s</w:t>
      </w:r>
      <w:r w:rsidRPr="00576B42">
        <w:rPr>
          <w:rFonts w:ascii="Times New Roman" w:hAnsi="Times New Roman" w:cs="Times New Roman"/>
        </w:rPr>
        <w:t xml:space="preserve"> from CanFam3.1), containing over 150 genes. However, the CFA25 region highlighted by the dominant and genotypic tests</w:t>
      </w:r>
      <w:r>
        <w:rPr>
          <w:rFonts w:ascii="Times New Roman" w:hAnsi="Times New Roman" w:cs="Times New Roman"/>
        </w:rPr>
        <w:t xml:space="preserve"> in the modified homozygosity mapping approach</w:t>
      </w:r>
      <w:r w:rsidRPr="00576B42">
        <w:rPr>
          <w:rFonts w:ascii="Times New Roman" w:hAnsi="Times New Roman" w:cs="Times New Roman"/>
        </w:rPr>
        <w:t xml:space="preserve"> stretched only 3.3 Mb</w:t>
      </w:r>
      <w:r>
        <w:rPr>
          <w:rFonts w:ascii="Times New Roman" w:hAnsi="Times New Roman" w:cs="Times New Roman"/>
        </w:rPr>
        <w:t xml:space="preserve"> in length</w:t>
      </w:r>
      <w:r w:rsidRPr="00576B42">
        <w:rPr>
          <w:rFonts w:ascii="Times New Roman" w:hAnsi="Times New Roman" w:cs="Times New Roman"/>
        </w:rPr>
        <w:t xml:space="preserve">, from </w:t>
      </w:r>
      <w:r>
        <w:rPr>
          <w:rFonts w:ascii="Times New Roman" w:hAnsi="Times New Roman" w:cs="Times New Roman"/>
        </w:rPr>
        <w:t xml:space="preserve">positions </w:t>
      </w:r>
      <w:r w:rsidRPr="00576B42">
        <w:rPr>
          <w:rFonts w:ascii="Times New Roman" w:hAnsi="Times New Roman" w:cs="Times New Roman"/>
        </w:rPr>
        <w:t xml:space="preserve">15.46 Mb to 18.38 Mb. </w:t>
      </w:r>
      <w:r>
        <w:rPr>
          <w:rFonts w:ascii="Times New Roman" w:hAnsi="Times New Roman" w:cs="Times New Roman"/>
        </w:rPr>
        <w:t>Furthermore, the two control dogs homozygous for the top CFA25 SNPs in the genotypic test were both found to have at least one haplotype that differed from the haplotype shared by all cases.</w:t>
      </w:r>
      <w:r w:rsidRPr="00576B42">
        <w:rPr>
          <w:rFonts w:ascii="Times New Roman" w:hAnsi="Times New Roman" w:cs="Times New Roman"/>
        </w:rPr>
        <w:t xml:space="preserve"> </w:t>
      </w:r>
      <w:r>
        <w:rPr>
          <w:rFonts w:ascii="Times New Roman" w:hAnsi="Times New Roman" w:cs="Times New Roman"/>
        </w:rPr>
        <w:t xml:space="preserve">A </w:t>
      </w:r>
      <w:r w:rsidRPr="00576B42">
        <w:rPr>
          <w:rFonts w:ascii="Times New Roman" w:hAnsi="Times New Roman" w:cs="Times New Roman"/>
        </w:rPr>
        <w:t xml:space="preserve">compelling positional and functional candidate gene, </w:t>
      </w:r>
      <w:r w:rsidRPr="00EE3DBE">
        <w:rPr>
          <w:rFonts w:ascii="Times New Roman" w:hAnsi="Times New Roman" w:cs="Times New Roman"/>
          <w:i/>
        </w:rPr>
        <w:t>sacsin molecular chaperone</w:t>
      </w:r>
      <w:r w:rsidRPr="00576B42">
        <w:rPr>
          <w:rFonts w:ascii="Times New Roman" w:hAnsi="Times New Roman" w:cs="Times New Roman"/>
        </w:rPr>
        <w:t xml:space="preserve"> (</w:t>
      </w:r>
      <w:r w:rsidRPr="00576B42">
        <w:rPr>
          <w:rFonts w:ascii="Times New Roman" w:hAnsi="Times New Roman" w:cs="Times New Roman"/>
          <w:i/>
        </w:rPr>
        <w:t>SACS</w:t>
      </w:r>
      <w:r w:rsidRPr="00576B42">
        <w:rPr>
          <w:rFonts w:ascii="Times New Roman" w:hAnsi="Times New Roman" w:cs="Times New Roman"/>
        </w:rPr>
        <w:t xml:space="preserve">, spastic ataxia of Charlevoix-Saguenay), </w:t>
      </w:r>
      <w:r>
        <w:rPr>
          <w:rFonts w:ascii="Times New Roman" w:hAnsi="Times New Roman" w:cs="Times New Roman"/>
        </w:rPr>
        <w:t>positioned</w:t>
      </w:r>
      <w:r w:rsidRPr="00576B42">
        <w:rPr>
          <w:rFonts w:ascii="Times New Roman" w:hAnsi="Times New Roman" w:cs="Times New Roman"/>
        </w:rPr>
        <w:t xml:space="preserve"> from 15.21 Mb to 15.30 Mb, was located within the </w:t>
      </w:r>
      <w:r>
        <w:rPr>
          <w:rFonts w:ascii="Times New Roman" w:hAnsi="Times New Roman" w:cs="Times New Roman"/>
        </w:rPr>
        <w:t xml:space="preserve">27.74 Mb extended </w:t>
      </w:r>
      <w:r w:rsidRPr="00576B42">
        <w:rPr>
          <w:rFonts w:ascii="Times New Roman" w:hAnsi="Times New Roman" w:cs="Times New Roman"/>
        </w:rPr>
        <w:t xml:space="preserve">haplotype, and just upstream from the </w:t>
      </w:r>
      <w:r>
        <w:rPr>
          <w:rFonts w:ascii="Times New Roman" w:hAnsi="Times New Roman" w:cs="Times New Roman"/>
        </w:rPr>
        <w:t xml:space="preserve">3.3 Mb </w:t>
      </w:r>
      <w:r w:rsidRPr="00576B42">
        <w:rPr>
          <w:rFonts w:ascii="Times New Roman" w:hAnsi="Times New Roman" w:cs="Times New Roman"/>
        </w:rPr>
        <w:t>homozygosity-mapping haplotype (</w:t>
      </w:r>
      <w:r w:rsidRPr="00576B42">
        <w:rPr>
          <w:rFonts w:ascii="Times New Roman" w:hAnsi="Times New Roman" w:cs="Times New Roman"/>
          <w:b/>
        </w:rPr>
        <w:t>Supplemental Fig 1</w:t>
      </w:r>
      <w:r w:rsidRPr="00576B42">
        <w:rPr>
          <w:rFonts w:ascii="Times New Roman" w:hAnsi="Times New Roman" w:cs="Times New Roman"/>
        </w:rPr>
        <w:t xml:space="preserve">). </w:t>
      </w:r>
    </w:p>
    <w:p w14:paraId="46F3B572" w14:textId="77777777" w:rsidR="00014625" w:rsidRDefault="00014625"/>
    <w:sectPr w:rsidR="000146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65"/>
    <w:rsid w:val="00014625"/>
    <w:rsid w:val="001942F0"/>
    <w:rsid w:val="002C0857"/>
    <w:rsid w:val="003F01F8"/>
    <w:rsid w:val="00884728"/>
    <w:rsid w:val="008E2845"/>
    <w:rsid w:val="00D00B5E"/>
    <w:rsid w:val="00D16665"/>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CF7F"/>
  <w15:chartTrackingRefBased/>
  <w15:docId w15:val="{EB51873B-FC42-4219-9713-8591C0667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66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6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901</Words>
  <Characters>5139</Characters>
  <Application>Microsoft Office Word</Application>
  <DocSecurity>0</DocSecurity>
  <Lines>42</Lines>
  <Paragraphs>12</Paragraphs>
  <ScaleCrop>false</ScaleCrop>
  <Company>Springer Nature</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2</cp:revision>
  <dcterms:created xsi:type="dcterms:W3CDTF">2023-07-18T14:10:00Z</dcterms:created>
  <dcterms:modified xsi:type="dcterms:W3CDTF">2023-07-18T14:16:00Z</dcterms:modified>
</cp:coreProperties>
</file>