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EB3D2B" w14:textId="77777777" w:rsidR="00C771AC" w:rsidRPr="00C60AD7" w:rsidRDefault="00C771AC" w:rsidP="00C771AC">
      <w:pPr>
        <w:spacing w:line="360" w:lineRule="auto"/>
        <w:jc w:val="center"/>
        <w:rPr>
          <w:b/>
          <w:bCs/>
          <w:iCs/>
          <w:lang w:val="en-US"/>
        </w:rPr>
      </w:pPr>
      <w:r w:rsidRPr="00C60AD7">
        <w:rPr>
          <w:b/>
          <w:bCs/>
          <w:iCs/>
          <w:lang w:val="en-US"/>
        </w:rPr>
        <w:t xml:space="preserve">Beyond the surface: </w:t>
      </w:r>
      <w:r>
        <w:rPr>
          <w:b/>
          <w:bCs/>
          <w:iCs/>
          <w:lang w:val="en-US"/>
        </w:rPr>
        <w:t>E</w:t>
      </w:r>
      <w:r w:rsidRPr="00C60AD7">
        <w:rPr>
          <w:b/>
          <w:bCs/>
          <w:iCs/>
          <w:lang w:val="en-US"/>
        </w:rPr>
        <w:t xml:space="preserve">xploring the mycobiome of Norway spruce under abiotic stress and </w:t>
      </w:r>
      <w:r>
        <w:rPr>
          <w:b/>
          <w:bCs/>
          <w:iCs/>
          <w:lang w:val="en-US"/>
        </w:rPr>
        <w:t>with</w:t>
      </w:r>
      <w:r w:rsidRPr="00C60AD7">
        <w:rPr>
          <w:b/>
          <w:bCs/>
          <w:iCs/>
          <w:lang w:val="en-US"/>
        </w:rPr>
        <w:t xml:space="preserve"> </w:t>
      </w:r>
      <w:r w:rsidRPr="00C60AD7">
        <w:rPr>
          <w:b/>
          <w:bCs/>
          <w:i/>
          <w:lang w:val="en-US"/>
        </w:rPr>
        <w:t>Heterobasidion parviporum</w:t>
      </w:r>
    </w:p>
    <w:p w14:paraId="70965A3C" w14:textId="77777777" w:rsidR="00C771AC" w:rsidRPr="00084161" w:rsidRDefault="00C771AC" w:rsidP="00C771AC">
      <w:pPr>
        <w:spacing w:line="360" w:lineRule="auto"/>
        <w:jc w:val="center"/>
        <w:rPr>
          <w:b/>
          <w:bCs/>
          <w:iCs/>
          <w:highlight w:val="yellow"/>
          <w:lang w:val="en-US"/>
        </w:rPr>
      </w:pPr>
    </w:p>
    <w:p w14:paraId="531091CD" w14:textId="77777777" w:rsidR="00C771AC" w:rsidRPr="00C60AD7" w:rsidRDefault="00C771AC" w:rsidP="00C771AC">
      <w:pPr>
        <w:jc w:val="center"/>
        <w:rPr>
          <w:lang w:val="en-US"/>
        </w:rPr>
      </w:pPr>
      <w:r w:rsidRPr="00084161">
        <w:rPr>
          <w:lang w:val="en-US"/>
        </w:rPr>
        <w:t>Blessing Durodola</w:t>
      </w:r>
      <w:r w:rsidRPr="00084161">
        <w:rPr>
          <w:vertAlign w:val="superscript"/>
          <w:lang w:val="en-US"/>
        </w:rPr>
        <w:t>1,2</w:t>
      </w:r>
      <w:r w:rsidRPr="00084161">
        <w:rPr>
          <w:lang w:val="en-US"/>
        </w:rPr>
        <w:t>, Kathrin Blumenstein</w:t>
      </w:r>
      <w:r w:rsidRPr="00084161">
        <w:rPr>
          <w:vertAlign w:val="superscript"/>
          <w:lang w:val="en-US"/>
        </w:rPr>
        <w:t>1,</w:t>
      </w:r>
      <w:r>
        <w:rPr>
          <w:vertAlign w:val="superscript"/>
          <w:lang w:val="en-US"/>
        </w:rPr>
        <w:t>3</w:t>
      </w:r>
      <w:r w:rsidRPr="00084161">
        <w:rPr>
          <w:lang w:val="en-US"/>
        </w:rPr>
        <w:t>, Adedolapo Akinbobola</w:t>
      </w:r>
      <w:r w:rsidRPr="00084161">
        <w:rPr>
          <w:vertAlign w:val="superscript"/>
          <w:lang w:val="en-US"/>
        </w:rPr>
        <w:t>1</w:t>
      </w:r>
      <w:r w:rsidRPr="00084161">
        <w:rPr>
          <w:lang w:val="en-US"/>
        </w:rPr>
        <w:t>, Anna Kolehmainen</w:t>
      </w:r>
      <w:r w:rsidRPr="00084161">
        <w:rPr>
          <w:vertAlign w:val="superscript"/>
          <w:lang w:val="en-US"/>
        </w:rPr>
        <w:t>1</w:t>
      </w:r>
      <w:r>
        <w:rPr>
          <w:vertAlign w:val="superscript"/>
          <w:lang w:val="en-US"/>
        </w:rPr>
        <w:t>,4</w:t>
      </w:r>
      <w:r w:rsidRPr="00084161">
        <w:rPr>
          <w:lang w:val="en-US"/>
        </w:rPr>
        <w:t xml:space="preserve">, </w:t>
      </w:r>
      <w:r w:rsidRPr="004D6383">
        <w:rPr>
          <w:lang w:val="en-US"/>
        </w:rPr>
        <w:t>Victor Chano</w:t>
      </w:r>
      <w:r w:rsidRPr="004D6383">
        <w:rPr>
          <w:vertAlign w:val="superscript"/>
          <w:lang w:val="en-US"/>
        </w:rPr>
        <w:t>2</w:t>
      </w:r>
      <w:r w:rsidRPr="00084161">
        <w:rPr>
          <w:lang w:val="en-US"/>
        </w:rPr>
        <w:t xml:space="preserve">, </w:t>
      </w:r>
      <w:r>
        <w:rPr>
          <w:lang w:val="en-US"/>
        </w:rPr>
        <w:t xml:space="preserve">Oliver </w:t>
      </w:r>
      <w:r w:rsidRPr="004D01B9">
        <w:rPr>
          <w:lang w:val="en-US"/>
        </w:rPr>
        <w:t>Gailing</w:t>
      </w:r>
      <w:r w:rsidRPr="004D6383">
        <w:rPr>
          <w:vertAlign w:val="superscript"/>
          <w:lang w:val="en-US"/>
        </w:rPr>
        <w:t>2</w:t>
      </w:r>
      <w:r>
        <w:rPr>
          <w:lang w:val="en-US"/>
        </w:rPr>
        <w:t xml:space="preserve">, </w:t>
      </w:r>
      <w:r w:rsidRPr="00084161">
        <w:rPr>
          <w:lang w:val="en-US"/>
        </w:rPr>
        <w:t xml:space="preserve">and </w:t>
      </w:r>
      <w:proofErr w:type="spellStart"/>
      <w:r w:rsidRPr="00084161">
        <w:rPr>
          <w:lang w:val="en-US"/>
        </w:rPr>
        <w:t>Eeva</w:t>
      </w:r>
      <w:proofErr w:type="spellEnd"/>
      <w:r w:rsidRPr="00084161">
        <w:rPr>
          <w:lang w:val="en-US"/>
        </w:rPr>
        <w:t xml:space="preserve"> Terhonen</w:t>
      </w:r>
      <w:r w:rsidRPr="00084161">
        <w:rPr>
          <w:vertAlign w:val="superscript"/>
          <w:lang w:val="en-US"/>
        </w:rPr>
        <w:t>1,5</w:t>
      </w:r>
    </w:p>
    <w:p w14:paraId="3DB655CA" w14:textId="77777777" w:rsidR="00173092" w:rsidRDefault="00173092">
      <w:pPr>
        <w:rPr>
          <w:lang w:val="en-US"/>
        </w:rPr>
      </w:pPr>
    </w:p>
    <w:p w14:paraId="17060AF0" w14:textId="77777777" w:rsidR="00C771AC" w:rsidRDefault="00C771AC">
      <w:pPr>
        <w:rPr>
          <w:lang w:val="en-US"/>
        </w:rPr>
      </w:pPr>
    </w:p>
    <w:p w14:paraId="5DDE69E2" w14:textId="77777777" w:rsidR="00C771AC" w:rsidRDefault="00C771AC">
      <w:pPr>
        <w:rPr>
          <w:b/>
          <w:bCs/>
          <w:lang w:val="en-US"/>
        </w:rPr>
      </w:pPr>
      <w:r w:rsidRPr="00C771AC">
        <w:rPr>
          <w:b/>
          <w:bCs/>
          <w:lang w:val="en-US"/>
        </w:rPr>
        <w:t>Supplementary figures</w:t>
      </w:r>
    </w:p>
    <w:p w14:paraId="56AF5804" w14:textId="77777777" w:rsidR="00C771AC" w:rsidRDefault="00C771AC">
      <w:pPr>
        <w:rPr>
          <w:b/>
          <w:bCs/>
          <w:lang w:val="en-US"/>
        </w:rPr>
      </w:pPr>
    </w:p>
    <w:tbl>
      <w:tblPr>
        <w:tblStyle w:val="TableGrid"/>
        <w:tblW w:w="102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73"/>
        <w:gridCol w:w="5587"/>
      </w:tblGrid>
      <w:tr w:rsidR="00BF2347" w:rsidRPr="00084161" w14:paraId="7E279A39" w14:textId="77777777" w:rsidTr="004D1B12">
        <w:trPr>
          <w:trHeight w:val="4112"/>
        </w:trPr>
        <w:tc>
          <w:tcPr>
            <w:tcW w:w="4673" w:type="dxa"/>
          </w:tcPr>
          <w:p w14:paraId="3BFE0AF5" w14:textId="77777777" w:rsidR="00BF2347" w:rsidRPr="00084161" w:rsidRDefault="00BF2347" w:rsidP="004D1B12">
            <w:pPr>
              <w:rPr>
                <w:b/>
                <w:bCs/>
              </w:rPr>
            </w:pPr>
            <w:r w:rsidRPr="00084161">
              <w:rPr>
                <w:b/>
                <w:bCs/>
              </w:rPr>
              <w:t xml:space="preserve">A </w:t>
            </w:r>
          </w:p>
          <w:p w14:paraId="1BF71B51" w14:textId="77777777" w:rsidR="00BF2347" w:rsidRPr="00084161" w:rsidRDefault="00BF2347" w:rsidP="004D1B12">
            <w:r w:rsidRPr="00084161">
              <w:rPr>
                <w:noProof/>
              </w:rPr>
              <w:drawing>
                <wp:inline distT="0" distB="0" distL="0" distR="0" wp14:anchorId="5235003E" wp14:editId="56571F0B">
                  <wp:extent cx="2991485" cy="2127873"/>
                  <wp:effectExtent l="0" t="0" r="0" b="635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4">
                            <a:extLst>
                              <a:ext uri="{28A0092B-C50C-407E-A947-70E740481C1C}">
                                <a14:useLocalDpi xmlns:a14="http://schemas.microsoft.com/office/drawing/2010/main" val="0"/>
                              </a:ext>
                            </a:extLst>
                          </a:blip>
                          <a:srcRect t="9479"/>
                          <a:stretch/>
                        </pic:blipFill>
                        <pic:spPr bwMode="auto">
                          <a:xfrm>
                            <a:off x="0" y="0"/>
                            <a:ext cx="2991600" cy="2127955"/>
                          </a:xfrm>
                          <a:prstGeom prst="rect">
                            <a:avLst/>
                          </a:prstGeom>
                          <a:ln>
                            <a:noFill/>
                          </a:ln>
                          <a:extLst>
                            <a:ext uri="{53640926-AAD7-44D8-BBD7-CCE9431645EC}">
                              <a14:shadowObscured xmlns:a14="http://schemas.microsoft.com/office/drawing/2010/main"/>
                            </a:ext>
                          </a:extLst>
                        </pic:spPr>
                      </pic:pic>
                    </a:graphicData>
                  </a:graphic>
                </wp:inline>
              </w:drawing>
            </w:r>
          </w:p>
        </w:tc>
        <w:tc>
          <w:tcPr>
            <w:tcW w:w="5587" w:type="dxa"/>
          </w:tcPr>
          <w:p w14:paraId="71DFC2BF" w14:textId="77777777" w:rsidR="00BF2347" w:rsidRPr="00084161" w:rsidRDefault="00BF2347" w:rsidP="004D1B12">
            <w:pPr>
              <w:rPr>
                <w:b/>
                <w:bCs/>
              </w:rPr>
            </w:pPr>
            <w:r w:rsidRPr="00084161">
              <w:rPr>
                <w:b/>
                <w:bCs/>
              </w:rPr>
              <w:t>B</w:t>
            </w:r>
          </w:p>
          <w:p w14:paraId="303F0ECD" w14:textId="77777777" w:rsidR="00BF2347" w:rsidRPr="00084161" w:rsidRDefault="00BF2347" w:rsidP="004D1B12">
            <w:r w:rsidRPr="00084161">
              <w:rPr>
                <w:noProof/>
              </w:rPr>
              <w:drawing>
                <wp:inline distT="0" distB="0" distL="0" distR="0" wp14:anchorId="674EBEA3" wp14:editId="52F464A8">
                  <wp:extent cx="3098800" cy="2104390"/>
                  <wp:effectExtent l="0" t="0" r="0" b="381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5">
                            <a:extLst>
                              <a:ext uri="{28A0092B-C50C-407E-A947-70E740481C1C}">
                                <a14:useLocalDpi xmlns:a14="http://schemas.microsoft.com/office/drawing/2010/main" val="0"/>
                              </a:ext>
                            </a:extLst>
                          </a:blip>
                          <a:stretch>
                            <a:fillRect/>
                          </a:stretch>
                        </pic:blipFill>
                        <pic:spPr>
                          <a:xfrm>
                            <a:off x="0" y="0"/>
                            <a:ext cx="3098800" cy="2104390"/>
                          </a:xfrm>
                          <a:prstGeom prst="rect">
                            <a:avLst/>
                          </a:prstGeom>
                        </pic:spPr>
                      </pic:pic>
                    </a:graphicData>
                  </a:graphic>
                </wp:inline>
              </w:drawing>
            </w:r>
          </w:p>
        </w:tc>
      </w:tr>
    </w:tbl>
    <w:p w14:paraId="7631A5B9" w14:textId="006545CB" w:rsidR="00FC75DD" w:rsidRPr="001A27C2" w:rsidRDefault="00FC75DD" w:rsidP="00FC75DD">
      <w:pPr>
        <w:jc w:val="both"/>
        <w:rPr>
          <w:lang w:val="en-US"/>
        </w:rPr>
      </w:pPr>
      <w:r w:rsidRPr="001A27C2">
        <w:rPr>
          <w:b/>
          <w:bCs/>
          <w:color w:val="333333"/>
          <w:shd w:val="clear" w:color="auto" w:fill="FCFCFC"/>
          <w:lang w:val="en-US"/>
        </w:rPr>
        <w:t>Fig</w:t>
      </w:r>
      <w:r>
        <w:rPr>
          <w:b/>
          <w:bCs/>
          <w:color w:val="333333"/>
          <w:shd w:val="clear" w:color="auto" w:fill="FCFCFC"/>
          <w:lang w:val="en-US"/>
        </w:rPr>
        <w:t>.</w:t>
      </w:r>
      <w:r w:rsidRPr="001A27C2">
        <w:rPr>
          <w:b/>
          <w:bCs/>
          <w:color w:val="333333"/>
          <w:shd w:val="clear" w:color="auto" w:fill="FCFCFC"/>
          <w:lang w:val="en-US"/>
        </w:rPr>
        <w:t xml:space="preserve"> S1</w:t>
      </w:r>
      <w:r w:rsidRPr="001A27C2">
        <w:rPr>
          <w:lang w:val="en-US"/>
        </w:rPr>
        <w:t xml:space="preserve"> Abiotic parameters measured during the experiment. </w:t>
      </w:r>
      <w:r w:rsidRPr="001A27C2">
        <w:rPr>
          <w:b/>
          <w:bCs/>
          <w:lang w:val="en-US"/>
        </w:rPr>
        <w:t>A)</w:t>
      </w:r>
      <w:r w:rsidRPr="001A27C2">
        <w:rPr>
          <w:lang w:val="en-US"/>
        </w:rPr>
        <w:t xml:space="preserve"> soil moisture, </w:t>
      </w:r>
      <w:r w:rsidRPr="001A27C2">
        <w:rPr>
          <w:b/>
          <w:bCs/>
          <w:lang w:val="en-US"/>
        </w:rPr>
        <w:t>B)</w:t>
      </w:r>
      <w:r w:rsidRPr="001A27C2">
        <w:rPr>
          <w:lang w:val="en-US"/>
        </w:rPr>
        <w:t xml:space="preserve"> atmospheric temperature and humidity. </w:t>
      </w:r>
    </w:p>
    <w:p w14:paraId="3D572CA1" w14:textId="77777777" w:rsidR="00BF2347" w:rsidRDefault="00BF2347">
      <w:pPr>
        <w:rPr>
          <w:b/>
          <w:bCs/>
          <w:lang w:val="en-US"/>
        </w:rPr>
      </w:pPr>
    </w:p>
    <w:p w14:paraId="64FD633A" w14:textId="77777777" w:rsidR="00BF2347" w:rsidRPr="00084161" w:rsidRDefault="00BF2347" w:rsidP="00BF2347">
      <w:pPr>
        <w:jc w:val="both"/>
        <w:rPr>
          <w:lang w:val="en-US"/>
        </w:rPr>
      </w:pPr>
      <w:r w:rsidRPr="00084161">
        <w:rPr>
          <w:noProof/>
          <w:lang w:val="en-US"/>
        </w:rPr>
        <w:drawing>
          <wp:inline distT="0" distB="0" distL="0" distR="0" wp14:anchorId="6090E1E8" wp14:editId="0ED56AA1">
            <wp:extent cx="4731385" cy="3564000"/>
            <wp:effectExtent l="0" t="0" r="5715"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6">
                      <a:extLst>
                        <a:ext uri="{28A0092B-C50C-407E-A947-70E740481C1C}">
                          <a14:useLocalDpi xmlns:a14="http://schemas.microsoft.com/office/drawing/2010/main" val="0"/>
                        </a:ext>
                      </a:extLst>
                    </a:blip>
                    <a:stretch>
                      <a:fillRect/>
                    </a:stretch>
                  </pic:blipFill>
                  <pic:spPr>
                    <a:xfrm>
                      <a:off x="0" y="0"/>
                      <a:ext cx="4731385" cy="3564000"/>
                    </a:xfrm>
                    <a:prstGeom prst="rect">
                      <a:avLst/>
                    </a:prstGeom>
                  </pic:spPr>
                </pic:pic>
              </a:graphicData>
            </a:graphic>
          </wp:inline>
        </w:drawing>
      </w:r>
    </w:p>
    <w:p w14:paraId="5709F665" w14:textId="778A2DB1" w:rsidR="00FC75DD" w:rsidRPr="001A27C2" w:rsidRDefault="00FC75DD" w:rsidP="00FC75DD">
      <w:pPr>
        <w:jc w:val="both"/>
        <w:rPr>
          <w:lang w:val="en-US"/>
        </w:rPr>
      </w:pPr>
      <w:r w:rsidRPr="001A27C2">
        <w:rPr>
          <w:b/>
          <w:bCs/>
          <w:lang w:val="en-US"/>
        </w:rPr>
        <w:t>Fig</w:t>
      </w:r>
      <w:r>
        <w:rPr>
          <w:b/>
          <w:bCs/>
          <w:lang w:val="en-US"/>
        </w:rPr>
        <w:t>.</w:t>
      </w:r>
      <w:r w:rsidRPr="001A27C2">
        <w:rPr>
          <w:b/>
          <w:bCs/>
          <w:lang w:val="en-US"/>
        </w:rPr>
        <w:t xml:space="preserve"> S2</w:t>
      </w:r>
      <w:r w:rsidRPr="001A27C2">
        <w:rPr>
          <w:lang w:val="en-US"/>
        </w:rPr>
        <w:t xml:space="preserve"> Fungal communities among phloem genotypes based on Bray-Curtis. </w:t>
      </w:r>
    </w:p>
    <w:p w14:paraId="545C8023" w14:textId="4D28F7C6" w:rsidR="00FC75DD" w:rsidRPr="001A27C2" w:rsidRDefault="004870D6" w:rsidP="00FC75DD">
      <w:pPr>
        <w:pStyle w:val="NormalWeb"/>
        <w:jc w:val="both"/>
      </w:pPr>
      <w:r w:rsidRPr="00084161">
        <w:rPr>
          <w:noProof/>
        </w:rPr>
        <w:lastRenderedPageBreak/>
        <w:drawing>
          <wp:inline distT="0" distB="0" distL="0" distR="0" wp14:anchorId="58D52F37" wp14:editId="05813E01">
            <wp:extent cx="5616000" cy="5616000"/>
            <wp:effectExtent l="0" t="0" r="0" b="0"/>
            <wp:docPr id="1" name="Picture 1">
              <a:extLst xmlns:a="http://schemas.openxmlformats.org/drawingml/2006/main">
                <a:ext uri="{FF2B5EF4-FFF2-40B4-BE49-F238E27FC236}">
                  <a16:creationId xmlns:a16="http://schemas.microsoft.com/office/drawing/2014/main" id="{BE31C4AA-2279-DAED-C4A1-BB5C5FA77698}"/>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a:extLst>
                        <a:ext uri="{FF2B5EF4-FFF2-40B4-BE49-F238E27FC236}">
                          <a16:creationId xmlns:a16="http://schemas.microsoft.com/office/drawing/2014/main" id="{BE31C4AA-2279-DAED-C4A1-BB5C5FA77698}"/>
                        </a:ext>
                      </a:extLst>
                    </pic:cNvPr>
                    <pic:cNvPicPr>
                      <a:picLocks noGrp="1" noChangeAspect="1"/>
                    </pic:cNvPicPr>
                  </pic:nvPicPr>
                  <pic:blipFill>
                    <a:blip r:embed="rId7"/>
                    <a:stretch>
                      <a:fillRect/>
                    </a:stretch>
                  </pic:blipFill>
                  <pic:spPr>
                    <a:xfrm>
                      <a:off x="0" y="0"/>
                      <a:ext cx="5616000" cy="5616000"/>
                    </a:xfrm>
                    <a:prstGeom prst="rect">
                      <a:avLst/>
                    </a:prstGeom>
                  </pic:spPr>
                </pic:pic>
              </a:graphicData>
            </a:graphic>
          </wp:inline>
        </w:drawing>
      </w:r>
      <w:r w:rsidR="00FC75DD" w:rsidRPr="00FC75DD">
        <w:rPr>
          <w:b/>
          <w:bCs/>
          <w:color w:val="333333"/>
          <w:shd w:val="clear" w:color="auto" w:fill="FCFCFC"/>
          <w:lang w:val="en-US"/>
        </w:rPr>
        <w:t xml:space="preserve"> </w:t>
      </w:r>
      <w:r w:rsidR="00FC75DD" w:rsidRPr="001A27C2">
        <w:rPr>
          <w:b/>
          <w:bCs/>
          <w:color w:val="333333"/>
          <w:shd w:val="clear" w:color="auto" w:fill="FCFCFC"/>
          <w:lang w:val="en-US"/>
        </w:rPr>
        <w:t>Fig</w:t>
      </w:r>
      <w:r w:rsidR="00FC75DD">
        <w:rPr>
          <w:b/>
          <w:bCs/>
          <w:color w:val="333333"/>
          <w:shd w:val="clear" w:color="auto" w:fill="FCFCFC"/>
          <w:lang w:val="en-US"/>
        </w:rPr>
        <w:t>.</w:t>
      </w:r>
      <w:r w:rsidR="00FC75DD" w:rsidRPr="001A27C2">
        <w:rPr>
          <w:b/>
          <w:bCs/>
          <w:color w:val="333333"/>
          <w:shd w:val="clear" w:color="auto" w:fill="FCFCFC"/>
          <w:lang w:val="en-US"/>
        </w:rPr>
        <w:t xml:space="preserve"> S3 </w:t>
      </w:r>
      <w:r w:rsidR="00FC75DD" w:rsidRPr="001A27C2">
        <w:rPr>
          <w:lang w:val="en-US"/>
        </w:rPr>
        <w:t xml:space="preserve">Pairwise comparisons of the phloem mycobiome between the different genotypes. </w:t>
      </w:r>
      <w:r w:rsidR="00FC75DD" w:rsidRPr="001A27C2">
        <w:t>The colour of each taxon represents the log-2 ratio of median proportions of phloem ASV counts observed at each genotype. Taxa-coloured green are enriched in the genotypes shown in the rows, and those coloured cyan are enriched in the genotypes shown in the columns. The grey tree on the lower left serves as a key for the smaller unlabelled trees.</w:t>
      </w:r>
    </w:p>
    <w:p w14:paraId="4679B483" w14:textId="7BACB15A" w:rsidR="004870D6" w:rsidRDefault="004870D6" w:rsidP="00FC75DD">
      <w:pPr>
        <w:jc w:val="both"/>
        <w:rPr>
          <w:b/>
          <w:bCs/>
        </w:rPr>
      </w:pPr>
      <w:r>
        <w:rPr>
          <w:b/>
          <w:bCs/>
        </w:rPr>
        <w:br w:type="page"/>
      </w:r>
    </w:p>
    <w:p w14:paraId="026CD158" w14:textId="77777777" w:rsidR="004870D6" w:rsidRPr="00084161" w:rsidRDefault="004870D6" w:rsidP="004870D6">
      <w:pPr>
        <w:jc w:val="both"/>
        <w:rPr>
          <w:lang w:val="en-US"/>
        </w:rPr>
      </w:pPr>
      <w:r w:rsidRPr="00084161">
        <w:rPr>
          <w:noProof/>
          <w:lang w:val="en-US"/>
        </w:rPr>
        <w:lastRenderedPageBreak/>
        <w:drawing>
          <wp:inline distT="0" distB="0" distL="0" distR="0" wp14:anchorId="7805B64F" wp14:editId="0E2FF2BB">
            <wp:extent cx="5731510" cy="440182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4401820"/>
                    </a:xfrm>
                    <a:prstGeom prst="rect">
                      <a:avLst/>
                    </a:prstGeom>
                  </pic:spPr>
                </pic:pic>
              </a:graphicData>
            </a:graphic>
          </wp:inline>
        </w:drawing>
      </w:r>
    </w:p>
    <w:p w14:paraId="18E94557" w14:textId="0A7F90E4" w:rsidR="00367F60" w:rsidRPr="00024DF7" w:rsidRDefault="00367F60" w:rsidP="00367F60">
      <w:pPr>
        <w:jc w:val="both"/>
        <w:rPr>
          <w:lang w:val="en-US"/>
        </w:rPr>
      </w:pPr>
      <w:r w:rsidRPr="001A27C2">
        <w:rPr>
          <w:b/>
          <w:bCs/>
          <w:color w:val="333333"/>
          <w:shd w:val="clear" w:color="auto" w:fill="FCFCFC"/>
          <w:lang w:val="en-US"/>
        </w:rPr>
        <w:t>Fig</w:t>
      </w:r>
      <w:r>
        <w:rPr>
          <w:b/>
          <w:bCs/>
          <w:color w:val="333333"/>
          <w:shd w:val="clear" w:color="auto" w:fill="FCFCFC"/>
          <w:lang w:val="en-US"/>
        </w:rPr>
        <w:t>.</w:t>
      </w:r>
      <w:r w:rsidRPr="001A27C2">
        <w:rPr>
          <w:b/>
          <w:bCs/>
          <w:color w:val="333333"/>
          <w:shd w:val="clear" w:color="auto" w:fill="FCFCFC"/>
          <w:lang w:val="en-US"/>
        </w:rPr>
        <w:t xml:space="preserve"> S4 </w:t>
      </w:r>
      <w:r w:rsidRPr="001A27C2">
        <w:rPr>
          <w:lang w:val="en-US"/>
        </w:rPr>
        <w:t xml:space="preserve">Root mycobiome abundance according to watering groups. </w:t>
      </w:r>
      <w:r w:rsidRPr="001A27C2">
        <w:t>The colour of each taxon represents the log-2 ratio of median proportions of phloem ASV counts observed at each water treatment category. Taxa-coloured</w:t>
      </w:r>
      <w:r w:rsidRPr="001A27C2">
        <w:rPr>
          <w:lang w:val="en-US"/>
        </w:rPr>
        <w:t xml:space="preserve"> tan are more abundant in the optimum watering category, while taxa-</w:t>
      </w:r>
      <w:proofErr w:type="spellStart"/>
      <w:r w:rsidRPr="001A27C2">
        <w:rPr>
          <w:lang w:val="en-US"/>
        </w:rPr>
        <w:t>coloured</w:t>
      </w:r>
      <w:proofErr w:type="spellEnd"/>
      <w:r w:rsidRPr="001A27C2">
        <w:rPr>
          <w:lang w:val="en-US"/>
        </w:rPr>
        <w:t xml:space="preserve"> cyan are more abundant in low-water treated plants.</w:t>
      </w:r>
    </w:p>
    <w:p w14:paraId="1AD898DB" w14:textId="77777777" w:rsidR="00BF2347" w:rsidRDefault="00BF2347">
      <w:pPr>
        <w:rPr>
          <w:b/>
          <w:bCs/>
          <w:lang w:val="en-US"/>
        </w:rPr>
      </w:pPr>
    </w:p>
    <w:p w14:paraId="1D247B8A" w14:textId="298744FC" w:rsidR="00367F60" w:rsidRPr="00367F60" w:rsidRDefault="0007136A" w:rsidP="00367F60">
      <w:pPr>
        <w:jc w:val="both"/>
        <w:rPr>
          <w:b/>
          <w:bCs/>
          <w:sz w:val="22"/>
          <w:szCs w:val="22"/>
          <w:highlight w:val="yellow"/>
          <w:lang w:val="en-US"/>
        </w:rPr>
      </w:pPr>
      <w:r>
        <w:rPr>
          <w:noProof/>
          <w:lang w:val="en-US"/>
        </w:rPr>
        <w:lastRenderedPageBreak/>
        <mc:AlternateContent>
          <mc:Choice Requires="wps">
            <w:drawing>
              <wp:anchor distT="0" distB="0" distL="114300" distR="114300" simplePos="0" relativeHeight="251659264" behindDoc="0" locked="0" layoutInCell="1" allowOverlap="1" wp14:anchorId="4CEB1C2B" wp14:editId="25ABBEE6">
                <wp:simplePos x="0" y="0"/>
                <wp:positionH relativeFrom="column">
                  <wp:posOffset>-29146</wp:posOffset>
                </wp:positionH>
                <wp:positionV relativeFrom="paragraph">
                  <wp:posOffset>0</wp:posOffset>
                </wp:positionV>
                <wp:extent cx="333883" cy="293370"/>
                <wp:effectExtent l="0" t="0" r="0" b="0"/>
                <wp:wrapNone/>
                <wp:docPr id="867504402" name="Oval 1"/>
                <wp:cNvGraphicFramePr/>
                <a:graphic xmlns:a="http://schemas.openxmlformats.org/drawingml/2006/main">
                  <a:graphicData uri="http://schemas.microsoft.com/office/word/2010/wordprocessingShape">
                    <wps:wsp>
                      <wps:cNvSpPr/>
                      <wps:spPr>
                        <a:xfrm flipV="1">
                          <a:off x="0" y="0"/>
                          <a:ext cx="333883" cy="293370"/>
                        </a:xfrm>
                        <a:prstGeom prst="ellipse">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D60D8A9" id="Oval 1" o:spid="_x0000_s1026" style="position:absolute;margin-left:-2.3pt;margin-top:0;width:26.3pt;height:23.1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" fillcolor="white [3212]" stroked="f" strokeweight="1pt">
                <v:stroke joinstyle="miter"/>
              </v:oval>
            </w:pict>
          </mc:Fallback>
        </mc:AlternateContent>
      </w:r>
      <w:r w:rsidR="00CE2516">
        <w:rPr>
          <w:b/>
          <w:bCs/>
          <w:noProof/>
          <w:sz w:val="22"/>
          <w:szCs w:val="22"/>
          <w:lang w:val="en-US"/>
          <w14:ligatures w14:val="standardContextual"/>
        </w:rPr>
        <w:drawing>
          <wp:inline distT="0" distB="0" distL="0" distR="0" wp14:anchorId="74E0092A" wp14:editId="70468F3A">
            <wp:extent cx="5731510" cy="3957320"/>
            <wp:effectExtent l="0" t="0" r="0" b="5080"/>
            <wp:docPr id="20669093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6909315" name="Picture 2066909315"/>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957320"/>
                    </a:xfrm>
                    <a:prstGeom prst="rect">
                      <a:avLst/>
                    </a:prstGeom>
                  </pic:spPr>
                </pic:pic>
              </a:graphicData>
            </a:graphic>
          </wp:inline>
        </w:drawing>
      </w:r>
      <w:r w:rsidR="00367F60" w:rsidRPr="001A27C2">
        <w:rPr>
          <w:b/>
          <w:bCs/>
          <w:color w:val="333333"/>
          <w:shd w:val="clear" w:color="auto" w:fill="FCFCFC"/>
          <w:lang w:val="en-US"/>
        </w:rPr>
        <w:t>Fig</w:t>
      </w:r>
      <w:r w:rsidR="00367F60">
        <w:rPr>
          <w:b/>
          <w:bCs/>
          <w:color w:val="333333"/>
          <w:shd w:val="clear" w:color="auto" w:fill="FCFCFC"/>
          <w:lang w:val="en-US"/>
        </w:rPr>
        <w:t>.</w:t>
      </w:r>
      <w:r w:rsidR="00367F60" w:rsidRPr="001A27C2">
        <w:rPr>
          <w:b/>
          <w:bCs/>
          <w:color w:val="333333"/>
          <w:shd w:val="clear" w:color="auto" w:fill="FCFCFC"/>
          <w:lang w:val="en-US"/>
        </w:rPr>
        <w:t xml:space="preserve"> S</w:t>
      </w:r>
      <w:r w:rsidR="00367F60">
        <w:rPr>
          <w:b/>
          <w:bCs/>
          <w:color w:val="333333"/>
          <w:shd w:val="clear" w:color="auto" w:fill="FCFCFC"/>
          <w:lang w:val="en-US"/>
        </w:rPr>
        <w:t xml:space="preserve">5 </w:t>
      </w:r>
      <w:r w:rsidR="00367F60" w:rsidRPr="00370ACF">
        <w:rPr>
          <w:sz w:val="22"/>
          <w:szCs w:val="22"/>
          <w:lang w:val="en-US"/>
        </w:rPr>
        <w:t xml:space="preserve">Relative abundance of taxa of the top eight fungi among families in the presence of </w:t>
      </w:r>
      <w:r w:rsidR="00367F60" w:rsidRPr="00370ACF">
        <w:rPr>
          <w:i/>
          <w:iCs/>
          <w:sz w:val="22"/>
          <w:szCs w:val="22"/>
          <w:lang w:val="en-US"/>
        </w:rPr>
        <w:t>H</w:t>
      </w:r>
      <w:r w:rsidR="00367F60" w:rsidRPr="00370ACF">
        <w:rPr>
          <w:sz w:val="22"/>
          <w:szCs w:val="22"/>
          <w:lang w:val="en-US"/>
        </w:rPr>
        <w:t xml:space="preserve">. </w:t>
      </w:r>
      <w:r w:rsidR="00367F60" w:rsidRPr="00370ACF">
        <w:rPr>
          <w:i/>
          <w:iCs/>
          <w:sz w:val="22"/>
          <w:szCs w:val="22"/>
          <w:lang w:val="en-US"/>
        </w:rPr>
        <w:t>parviporum</w:t>
      </w:r>
      <w:r w:rsidR="00367F60" w:rsidRPr="00370ACF">
        <w:rPr>
          <w:sz w:val="22"/>
          <w:szCs w:val="22"/>
          <w:lang w:val="en-US"/>
        </w:rPr>
        <w:t xml:space="preserve"> highlighting only the pattern between </w:t>
      </w:r>
      <w:proofErr w:type="spellStart"/>
      <w:r w:rsidR="00367F60" w:rsidRPr="00370ACF">
        <w:rPr>
          <w:sz w:val="22"/>
          <w:szCs w:val="22"/>
          <w:lang w:val="en-US"/>
        </w:rPr>
        <w:t>Phialocephala</w:t>
      </w:r>
      <w:proofErr w:type="spellEnd"/>
      <w:r w:rsidR="00367F60" w:rsidRPr="00370ACF">
        <w:rPr>
          <w:sz w:val="22"/>
          <w:szCs w:val="22"/>
          <w:lang w:val="en-US"/>
        </w:rPr>
        <w:t xml:space="preserve"> and Heterobasidion genera. </w:t>
      </w:r>
      <w:r w:rsidR="00367F60" w:rsidRPr="00370ACF">
        <w:rPr>
          <w:sz w:val="22"/>
          <w:szCs w:val="22"/>
        </w:rPr>
        <w:t>Connecting lines are included to visualize common patterns.</w:t>
      </w:r>
    </w:p>
    <w:p w14:paraId="6AE870D2" w14:textId="04D46A14" w:rsidR="00207EA8" w:rsidRPr="004870D6" w:rsidRDefault="00207EA8">
      <w:pPr>
        <w:rPr>
          <w:b/>
          <w:bCs/>
          <w:lang w:val="en-US"/>
        </w:rPr>
      </w:pPr>
    </w:p>
    <w:sectPr w:rsidR="00207EA8" w:rsidRPr="004870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1AC"/>
    <w:rsid w:val="0007136A"/>
    <w:rsid w:val="00173092"/>
    <w:rsid w:val="001B7AB8"/>
    <w:rsid w:val="00207EA8"/>
    <w:rsid w:val="00367F60"/>
    <w:rsid w:val="004870D6"/>
    <w:rsid w:val="009F37C2"/>
    <w:rsid w:val="00AC5DFF"/>
    <w:rsid w:val="00BF2347"/>
    <w:rsid w:val="00C771AC"/>
    <w:rsid w:val="00CE2516"/>
    <w:rsid w:val="00E7448A"/>
    <w:rsid w:val="00F77CFB"/>
    <w:rsid w:val="00FC75DD"/>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0F3BB"/>
  <w15:chartTrackingRefBased/>
  <w15:docId w15:val="{785B624D-7557-AF44-8F9A-C8BDE5E24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71AC"/>
    <w:rPr>
      <w:rFonts w:ascii="Times New Roman" w:eastAsia="Times New Roman" w:hAnsi="Times New Roman" w:cs="Times New Roman"/>
      <w:kern w:val="0"/>
      <w:lang w:val="en-GB"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771AC"/>
    <w:rPr>
      <w:sz w:val="16"/>
      <w:szCs w:val="16"/>
    </w:rPr>
  </w:style>
  <w:style w:type="paragraph" w:styleId="CommentText">
    <w:name w:val="annotation text"/>
    <w:basedOn w:val="Normal"/>
    <w:link w:val="CommentTextChar"/>
    <w:uiPriority w:val="99"/>
    <w:unhideWhenUsed/>
    <w:rsid w:val="00C771AC"/>
    <w:rPr>
      <w:sz w:val="20"/>
      <w:szCs w:val="20"/>
      <w:lang w:val="fi-FI"/>
    </w:rPr>
  </w:style>
  <w:style w:type="character" w:customStyle="1" w:styleId="CommentTextChar">
    <w:name w:val="Comment Text Char"/>
    <w:basedOn w:val="DefaultParagraphFont"/>
    <w:link w:val="CommentText"/>
    <w:uiPriority w:val="99"/>
    <w:rsid w:val="00C771AC"/>
    <w:rPr>
      <w:rFonts w:ascii="Times New Roman" w:eastAsia="Times New Roman" w:hAnsi="Times New Roman" w:cs="Times New Roman"/>
      <w:kern w:val="0"/>
      <w:sz w:val="20"/>
      <w:szCs w:val="20"/>
      <w:lang w:val="fi-FI" w:eastAsia="en-GB"/>
      <w14:ligatures w14:val="none"/>
    </w:rPr>
  </w:style>
  <w:style w:type="table" w:styleId="TableGrid">
    <w:name w:val="Table Grid"/>
    <w:basedOn w:val="TableNormal"/>
    <w:uiPriority w:val="39"/>
    <w:rsid w:val="00BF2347"/>
    <w:rPr>
      <w:kern w:val="0"/>
      <w:lang w:val="fi-FI"/>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FC75DD"/>
    <w:pPr>
      <w:spacing w:before="100" w:beforeAutospacing="1" w:after="100" w:afterAutospacing="1"/>
    </w:pPr>
    <w:rPr>
      <w:lang w:val="en-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227</Words>
  <Characters>1297</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Georg-August-Universität</Company>
  <LinksUpToDate>false</LinksUpToDate>
  <CharactersWithSpaces>1521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Blessing Durodola</dc:creator>
  <cp:keywords/>
  <dc:description/>
  <cp:lastModifiedBy>Blessing Durodola</cp:lastModifiedBy>
  <cp:revision>1</cp:revision>
  <dcterms:created xsi:type="dcterms:W3CDTF">2023-06-29T06:20:00Z</dcterms:created>
  <dcterms:modified xsi:type="dcterms:W3CDTF">2023-06-29T07:05:00Z</dcterms:modified>
</cp:coreProperties>
</file>