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DB14" w14:textId="77777777" w:rsidR="006C607C" w:rsidRDefault="006C607C" w:rsidP="006C607C">
      <w:pPr>
        <w:pStyle w:val="Heading2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2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GRAPHICAL ABSTRACT</w:t>
      </w:r>
    </w:p>
    <w:p w14:paraId="765A9133" w14:textId="77777777" w:rsidR="006C607C" w:rsidRPr="00CD3A86" w:rsidRDefault="006C607C" w:rsidP="006C607C">
      <w:pPr>
        <w:spacing w:line="360" w:lineRule="auto"/>
        <w:rPr>
          <w:rFonts w:ascii="Times New Roman" w:hAnsi="Times New Roman" w:cs="Times New Roman"/>
        </w:rPr>
      </w:pPr>
      <w:r w:rsidRPr="00CD3A86">
        <w:rPr>
          <w:rFonts w:ascii="Times New Roman" w:hAnsi="Times New Roman" w:cs="Times New Roman"/>
        </w:rPr>
        <w:t xml:space="preserve">Mean differences (SE) of systolic blood pressure (mmHg) in model adjusted for 25(OH)D, sun exposure and season. </w:t>
      </w:r>
    </w:p>
    <w:p w14:paraId="0B814E96" w14:textId="77777777" w:rsidR="006C607C" w:rsidRDefault="006C607C" w:rsidP="006C607C">
      <w:pPr>
        <w:spacing w:line="360" w:lineRule="auto"/>
        <w:rPr>
          <w:rFonts w:ascii="Times New Roman" w:hAnsi="Times New Roman" w:cs="Times New Roman"/>
        </w:rPr>
      </w:pPr>
    </w:p>
    <w:p w14:paraId="7AB08A1C" w14:textId="77777777" w:rsidR="006C607C" w:rsidRDefault="006C607C" w:rsidP="006C607C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02DA1" wp14:editId="16934013">
                <wp:simplePos x="0" y="0"/>
                <wp:positionH relativeFrom="column">
                  <wp:posOffset>1870710</wp:posOffset>
                </wp:positionH>
                <wp:positionV relativeFrom="paragraph">
                  <wp:posOffset>1986329</wp:posOffset>
                </wp:positionV>
                <wp:extent cx="210429" cy="59152"/>
                <wp:effectExtent l="0" t="0" r="0" b="0"/>
                <wp:wrapNone/>
                <wp:docPr id="4" name="Minus Sig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29" cy="59152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22F7" id="Minus Sign 4" o:spid="_x0000_s1026" style="position:absolute;margin-left:147.3pt;margin-top:156.4pt;width:16.55pt;height: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429,59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" path="m27892,22620r154645,l182537,36532r-154645,l27892,22620xe" fillcolor="black [3213]" strokecolor="black [3213]" strokeweight="1pt">
                <v:stroke joinstyle="miter"/>
                <v:path arrowok="t" o:connecttype="custom" o:connectlocs="27892,22620;182537,22620;182537,36532;27892,36532;27892,22620" o:connectangles="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0DD06D" wp14:editId="6F01AFED">
            <wp:extent cx="5880100" cy="4089400"/>
            <wp:effectExtent l="0" t="0" r="6350" b="635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920D1E0A-035A-4ED8-B0BD-A389EAC285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1AF4829" w14:textId="77777777" w:rsidR="006C607C" w:rsidRPr="000733D7" w:rsidRDefault="006C607C" w:rsidP="006C607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*Reference group.</w:t>
      </w:r>
    </w:p>
    <w:p w14:paraId="532FB61A" w14:textId="77777777" w:rsidR="007556D9" w:rsidRDefault="007556D9"/>
    <w:sectPr w:rsidR="00755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7C"/>
    <w:rsid w:val="00145A65"/>
    <w:rsid w:val="0040078A"/>
    <w:rsid w:val="00427BFA"/>
    <w:rsid w:val="00503B14"/>
    <w:rsid w:val="006C607C"/>
    <w:rsid w:val="007556D9"/>
    <w:rsid w:val="00BD2AE4"/>
    <w:rsid w:val="00CB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65F2A"/>
  <w15:chartTrackingRefBased/>
  <w15:docId w15:val="{C7680842-C30D-48F7-BEC9-BC56161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7C"/>
    <w:pPr>
      <w:spacing w:after="0" w:line="240" w:lineRule="auto"/>
    </w:pPr>
    <w:rPr>
      <w:kern w:val="0"/>
      <w:sz w:val="24"/>
      <w:szCs w:val="24"/>
      <w:lang w:val="en-NZ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0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607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980850665805001E-2"/>
          <c:y val="3.4161490683229816E-2"/>
          <c:w val="0.88026104998214316"/>
          <c:h val="0.767380789357852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manuscript!$C$59</c:f>
              <c:strCache>
                <c:ptCount val="1"/>
                <c:pt idx="0">
                  <c:v>All variables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6A-4D3E-A2A2-FF12A4C0764B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6A-4D3E-A2A2-FF12A4C0764B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A6A-4D3E-A2A2-FF12A4C0764B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A6A-4D3E-A2A2-FF12A4C0764B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A6A-4D3E-A2A2-FF12A4C0764B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A6A-4D3E-A2A2-FF12A4C0764B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A6A-4D3E-A2A2-FF12A4C0764B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A6A-4D3E-A2A2-FF12A4C0764B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A6A-4D3E-A2A2-FF12A4C0764B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A6A-4D3E-A2A2-FF12A4C0764B}"/>
              </c:ext>
            </c:extLst>
          </c:dPt>
          <c:errBars>
            <c:errBarType val="both"/>
            <c:errValType val="cust"/>
            <c:noEndCap val="0"/>
            <c:plus>
              <c:numRef>
                <c:f>manuscript!$D$60:$D$72</c:f>
                <c:numCache>
                  <c:formatCode>General</c:formatCode>
                  <c:ptCount val="13"/>
                  <c:pt idx="0">
                    <c:v>1.5</c:v>
                  </c:pt>
                  <c:pt idx="1">
                    <c:v>0.7</c:v>
                  </c:pt>
                  <c:pt idx="2">
                    <c:v>0.6</c:v>
                  </c:pt>
                  <c:pt idx="3">
                    <c:v>0</c:v>
                  </c:pt>
                  <c:pt idx="4">
                    <c:v>0</c:v>
                  </c:pt>
                  <c:pt idx="5">
                    <c:v>0.9</c:v>
                  </c:pt>
                  <c:pt idx="6">
                    <c:v>0.8</c:v>
                  </c:pt>
                  <c:pt idx="7">
                    <c:v>0.9</c:v>
                  </c:pt>
                  <c:pt idx="8">
                    <c:v>1</c:v>
                  </c:pt>
                  <c:pt idx="9">
                    <c:v>0</c:v>
                  </c:pt>
                  <c:pt idx="10">
                    <c:v>0.9</c:v>
                  </c:pt>
                  <c:pt idx="11">
                    <c:v>0.9</c:v>
                  </c:pt>
                  <c:pt idx="12">
                    <c:v>0.9</c:v>
                  </c:pt>
                </c:numCache>
              </c:numRef>
            </c:plus>
            <c:minus>
              <c:numRef>
                <c:f>manuscript!$D$60:$D$72</c:f>
                <c:numCache>
                  <c:formatCode>General</c:formatCode>
                  <c:ptCount val="13"/>
                  <c:pt idx="0">
                    <c:v>1.5</c:v>
                  </c:pt>
                  <c:pt idx="1">
                    <c:v>0.7</c:v>
                  </c:pt>
                  <c:pt idx="2">
                    <c:v>0.6</c:v>
                  </c:pt>
                  <c:pt idx="3">
                    <c:v>0</c:v>
                  </c:pt>
                  <c:pt idx="4">
                    <c:v>0</c:v>
                  </c:pt>
                  <c:pt idx="5">
                    <c:v>0.9</c:v>
                  </c:pt>
                  <c:pt idx="6">
                    <c:v>0.8</c:v>
                  </c:pt>
                  <c:pt idx="7">
                    <c:v>0.9</c:v>
                  </c:pt>
                  <c:pt idx="8">
                    <c:v>1</c:v>
                  </c:pt>
                  <c:pt idx="9">
                    <c:v>0</c:v>
                  </c:pt>
                  <c:pt idx="10">
                    <c:v>0.9</c:v>
                  </c:pt>
                  <c:pt idx="11">
                    <c:v>0.9</c:v>
                  </c:pt>
                  <c:pt idx="12">
                    <c:v>0.9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bg2">
                    <a:lumMod val="75000"/>
                  </a:schemeClr>
                </a:solidFill>
                <a:round/>
              </a:ln>
              <a:effectLst/>
            </c:spPr>
          </c:errBars>
          <c:cat>
            <c:multiLvlStrRef>
              <c:f>manuscript!$A$60:$B$72</c:f>
              <c:multiLvlStrCache>
                <c:ptCount val="13"/>
                <c:lvl>
                  <c:pt idx="0">
                    <c:v>   ≤25 </c:v>
                  </c:pt>
                  <c:pt idx="1">
                    <c:v>   25-49 </c:v>
                  </c:pt>
                  <c:pt idx="2">
                    <c:v>   50-74 </c:v>
                  </c:pt>
                  <c:pt idx="3">
                    <c:v>   *≥75 </c:v>
                  </c:pt>
                  <c:pt idx="4">
                    <c:v>  *&lt;7 </c:v>
                  </c:pt>
                  <c:pt idx="5">
                    <c:v>7</c:v>
                  </c:pt>
                  <c:pt idx="6">
                    <c:v>   8-14 </c:v>
                  </c:pt>
                  <c:pt idx="7">
                    <c:v>   15-21 </c:v>
                  </c:pt>
                  <c:pt idx="8">
                    <c:v>   ≥22 </c:v>
                  </c:pt>
                  <c:pt idx="9">
                    <c:v>   *Summer</c:v>
                  </c:pt>
                  <c:pt idx="10">
                    <c:v>   Autumn</c:v>
                  </c:pt>
                  <c:pt idx="11">
                    <c:v>   Winter</c:v>
                  </c:pt>
                  <c:pt idx="12">
                    <c:v>   Spring</c:v>
                  </c:pt>
                </c:lvl>
                <c:lvl>
                  <c:pt idx="0">
                    <c:v>25(OH)D (nmol/L)</c:v>
                  </c:pt>
                  <c:pt idx="4">
                    <c:v>Sun exposure  (hours/week)</c:v>
                  </c:pt>
                  <c:pt idx="9">
                    <c:v>Season</c:v>
                  </c:pt>
                </c:lvl>
              </c:multiLvlStrCache>
            </c:multiLvlStrRef>
          </c:cat>
          <c:val>
            <c:numRef>
              <c:f>manuscript!$C$60:$C$72</c:f>
              <c:numCache>
                <c:formatCode>General</c:formatCode>
                <c:ptCount val="13"/>
                <c:pt idx="0">
                  <c:v>-0.5</c:v>
                </c:pt>
                <c:pt idx="1">
                  <c:v>-0.2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  <c:pt idx="5">
                  <c:v>0.9</c:v>
                </c:pt>
                <c:pt idx="6">
                  <c:v>1.3</c:v>
                </c:pt>
                <c:pt idx="7">
                  <c:v>2.4</c:v>
                </c:pt>
                <c:pt idx="8">
                  <c:v>2.8</c:v>
                </c:pt>
                <c:pt idx="9">
                  <c:v>0</c:v>
                </c:pt>
                <c:pt idx="10">
                  <c:v>1.5</c:v>
                </c:pt>
                <c:pt idx="11">
                  <c:v>3.1</c:v>
                </c:pt>
                <c:pt idx="12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A6A-4D3E-A2A2-FF12A4C076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overlap val="-27"/>
        <c:axId val="840311808"/>
        <c:axId val="840290176"/>
      </c:barChart>
      <c:catAx>
        <c:axId val="84031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40290176"/>
        <c:crosses val="autoZero"/>
        <c:auto val="1"/>
        <c:lblAlgn val="ctr"/>
        <c:lblOffset val="100"/>
        <c:noMultiLvlLbl val="0"/>
      </c:catAx>
      <c:valAx>
        <c:axId val="840290176"/>
        <c:scaling>
          <c:orientation val="minMax"/>
          <c:max val="4.5"/>
          <c:min val="-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sz="8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differences in SBP (mmHg)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3118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0.38898</cdr:x>
      <cdr:y>0.48677</cdr:y>
    </cdr:from>
    <cdr:to>
      <cdr:x>0.42473</cdr:x>
      <cdr:y>0.50121</cdr:y>
    </cdr:to>
    <cdr:sp macro="" textlink="">
      <cdr:nvSpPr>
        <cdr:cNvPr id="2" name="Minus Sign 1"/>
        <cdr:cNvSpPr/>
      </cdr:nvSpPr>
      <cdr:spPr>
        <a:xfrm xmlns:a="http://schemas.openxmlformats.org/drawingml/2006/main">
          <a:off x="2287270" y="1990579"/>
          <a:ext cx="210185" cy="59055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en-GB"/>
        </a:p>
      </cdr:txBody>
    </cdr:sp>
  </cdr:relSizeAnchor>
  <cdr:relSizeAnchor xmlns:cdr="http://schemas.openxmlformats.org/drawingml/2006/chartDrawing">
    <cdr:from>
      <cdr:x>0.72751</cdr:x>
      <cdr:y>0.48677</cdr:y>
    </cdr:from>
    <cdr:to>
      <cdr:x>0.76326</cdr:x>
      <cdr:y>0.50121</cdr:y>
    </cdr:to>
    <cdr:sp macro="" textlink="">
      <cdr:nvSpPr>
        <cdr:cNvPr id="3" name="Minus Sign 2"/>
        <cdr:cNvSpPr/>
      </cdr:nvSpPr>
      <cdr:spPr>
        <a:xfrm xmlns:a="http://schemas.openxmlformats.org/drawingml/2006/main">
          <a:off x="4277848" y="1990579"/>
          <a:ext cx="210185" cy="59055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en-GB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 rahman</dc:creator>
  <cp:keywords/>
  <dc:description/>
  <cp:lastModifiedBy>juma rahman</cp:lastModifiedBy>
  <cp:revision>1</cp:revision>
  <dcterms:created xsi:type="dcterms:W3CDTF">2023-07-12T02:39:00Z</dcterms:created>
  <dcterms:modified xsi:type="dcterms:W3CDTF">2023-07-12T02:40:00Z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bef1290f-683c-41b3-975e-f90b049b120f</vt:lpwstr>
  </property>
</Properties>
</file>