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E43BFF" w14:textId="68C54DF7" w:rsidR="007556D9" w:rsidRDefault="00C94408">
      <w:bookmarkStart w:id="0" w:name="_GoBack"/>
      <w:bookmarkEnd w:id="0"/>
      <w:r>
        <w:rPr>
          <w:noProof/>
          <w:lang w:eastAsia="en-NZ"/>
        </w:rPr>
        <w:drawing>
          <wp:inline distT="0" distB="0" distL="0" distR="0" wp14:anchorId="744CF523" wp14:editId="5052FA22">
            <wp:extent cx="8820150" cy="5461000"/>
            <wp:effectExtent l="0" t="0" r="0" b="635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481D395F-88F4-4557-AE6F-5F63F8C8E4A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7604C8C7" w14:textId="77777777" w:rsidR="00C94408" w:rsidRPr="005429FB" w:rsidRDefault="00C94408" w:rsidP="00C94408">
      <w:pPr>
        <w:pStyle w:val="Caption"/>
        <w:rPr>
          <w:rFonts w:ascii="Times New Roman" w:hAnsi="Times New Roman" w:cs="Times New Roman"/>
          <w:color w:val="auto"/>
          <w:sz w:val="20"/>
          <w:szCs w:val="20"/>
        </w:rPr>
      </w:pPr>
      <w:bookmarkStart w:id="1" w:name="_Ref82433926"/>
      <w:r>
        <w:rPr>
          <w:rFonts w:ascii="Times New Roman" w:hAnsi="Times New Roman" w:cs="Times New Roman"/>
          <w:color w:val="auto"/>
          <w:sz w:val="20"/>
          <w:szCs w:val="20"/>
        </w:rPr>
        <w:t>Appendix</w:t>
      </w:r>
      <w:r w:rsidRPr="005429F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5429FB">
        <w:rPr>
          <w:rFonts w:ascii="Times New Roman" w:hAnsi="Times New Roman" w:cs="Times New Roman"/>
          <w:color w:val="auto"/>
          <w:sz w:val="20"/>
          <w:szCs w:val="20"/>
        </w:rPr>
        <w:fldChar w:fldCharType="begin"/>
      </w:r>
      <w:r w:rsidRPr="005429FB">
        <w:rPr>
          <w:rFonts w:ascii="Times New Roman" w:hAnsi="Times New Roman" w:cs="Times New Roman"/>
          <w:color w:val="auto"/>
          <w:sz w:val="20"/>
          <w:szCs w:val="20"/>
        </w:rPr>
        <w:instrText xml:space="preserve"> SEQ Figure \* ARABIC </w:instrText>
      </w:r>
      <w:r w:rsidRPr="005429FB">
        <w:rPr>
          <w:rFonts w:ascii="Times New Roman" w:hAnsi="Times New Roman" w:cs="Times New Roman"/>
          <w:color w:val="auto"/>
          <w:sz w:val="20"/>
          <w:szCs w:val="20"/>
        </w:rPr>
        <w:fldChar w:fldCharType="separate"/>
      </w:r>
      <w:r>
        <w:rPr>
          <w:rFonts w:ascii="Times New Roman" w:hAnsi="Times New Roman" w:cs="Times New Roman"/>
          <w:noProof/>
          <w:color w:val="auto"/>
          <w:sz w:val="20"/>
          <w:szCs w:val="20"/>
        </w:rPr>
        <w:t>1</w:t>
      </w:r>
      <w:r w:rsidRPr="005429FB">
        <w:rPr>
          <w:rFonts w:ascii="Times New Roman" w:hAnsi="Times New Roman" w:cs="Times New Roman"/>
          <w:color w:val="auto"/>
          <w:sz w:val="20"/>
          <w:szCs w:val="20"/>
        </w:rPr>
        <w:fldChar w:fldCharType="end"/>
      </w:r>
      <w:bookmarkEnd w:id="1"/>
      <w:r w:rsidRPr="005429FB">
        <w:rPr>
          <w:rFonts w:ascii="Times New Roman" w:hAnsi="Times New Roman" w:cs="Times New Roman"/>
          <w:color w:val="auto"/>
          <w:sz w:val="20"/>
          <w:szCs w:val="20"/>
        </w:rPr>
        <w:t xml:space="preserve"> Mean differences of SBP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(mmHg)</w:t>
      </w:r>
      <w:r w:rsidRPr="005429FB">
        <w:rPr>
          <w:rFonts w:ascii="Times New Roman" w:hAnsi="Times New Roman" w:cs="Times New Roman"/>
          <w:color w:val="auto"/>
          <w:sz w:val="20"/>
          <w:szCs w:val="20"/>
        </w:rPr>
        <w:t xml:space="preserve"> adjusted for all variables except 25(OH)D. *Reference group.</w:t>
      </w:r>
    </w:p>
    <w:p w14:paraId="2C488AE2" w14:textId="4C9C97B5" w:rsidR="00C94408" w:rsidRDefault="00C94408">
      <w:r>
        <w:rPr>
          <w:noProof/>
          <w:lang w:eastAsia="en-NZ"/>
        </w:rPr>
        <w:lastRenderedPageBreak/>
        <w:drawing>
          <wp:inline distT="0" distB="0" distL="0" distR="0" wp14:anchorId="2E74C768" wp14:editId="5112B3A7">
            <wp:extent cx="8439150" cy="5549900"/>
            <wp:effectExtent l="0" t="0" r="0" b="1270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4223A040-CC31-4919-B7D1-C7C2C2FD5F9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24D84500" w14:textId="77777777" w:rsidR="00C94408" w:rsidRPr="005429FB" w:rsidRDefault="00C94408" w:rsidP="00C94408">
      <w:pPr>
        <w:pStyle w:val="Caption"/>
        <w:rPr>
          <w:rFonts w:ascii="Times New Roman" w:hAnsi="Times New Roman" w:cs="Times New Roman"/>
          <w:color w:val="auto"/>
          <w:sz w:val="20"/>
          <w:szCs w:val="20"/>
        </w:rPr>
      </w:pPr>
      <w:bookmarkStart w:id="2" w:name="_Ref88595993"/>
      <w:r>
        <w:rPr>
          <w:rFonts w:ascii="Times New Roman" w:hAnsi="Times New Roman" w:cs="Times New Roman"/>
          <w:color w:val="auto"/>
          <w:sz w:val="20"/>
          <w:szCs w:val="20"/>
        </w:rPr>
        <w:lastRenderedPageBreak/>
        <w:t>Appendix</w:t>
      </w:r>
      <w:r w:rsidRPr="005429F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5429FB">
        <w:rPr>
          <w:rFonts w:ascii="Times New Roman" w:hAnsi="Times New Roman" w:cs="Times New Roman"/>
          <w:color w:val="auto"/>
          <w:sz w:val="20"/>
          <w:szCs w:val="20"/>
        </w:rPr>
        <w:fldChar w:fldCharType="begin"/>
      </w:r>
      <w:r w:rsidRPr="005429FB">
        <w:rPr>
          <w:rFonts w:ascii="Times New Roman" w:hAnsi="Times New Roman" w:cs="Times New Roman"/>
          <w:color w:val="auto"/>
          <w:sz w:val="20"/>
          <w:szCs w:val="20"/>
        </w:rPr>
        <w:instrText xml:space="preserve"> SEQ Figure \* ARABIC </w:instrText>
      </w:r>
      <w:r w:rsidRPr="005429FB">
        <w:rPr>
          <w:rFonts w:ascii="Times New Roman" w:hAnsi="Times New Roman" w:cs="Times New Roman"/>
          <w:color w:val="auto"/>
          <w:sz w:val="20"/>
          <w:szCs w:val="20"/>
        </w:rPr>
        <w:fldChar w:fldCharType="separate"/>
      </w:r>
      <w:r>
        <w:rPr>
          <w:rFonts w:ascii="Times New Roman" w:hAnsi="Times New Roman" w:cs="Times New Roman"/>
          <w:noProof/>
          <w:color w:val="auto"/>
          <w:sz w:val="20"/>
          <w:szCs w:val="20"/>
        </w:rPr>
        <w:t>2</w:t>
      </w:r>
      <w:r w:rsidRPr="005429FB">
        <w:rPr>
          <w:rFonts w:ascii="Times New Roman" w:hAnsi="Times New Roman" w:cs="Times New Roman"/>
          <w:color w:val="auto"/>
          <w:sz w:val="20"/>
          <w:szCs w:val="20"/>
        </w:rPr>
        <w:fldChar w:fldCharType="end"/>
      </w:r>
      <w:bookmarkEnd w:id="2"/>
      <w:r w:rsidRPr="005429FB">
        <w:rPr>
          <w:rFonts w:ascii="Times New Roman" w:hAnsi="Times New Roman" w:cs="Times New Roman"/>
          <w:color w:val="auto"/>
          <w:sz w:val="20"/>
          <w:szCs w:val="20"/>
        </w:rPr>
        <w:t xml:space="preserve"> Mean differences </w:t>
      </w:r>
      <w:r w:rsidRPr="00792069">
        <w:rPr>
          <w:rFonts w:ascii="Times New Roman" w:hAnsi="Times New Roman" w:cs="Times New Roman"/>
          <w:color w:val="auto"/>
        </w:rPr>
        <w:t>of SBP</w:t>
      </w:r>
      <w:r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  <w:sz w:val="20"/>
          <w:szCs w:val="20"/>
        </w:rPr>
        <w:t>(mmHg)</w:t>
      </w:r>
      <w:r w:rsidRPr="005429FB">
        <w:rPr>
          <w:rFonts w:ascii="Times New Roman" w:hAnsi="Times New Roman" w:cs="Times New Roman"/>
          <w:color w:val="auto"/>
          <w:sz w:val="20"/>
          <w:szCs w:val="20"/>
        </w:rPr>
        <w:t xml:space="preserve"> adjusted for all variables except sun exposure. *Reference group</w:t>
      </w:r>
    </w:p>
    <w:p w14:paraId="4299E44D" w14:textId="77777777" w:rsidR="00C94408" w:rsidRDefault="00C94408"/>
    <w:sectPr w:rsidR="00C94408" w:rsidSect="00C9440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408"/>
    <w:rsid w:val="00035089"/>
    <w:rsid w:val="00145A65"/>
    <w:rsid w:val="0040078A"/>
    <w:rsid w:val="00427BFA"/>
    <w:rsid w:val="00503B14"/>
    <w:rsid w:val="006106E7"/>
    <w:rsid w:val="007556D9"/>
    <w:rsid w:val="00BD2AE4"/>
    <w:rsid w:val="00C94408"/>
    <w:rsid w:val="00CB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106F7"/>
  <w15:chartTrackingRefBased/>
  <w15:docId w15:val="{200EA608-867B-44B5-9BA8-F1C67F4A2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C94408"/>
    <w:pPr>
      <w:spacing w:after="200" w:line="240" w:lineRule="auto"/>
    </w:pPr>
    <w:rPr>
      <w:i/>
      <w:iCs/>
      <w:color w:val="44546A" w:themeColor="text2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Mean difference of SBP adjusted for all variables except 25(OH)D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Sheet1!$C$1:$C$3</c:f>
              <c:strCache>
                <c:ptCount val="3"/>
                <c:pt idx="0">
                  <c:v>All variables except 25(OH)D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CD0C-4D96-A0DC-B08FA259978F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CD0C-4D96-A0DC-B08FA259978F}"/>
              </c:ext>
            </c:extLst>
          </c:dPt>
          <c:dPt>
            <c:idx val="6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CD0C-4D96-A0DC-B08FA259978F}"/>
              </c:ext>
            </c:extLst>
          </c:dPt>
          <c:dPt>
            <c:idx val="7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CD0C-4D96-A0DC-B08FA259978F}"/>
              </c:ext>
            </c:extLst>
          </c:dPt>
          <c:dPt>
            <c:idx val="10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CD0C-4D96-A0DC-B08FA259978F}"/>
              </c:ext>
            </c:extLst>
          </c:dPt>
          <c:dPt>
            <c:idx val="11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CD0C-4D96-A0DC-B08FA259978F}"/>
              </c:ext>
            </c:extLst>
          </c:dPt>
          <c:dPt>
            <c:idx val="12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CD0C-4D96-A0DC-B08FA259978F}"/>
              </c:ext>
            </c:extLst>
          </c:dPt>
          <c:dPt>
            <c:idx val="14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CD0C-4D96-A0DC-B08FA259978F}"/>
              </c:ext>
            </c:extLst>
          </c:dPt>
          <c:dPt>
            <c:idx val="15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CD0C-4D96-A0DC-B08FA259978F}"/>
              </c:ext>
            </c:extLst>
          </c:dPt>
          <c:dPt>
            <c:idx val="19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CD0C-4D96-A0DC-B08FA259978F}"/>
              </c:ext>
            </c:extLst>
          </c:dPt>
          <c:dPt>
            <c:idx val="20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CD0C-4D96-A0DC-B08FA259978F}"/>
              </c:ext>
            </c:extLst>
          </c:dPt>
          <c:dPt>
            <c:idx val="21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7-CD0C-4D96-A0DC-B08FA259978F}"/>
              </c:ext>
            </c:extLst>
          </c:dPt>
          <c:dPt>
            <c:idx val="22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9-CD0C-4D96-A0DC-B08FA259978F}"/>
              </c:ext>
            </c:extLst>
          </c:dPt>
          <c:dPt>
            <c:idx val="23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B-CD0C-4D96-A0DC-B08FA259978F}"/>
              </c:ext>
            </c:extLst>
          </c:dPt>
          <c:dPt>
            <c:idx val="26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D-CD0C-4D96-A0DC-B08FA259978F}"/>
              </c:ext>
            </c:extLst>
          </c:dPt>
          <c:dPt>
            <c:idx val="28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F-CD0C-4D96-A0DC-B08FA259978F}"/>
              </c:ext>
            </c:extLst>
          </c:dPt>
          <c:dPt>
            <c:idx val="29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1-CD0C-4D96-A0DC-B08FA259978F}"/>
              </c:ext>
            </c:extLst>
          </c:dPt>
          <c:dPt>
            <c:idx val="32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3-CD0C-4D96-A0DC-B08FA259978F}"/>
              </c:ext>
            </c:extLst>
          </c:dPt>
          <c:dPt>
            <c:idx val="33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5-CD0C-4D96-A0DC-B08FA259978F}"/>
              </c:ext>
            </c:extLst>
          </c:dPt>
          <c:dPt>
            <c:idx val="36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7-CD0C-4D96-A0DC-B08FA259978F}"/>
              </c:ext>
            </c:extLst>
          </c:dPt>
          <c:dPt>
            <c:idx val="37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9-CD0C-4D96-A0DC-B08FA259978F}"/>
              </c:ext>
            </c:extLst>
          </c:dPt>
          <c:dPt>
            <c:idx val="38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B-CD0C-4D96-A0DC-B08FA259978F}"/>
              </c:ext>
            </c:extLst>
          </c:dPt>
          <c:dPt>
            <c:idx val="39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D-CD0C-4D96-A0DC-B08FA259978F}"/>
              </c:ext>
            </c:extLst>
          </c:dPt>
          <c:dPt>
            <c:idx val="46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F-CD0C-4D96-A0DC-B08FA259978F}"/>
              </c:ext>
            </c:extLst>
          </c:dPt>
          <c:dPt>
            <c:idx val="47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1-CD0C-4D96-A0DC-B08FA259978F}"/>
              </c:ext>
            </c:extLst>
          </c:dPt>
          <c:dPt>
            <c:idx val="50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3-CD0C-4D96-A0DC-B08FA259978F}"/>
              </c:ext>
            </c:extLst>
          </c:dPt>
          <c:dPt>
            <c:idx val="51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5-CD0C-4D96-A0DC-B08FA259978F}"/>
              </c:ext>
            </c:extLst>
          </c:dPt>
          <c:dPt>
            <c:idx val="52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7-CD0C-4D96-A0DC-B08FA259978F}"/>
              </c:ext>
            </c:extLst>
          </c:dPt>
          <c:cat>
            <c:multiLvlStrRef>
              <c:f>Sheet1!$A$3:$B$55</c:f>
              <c:multiLvlStrCache>
                <c:ptCount val="53"/>
                <c:lvl>
                  <c:pt idx="1">
                    <c:v>   *Male </c:v>
                  </c:pt>
                  <c:pt idx="2">
                    <c:v>   Female</c:v>
                  </c:pt>
                  <c:pt idx="4">
                    <c:v>   *50-59</c:v>
                  </c:pt>
                  <c:pt idx="5">
                    <c:v>   60-69</c:v>
                  </c:pt>
                  <c:pt idx="6">
                    <c:v>   70-79</c:v>
                  </c:pt>
                  <c:pt idx="7">
                    <c:v>   80-84</c:v>
                  </c:pt>
                  <c:pt idx="9">
                    <c:v>   *Euro/others</c:v>
                  </c:pt>
                  <c:pt idx="10">
                    <c:v>   Māori</c:v>
                  </c:pt>
                  <c:pt idx="11">
                    <c:v>   Pacific</c:v>
                  </c:pt>
                  <c:pt idx="12">
                    <c:v>   South Asian</c:v>
                  </c:pt>
                  <c:pt idx="14">
                    <c:v>   Smoker</c:v>
                  </c:pt>
                  <c:pt idx="15">
                    <c:v>   Ex-smoker</c:v>
                  </c:pt>
                  <c:pt idx="16">
                    <c:v>   *Never </c:v>
                  </c:pt>
                  <c:pt idx="18">
                    <c:v>  *0 last month</c:v>
                  </c:pt>
                  <c:pt idx="19">
                    <c:v>   &lt;1 d/week</c:v>
                  </c:pt>
                  <c:pt idx="20">
                    <c:v>   1-2 d/week</c:v>
                  </c:pt>
                  <c:pt idx="21">
                    <c:v>   3-6 d/week</c:v>
                  </c:pt>
                  <c:pt idx="22">
                    <c:v>   1-2 d/day</c:v>
                  </c:pt>
                  <c:pt idx="23">
                    <c:v>   ≥2 d/day</c:v>
                  </c:pt>
                  <c:pt idx="25">
                    <c:v>   *0-7 </c:v>
                  </c:pt>
                  <c:pt idx="26">
                    <c:v>   8-14 </c:v>
                  </c:pt>
                  <c:pt idx="27">
                    <c:v>   15-21 </c:v>
                  </c:pt>
                  <c:pt idx="28">
                    <c:v>   22-28 </c:v>
                  </c:pt>
                  <c:pt idx="29">
                    <c:v>   ≥29 </c:v>
                  </c:pt>
                  <c:pt idx="31">
                    <c:v>   *None</c:v>
                  </c:pt>
                  <c:pt idx="32">
                    <c:v>   1-2 </c:v>
                  </c:pt>
                  <c:pt idx="33">
                    <c:v>   &gt;2 </c:v>
                  </c:pt>
                  <c:pt idx="35">
                    <c:v>   *&lt;7 </c:v>
                  </c:pt>
                  <c:pt idx="36">
                    <c:v>7</c:v>
                  </c:pt>
                  <c:pt idx="37">
                    <c:v>   8-14 </c:v>
                  </c:pt>
                  <c:pt idx="38">
                    <c:v>   15-21 </c:v>
                  </c:pt>
                  <c:pt idx="39">
                    <c:v>   ≥22 </c:v>
                  </c:pt>
                  <c:pt idx="41">
                    <c:v>   High BP and treated</c:v>
                  </c:pt>
                  <c:pt idx="42">
                    <c:v>   High BP not treated</c:v>
                  </c:pt>
                  <c:pt idx="43">
                    <c:v>   *Normal BP</c:v>
                  </c:pt>
                  <c:pt idx="45">
                    <c:v>   *&lt;25</c:v>
                  </c:pt>
                  <c:pt idx="46">
                    <c:v>   25-29</c:v>
                  </c:pt>
                  <c:pt idx="47">
                    <c:v>   ≥30</c:v>
                  </c:pt>
                  <c:pt idx="49">
                    <c:v>   *Summer</c:v>
                  </c:pt>
                  <c:pt idx="50">
                    <c:v>   Autumn</c:v>
                  </c:pt>
                  <c:pt idx="51">
                    <c:v>   Winter</c:v>
                  </c:pt>
                  <c:pt idx="52">
                    <c:v>   Spring</c:v>
                  </c:pt>
                </c:lvl>
                <c:lvl>
                  <c:pt idx="0">
                    <c:v>Sex</c:v>
                  </c:pt>
                  <c:pt idx="3">
                    <c:v>Age</c:v>
                  </c:pt>
                  <c:pt idx="8">
                    <c:v>Ethnicity</c:v>
                  </c:pt>
                  <c:pt idx="13">
                    <c:v>Tobacco smoking</c:v>
                  </c:pt>
                  <c:pt idx="17">
                    <c:v>Alcohol drinking</c:v>
                  </c:pt>
                  <c:pt idx="24">
                    <c:v>TV watching (hrs/wk)</c:v>
                  </c:pt>
                  <c:pt idx="30">
                    <c:v>Physical activity  (hrs/wk)</c:v>
                  </c:pt>
                  <c:pt idx="34">
                    <c:v>Sun exposure  (hrs/wk)</c:v>
                  </c:pt>
                  <c:pt idx="40">
                    <c:v>History of High BP</c:v>
                  </c:pt>
                  <c:pt idx="44">
                    <c:v>BMI (kg/m2)</c:v>
                  </c:pt>
                  <c:pt idx="48">
                    <c:v>Season</c:v>
                  </c:pt>
                </c:lvl>
              </c:multiLvlStrCache>
              <c:extLst/>
            </c:multiLvlStrRef>
          </c:cat>
          <c:val>
            <c:numRef>
              <c:f>Sheet1!$C$3:$C$55</c:f>
              <c:numCache>
                <c:formatCode>General</c:formatCode>
                <c:ptCount val="53"/>
                <c:pt idx="1">
                  <c:v>0</c:v>
                </c:pt>
                <c:pt idx="2">
                  <c:v>0.1</c:v>
                </c:pt>
                <c:pt idx="4">
                  <c:v>0</c:v>
                </c:pt>
                <c:pt idx="5">
                  <c:v>4.5999999999999996</c:v>
                </c:pt>
                <c:pt idx="6">
                  <c:v>9.3000000000000007</c:v>
                </c:pt>
                <c:pt idx="7">
                  <c:v>14.9</c:v>
                </c:pt>
                <c:pt idx="9">
                  <c:v>0</c:v>
                </c:pt>
                <c:pt idx="10">
                  <c:v>2</c:v>
                </c:pt>
                <c:pt idx="11">
                  <c:v>3.4</c:v>
                </c:pt>
                <c:pt idx="12">
                  <c:v>0.5</c:v>
                </c:pt>
                <c:pt idx="14">
                  <c:v>1.2</c:v>
                </c:pt>
                <c:pt idx="15">
                  <c:v>0.1</c:v>
                </c:pt>
                <c:pt idx="16">
                  <c:v>0</c:v>
                </c:pt>
                <c:pt idx="18">
                  <c:v>0</c:v>
                </c:pt>
                <c:pt idx="19">
                  <c:v>0.2</c:v>
                </c:pt>
                <c:pt idx="20">
                  <c:v>-0.2</c:v>
                </c:pt>
                <c:pt idx="21">
                  <c:v>1</c:v>
                </c:pt>
                <c:pt idx="22">
                  <c:v>0.8</c:v>
                </c:pt>
                <c:pt idx="23">
                  <c:v>2.6</c:v>
                </c:pt>
                <c:pt idx="25">
                  <c:v>0</c:v>
                </c:pt>
                <c:pt idx="26">
                  <c:v>0.4</c:v>
                </c:pt>
                <c:pt idx="27">
                  <c:v>0</c:v>
                </c:pt>
                <c:pt idx="28">
                  <c:v>0.1</c:v>
                </c:pt>
                <c:pt idx="29">
                  <c:v>-1.4</c:v>
                </c:pt>
                <c:pt idx="31">
                  <c:v>0</c:v>
                </c:pt>
                <c:pt idx="32">
                  <c:v>-1.5</c:v>
                </c:pt>
                <c:pt idx="33">
                  <c:v>-0.4</c:v>
                </c:pt>
                <c:pt idx="35">
                  <c:v>0</c:v>
                </c:pt>
                <c:pt idx="36">
                  <c:v>1</c:v>
                </c:pt>
                <c:pt idx="37">
                  <c:v>1.4</c:v>
                </c:pt>
                <c:pt idx="38">
                  <c:v>2.4</c:v>
                </c:pt>
                <c:pt idx="39">
                  <c:v>2.9</c:v>
                </c:pt>
                <c:pt idx="41">
                  <c:v>6.6</c:v>
                </c:pt>
                <c:pt idx="42">
                  <c:v>13</c:v>
                </c:pt>
                <c:pt idx="43">
                  <c:v>0</c:v>
                </c:pt>
                <c:pt idx="45">
                  <c:v>0</c:v>
                </c:pt>
                <c:pt idx="46">
                  <c:v>3.8</c:v>
                </c:pt>
                <c:pt idx="47">
                  <c:v>6.4</c:v>
                </c:pt>
                <c:pt idx="49">
                  <c:v>0</c:v>
                </c:pt>
                <c:pt idx="50">
                  <c:v>1.5</c:v>
                </c:pt>
                <c:pt idx="51">
                  <c:v>3.1</c:v>
                </c:pt>
                <c:pt idx="52">
                  <c:v>1.7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38-CD0C-4D96-A0DC-B08FA25997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136922240"/>
        <c:axId val="136923776"/>
      </c:barChart>
      <c:catAx>
        <c:axId val="1369222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6923776"/>
        <c:crosses val="autoZero"/>
        <c:auto val="0"/>
        <c:lblAlgn val="ctr"/>
        <c:lblOffset val="100"/>
        <c:noMultiLvlLbl val="0"/>
      </c:catAx>
      <c:valAx>
        <c:axId val="136923776"/>
        <c:scaling>
          <c:orientation val="minMax"/>
          <c:min val="-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Mean Difference (mmHg)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692224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400" b="1" i="0" u="none" strike="noStrike" kern="1200" cap="none" spc="2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400" b="1">
                <a:latin typeface="Times New Roman" panose="02020603050405020304" pitchFamily="18" charset="0"/>
                <a:cs typeface="Times New Roman" panose="02020603050405020304" pitchFamily="18" charset="0"/>
              </a:rPr>
              <a:t>Mean difference of SBP adjusted for all variables except sun exposure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400" b="1" i="0" u="none" strike="noStrike" kern="1200" cap="none" spc="2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6.0304770030157058E-2"/>
          <c:y val="7.307826685598727E-2"/>
          <c:w val="0.92291178613959934"/>
          <c:h val="0.653234198184243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Sheet2!$C$1</c:f>
              <c:strCache>
                <c:ptCount val="1"/>
                <c:pt idx="0">
                  <c:v>All variables except Sun exposure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Pt>
            <c:idx val="5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E2B3-4946-957E-F39CB31DEE1C}"/>
              </c:ext>
            </c:extLst>
          </c:dPt>
          <c:dPt>
            <c:idx val="6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E2B3-4946-957E-F39CB31DEE1C}"/>
              </c:ext>
            </c:extLst>
          </c:dPt>
          <c:dPt>
            <c:idx val="7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2-E2B3-4946-957E-F39CB31DEE1C}"/>
              </c:ext>
            </c:extLst>
          </c:dPt>
          <c:dPt>
            <c:idx val="10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E2B3-4946-957E-F39CB31DEE1C}"/>
              </c:ext>
            </c:extLst>
          </c:dPt>
          <c:dPt>
            <c:idx val="11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E2B3-4946-957E-F39CB31DEE1C}"/>
              </c:ext>
            </c:extLst>
          </c:dPt>
          <c:dPt>
            <c:idx val="12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8-E2B3-4946-957E-F39CB31DEE1C}"/>
              </c:ext>
            </c:extLst>
          </c:dPt>
          <c:dPt>
            <c:idx val="14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A-E2B3-4946-957E-F39CB31DEE1C}"/>
              </c:ext>
            </c:extLst>
          </c:dPt>
          <c:dPt>
            <c:idx val="19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C-E2B3-4946-957E-F39CB31DEE1C}"/>
              </c:ext>
            </c:extLst>
          </c:dPt>
          <c:dPt>
            <c:idx val="21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E-E2B3-4946-957E-F39CB31DEE1C}"/>
              </c:ext>
            </c:extLst>
          </c:dPt>
          <c:dPt>
            <c:idx val="22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0-E2B3-4946-957E-F39CB31DEE1C}"/>
              </c:ext>
            </c:extLst>
          </c:dPt>
          <c:dPt>
            <c:idx val="23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2-E2B3-4946-957E-F39CB31DEE1C}"/>
              </c:ext>
            </c:extLst>
          </c:dPt>
          <c:dPt>
            <c:idx val="26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4-E2B3-4946-957E-F39CB31DEE1C}"/>
              </c:ext>
            </c:extLst>
          </c:dPt>
          <c:dPt>
            <c:idx val="27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6-E2B3-4946-957E-F39CB31DEE1C}"/>
              </c:ext>
            </c:extLst>
          </c:dPt>
          <c:dPt>
            <c:idx val="28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8-E2B3-4946-957E-F39CB31DEE1C}"/>
              </c:ext>
            </c:extLst>
          </c:dPt>
          <c:dPt>
            <c:idx val="29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A-E2B3-4946-957E-F39CB31DEE1C}"/>
              </c:ext>
            </c:extLst>
          </c:dPt>
          <c:dPt>
            <c:idx val="32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C-E2B3-4946-957E-F39CB31DEE1C}"/>
              </c:ext>
            </c:extLst>
          </c:dPt>
          <c:dPt>
            <c:idx val="33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E-E2B3-4946-957E-F39CB31DEE1C}"/>
              </c:ext>
            </c:extLst>
          </c:dPt>
          <c:dPt>
            <c:idx val="35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0-E2B3-4946-957E-F39CB31DEE1C}"/>
              </c:ext>
            </c:extLst>
          </c:dPt>
          <c:dPt>
            <c:idx val="36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2-E2B3-4946-957E-F39CB31DEE1C}"/>
              </c:ext>
            </c:extLst>
          </c:dPt>
          <c:dPt>
            <c:idx val="37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4-E2B3-4946-957E-F39CB31DEE1C}"/>
              </c:ext>
            </c:extLst>
          </c:dPt>
          <c:dPt>
            <c:idx val="40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6-E2B3-4946-957E-F39CB31DEE1C}"/>
              </c:ext>
            </c:extLst>
          </c:dPt>
          <c:dPt>
            <c:idx val="41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8-E2B3-4946-957E-F39CB31DEE1C}"/>
              </c:ext>
            </c:extLst>
          </c:dPt>
          <c:dPt>
            <c:idx val="45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A-E2B3-4946-957E-F39CB31DEE1C}"/>
              </c:ext>
            </c:extLst>
          </c:dPt>
          <c:dPt>
            <c:idx val="46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C-E2B3-4946-957E-F39CB31DEE1C}"/>
              </c:ext>
            </c:extLst>
          </c:dPt>
          <c:dPt>
            <c:idx val="49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E-E2B3-4946-957E-F39CB31DEE1C}"/>
              </c:ext>
            </c:extLst>
          </c:dPt>
          <c:dPt>
            <c:idx val="50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0-E2B3-4946-957E-F39CB31DEE1C}"/>
              </c:ext>
            </c:extLst>
          </c:dPt>
          <c:dPt>
            <c:idx val="51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2-E2B3-4946-957E-F39CB31DEE1C}"/>
              </c:ext>
            </c:extLst>
          </c:dPt>
          <c:cat>
            <c:multiLvlStrRef>
              <c:f>Sheet2!$A$2:$B$54</c:f>
              <c:multiLvlStrCache>
                <c:ptCount val="52"/>
                <c:lvl>
                  <c:pt idx="1">
                    <c:v>   *Male </c:v>
                  </c:pt>
                  <c:pt idx="2">
                    <c:v>   Female</c:v>
                  </c:pt>
                  <c:pt idx="4">
                    <c:v>   *50-59</c:v>
                  </c:pt>
                  <c:pt idx="5">
                    <c:v>   60-69</c:v>
                  </c:pt>
                  <c:pt idx="6">
                    <c:v>   70-79</c:v>
                  </c:pt>
                  <c:pt idx="7">
                    <c:v>   80-84</c:v>
                  </c:pt>
                  <c:pt idx="9">
                    <c:v>   *Euro/others</c:v>
                  </c:pt>
                  <c:pt idx="10">
                    <c:v>   Māori</c:v>
                  </c:pt>
                  <c:pt idx="11">
                    <c:v>   Pacific</c:v>
                  </c:pt>
                  <c:pt idx="12">
                    <c:v>   South Asian</c:v>
                  </c:pt>
                  <c:pt idx="14">
                    <c:v>   Smoker</c:v>
                  </c:pt>
                  <c:pt idx="15">
                    <c:v>   Ex-smoker</c:v>
                  </c:pt>
                  <c:pt idx="16">
                    <c:v>   *Never </c:v>
                  </c:pt>
                  <c:pt idx="18">
                    <c:v>   *0 last month</c:v>
                  </c:pt>
                  <c:pt idx="19">
                    <c:v>   &lt;1 d/week</c:v>
                  </c:pt>
                  <c:pt idx="20">
                    <c:v>   1-2 d/week</c:v>
                  </c:pt>
                  <c:pt idx="21">
                    <c:v>   3-6 d/week</c:v>
                  </c:pt>
                  <c:pt idx="22">
                    <c:v>   1-2 d/day</c:v>
                  </c:pt>
                  <c:pt idx="23">
                    <c:v>   ≥2 d/day</c:v>
                  </c:pt>
                  <c:pt idx="25">
                    <c:v>   *0-7 </c:v>
                  </c:pt>
                  <c:pt idx="26">
                    <c:v>   8-14 </c:v>
                  </c:pt>
                  <c:pt idx="27">
                    <c:v>   15-21 </c:v>
                  </c:pt>
                  <c:pt idx="28">
                    <c:v>   22-28 </c:v>
                  </c:pt>
                  <c:pt idx="29">
                    <c:v>   ≥29 </c:v>
                  </c:pt>
                  <c:pt idx="31">
                    <c:v>   *None</c:v>
                  </c:pt>
                  <c:pt idx="32">
                    <c:v>   1-2 hours</c:v>
                  </c:pt>
                  <c:pt idx="33">
                    <c:v>   &gt;2 hours</c:v>
                  </c:pt>
                  <c:pt idx="35">
                    <c:v>   ≤25 </c:v>
                  </c:pt>
                  <c:pt idx="36">
                    <c:v>   25-49 </c:v>
                  </c:pt>
                  <c:pt idx="37">
                    <c:v>   50-74 </c:v>
                  </c:pt>
                  <c:pt idx="38">
                    <c:v>   *≥75 </c:v>
                  </c:pt>
                  <c:pt idx="40">
                    <c:v>   High BP and treated</c:v>
                  </c:pt>
                  <c:pt idx="41">
                    <c:v>   High BP not treated</c:v>
                  </c:pt>
                  <c:pt idx="42">
                    <c:v>   *Normal BP</c:v>
                  </c:pt>
                  <c:pt idx="44">
                    <c:v>   *&lt;25</c:v>
                  </c:pt>
                  <c:pt idx="45">
                    <c:v>   25-29</c:v>
                  </c:pt>
                  <c:pt idx="46">
                    <c:v>   ≥30</c:v>
                  </c:pt>
                  <c:pt idx="48">
                    <c:v>   *Summer</c:v>
                  </c:pt>
                  <c:pt idx="49">
                    <c:v>   Autumn</c:v>
                  </c:pt>
                  <c:pt idx="50">
                    <c:v>   Winter</c:v>
                  </c:pt>
                  <c:pt idx="51">
                    <c:v>   Spring</c:v>
                  </c:pt>
                </c:lvl>
                <c:lvl>
                  <c:pt idx="0">
                    <c:v>Sex</c:v>
                  </c:pt>
                  <c:pt idx="3">
                    <c:v>Age</c:v>
                  </c:pt>
                  <c:pt idx="8">
                    <c:v>Ethnicity</c:v>
                  </c:pt>
                  <c:pt idx="13">
                    <c:v>Tobacco smoking</c:v>
                  </c:pt>
                  <c:pt idx="17">
                    <c:v>Alcohol drinking</c:v>
                  </c:pt>
                  <c:pt idx="24">
                    <c:v>TV watching (hrs/wk)</c:v>
                  </c:pt>
                  <c:pt idx="30">
                    <c:v>Vigorous activity (hrs/wk)</c:v>
                  </c:pt>
                  <c:pt idx="34">
                    <c:v>25(OH)D (nmol/L)</c:v>
                  </c:pt>
                  <c:pt idx="39">
                    <c:v>History of high BP</c:v>
                  </c:pt>
                  <c:pt idx="43">
                    <c:v>BMI (kg/m2)</c:v>
                  </c:pt>
                  <c:pt idx="47">
                    <c:v>Season</c:v>
                  </c:pt>
                </c:lvl>
              </c:multiLvlStrCache>
            </c:multiLvlStrRef>
          </c:cat>
          <c:val>
            <c:numRef>
              <c:f>Sheet2!$C$2:$C$54</c:f>
              <c:numCache>
                <c:formatCode>General</c:formatCode>
                <c:ptCount val="53"/>
                <c:pt idx="1">
                  <c:v>0</c:v>
                </c:pt>
                <c:pt idx="2">
                  <c:v>-0.1</c:v>
                </c:pt>
                <c:pt idx="4">
                  <c:v>0</c:v>
                </c:pt>
                <c:pt idx="5">
                  <c:v>4.5999999999999996</c:v>
                </c:pt>
                <c:pt idx="6">
                  <c:v>9.3000000000000007</c:v>
                </c:pt>
                <c:pt idx="7">
                  <c:v>14.9</c:v>
                </c:pt>
                <c:pt idx="9">
                  <c:v>0</c:v>
                </c:pt>
                <c:pt idx="10">
                  <c:v>2.4</c:v>
                </c:pt>
                <c:pt idx="11">
                  <c:v>3.7</c:v>
                </c:pt>
                <c:pt idx="12">
                  <c:v>0.7</c:v>
                </c:pt>
                <c:pt idx="14">
                  <c:v>1.3</c:v>
                </c:pt>
                <c:pt idx="15">
                  <c:v>0</c:v>
                </c:pt>
                <c:pt idx="16">
                  <c:v>0</c:v>
                </c:pt>
                <c:pt idx="18">
                  <c:v>0</c:v>
                </c:pt>
                <c:pt idx="19">
                  <c:v>0.1</c:v>
                </c:pt>
                <c:pt idx="20">
                  <c:v>-0.1</c:v>
                </c:pt>
                <c:pt idx="21">
                  <c:v>1</c:v>
                </c:pt>
                <c:pt idx="22">
                  <c:v>0.9</c:v>
                </c:pt>
                <c:pt idx="23">
                  <c:v>2.7</c:v>
                </c:pt>
                <c:pt idx="25">
                  <c:v>0</c:v>
                </c:pt>
                <c:pt idx="26">
                  <c:v>0.4</c:v>
                </c:pt>
                <c:pt idx="27">
                  <c:v>0.1</c:v>
                </c:pt>
                <c:pt idx="28">
                  <c:v>0.2</c:v>
                </c:pt>
                <c:pt idx="29">
                  <c:v>-1.4</c:v>
                </c:pt>
                <c:pt idx="31">
                  <c:v>0</c:v>
                </c:pt>
                <c:pt idx="32">
                  <c:v>-1.5</c:v>
                </c:pt>
                <c:pt idx="33">
                  <c:v>-0.2</c:v>
                </c:pt>
                <c:pt idx="35">
                  <c:v>-1</c:v>
                </c:pt>
                <c:pt idx="36">
                  <c:v>-0.8</c:v>
                </c:pt>
                <c:pt idx="37">
                  <c:v>0.3</c:v>
                </c:pt>
                <c:pt idx="38">
                  <c:v>0</c:v>
                </c:pt>
                <c:pt idx="40">
                  <c:v>6.6</c:v>
                </c:pt>
                <c:pt idx="41">
                  <c:v>12.9</c:v>
                </c:pt>
                <c:pt idx="42">
                  <c:v>0</c:v>
                </c:pt>
                <c:pt idx="44">
                  <c:v>0</c:v>
                </c:pt>
                <c:pt idx="45">
                  <c:v>3.7</c:v>
                </c:pt>
                <c:pt idx="46">
                  <c:v>6.3</c:v>
                </c:pt>
                <c:pt idx="48">
                  <c:v>0</c:v>
                </c:pt>
                <c:pt idx="49">
                  <c:v>1.4</c:v>
                </c:pt>
                <c:pt idx="50">
                  <c:v>3</c:v>
                </c:pt>
                <c:pt idx="51">
                  <c:v>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3-E2B3-4946-957E-F39CB31DEE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144366976"/>
        <c:axId val="144368768"/>
      </c:barChart>
      <c:catAx>
        <c:axId val="144366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4368768"/>
        <c:crosses val="autoZero"/>
        <c:auto val="0"/>
        <c:lblAlgn val="ctr"/>
        <c:lblOffset val="100"/>
        <c:noMultiLvlLbl val="0"/>
      </c:catAx>
      <c:valAx>
        <c:axId val="144368768"/>
        <c:scaling>
          <c:orientation val="minMax"/>
          <c:min val="-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en-US"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Mean difference</a:t>
                </a:r>
                <a:r>
                  <a:rPr lang="en-GB" baseline="0"/>
                  <a:t> (mmHg)</a:t>
                </a:r>
                <a:endParaRPr lang="en-GB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lang="en-US"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436697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prstDash val="solid"/>
      <a:round/>
    </a:ln>
    <a:effectLst/>
  </c:spPr>
  <c:txPr>
    <a:bodyPr/>
    <a:lstStyle/>
    <a:p>
      <a:pPr algn="ctr">
        <a:defRPr lang="en-US" sz="1000" b="0" i="0" u="none" strike="noStrike" kern="1200" baseline="0">
          <a:solidFill>
            <a:sysClr val="windowText" lastClr="000000"/>
          </a:solidFill>
          <a:latin typeface="+mn-lt"/>
          <a:ea typeface="+mn-ea"/>
          <a:cs typeface="+mn-cs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2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juma rahman</dc:creator>
  <cp:keywords/>
  <dc:description/>
  <cp:lastModifiedBy>Juma Rahman (CMDHB)</cp:lastModifiedBy>
  <cp:revision>2</cp:revision>
  <dcterms:created xsi:type="dcterms:W3CDTF">2023-08-06T23:48:00Z</dcterms:created>
  <dcterms:modified xsi:type="dcterms:W3CDTF">2023-08-06T23:48:00Z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039b9b5f-d992-431f-a842-917ad4dd3afb</vt:lpwstr>
  </property>
</Properties>
</file>