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A50C34" w14:textId="77777777" w:rsidR="006F613A" w:rsidRPr="00FA0889" w:rsidRDefault="006F613A" w:rsidP="006F613A">
      <w:pPr>
        <w:spacing w:line="480" w:lineRule="auto"/>
        <w:rPr>
          <w:rFonts w:ascii="Arial" w:hAnsi="Arial" w:cs="Arial"/>
          <w:b/>
          <w:bCs/>
          <w:sz w:val="20"/>
          <w:szCs w:val="20"/>
          <w:lang w:val="en-US"/>
        </w:rPr>
      </w:pPr>
      <w:r w:rsidRPr="00FA0889">
        <w:rPr>
          <w:rFonts w:ascii="Arial" w:hAnsi="Arial" w:cs="Arial"/>
          <w:b/>
          <w:bCs/>
          <w:sz w:val="20"/>
          <w:szCs w:val="20"/>
          <w:lang w:val="en-US"/>
        </w:rPr>
        <w:t>Supplementary figures and tables</w:t>
      </w:r>
    </w:p>
    <w:p w14:paraId="7FD2023A" w14:textId="77777777" w:rsidR="006F613A" w:rsidRPr="00FA0889" w:rsidRDefault="006F613A" w:rsidP="006F613A">
      <w:pPr>
        <w:spacing w:line="480" w:lineRule="auto"/>
        <w:rPr>
          <w:rFonts w:ascii="Arial" w:hAnsi="Arial" w:cs="Arial"/>
          <w:sz w:val="20"/>
          <w:szCs w:val="20"/>
          <w:lang w:val="en-US"/>
        </w:rPr>
      </w:pPr>
      <w:r w:rsidRPr="00FA0889">
        <w:rPr>
          <w:rFonts w:ascii="Arial" w:hAnsi="Arial" w:cs="Arial"/>
          <w:b/>
          <w:bCs/>
          <w:sz w:val="20"/>
          <w:szCs w:val="20"/>
          <w:lang w:val="en-US"/>
        </w:rPr>
        <w:t>Table S1.</w:t>
      </w:r>
      <w:r w:rsidRPr="00FA0889">
        <w:rPr>
          <w:rFonts w:ascii="Arial" w:hAnsi="Arial" w:cs="Arial"/>
          <w:sz w:val="20"/>
          <w:szCs w:val="20"/>
          <w:lang w:val="en-US"/>
        </w:rPr>
        <w:t xml:space="preserve"> Pathological classification and number of spectral fingerprint measurements for each tumor type (WHO: World Health Organization; MNI: Montreal Neurological Institute-Hospital; MSH: Mount Sinai Hospital). Numbers in parentheses represent the samples that remain after applying a spectral quality factor cutoff.</w:t>
      </w:r>
    </w:p>
    <w:p w14:paraId="36AC5505" w14:textId="77777777" w:rsidR="006F613A" w:rsidRPr="00FA0889" w:rsidRDefault="006F613A" w:rsidP="006F613A">
      <w:pPr>
        <w:spacing w:line="480" w:lineRule="auto"/>
        <w:rPr>
          <w:rFonts w:ascii="Arial" w:hAnsi="Arial" w:cs="Arial"/>
          <w:sz w:val="20"/>
          <w:szCs w:val="20"/>
          <w:lang w:val="en-US"/>
        </w:rPr>
      </w:pPr>
      <w:r w:rsidRPr="00FA0889">
        <w:rPr>
          <w:rFonts w:ascii="Arial" w:hAnsi="Arial" w:cs="Arial"/>
          <w:noProof/>
          <w:sz w:val="20"/>
          <w:szCs w:val="20"/>
          <w:lang w:val="en-US"/>
        </w:rPr>
        <w:drawing>
          <wp:inline distT="0" distB="0" distL="0" distR="0" wp14:anchorId="71DD4264" wp14:editId="5048F51B">
            <wp:extent cx="5943600" cy="2411095"/>
            <wp:effectExtent l="0" t="0" r="0" b="190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4"/>
                    <a:stretch>
                      <a:fillRect/>
                    </a:stretch>
                  </pic:blipFill>
                  <pic:spPr>
                    <a:xfrm>
                      <a:off x="0" y="0"/>
                      <a:ext cx="5943600" cy="2411095"/>
                    </a:xfrm>
                    <a:prstGeom prst="rect">
                      <a:avLst/>
                    </a:prstGeom>
                  </pic:spPr>
                </pic:pic>
              </a:graphicData>
            </a:graphic>
          </wp:inline>
        </w:drawing>
      </w:r>
    </w:p>
    <w:p w14:paraId="0C4674AA" w14:textId="77777777" w:rsidR="006F613A" w:rsidRPr="00FA0889" w:rsidRDefault="006F613A" w:rsidP="006F613A">
      <w:pPr>
        <w:spacing w:line="480" w:lineRule="auto"/>
        <w:rPr>
          <w:rFonts w:ascii="Arial" w:hAnsi="Arial" w:cs="Arial"/>
          <w:b/>
          <w:bCs/>
          <w:sz w:val="20"/>
          <w:szCs w:val="20"/>
          <w:lang w:val="en-US"/>
        </w:rPr>
      </w:pPr>
      <w:r w:rsidRPr="00FA0889">
        <w:rPr>
          <w:rFonts w:ascii="Arial" w:hAnsi="Arial" w:cs="Arial"/>
          <w:b/>
          <w:bCs/>
          <w:sz w:val="20"/>
          <w:szCs w:val="20"/>
          <w:lang w:val="en-US"/>
        </w:rPr>
        <w:t xml:space="preserve">Table S2. </w:t>
      </w:r>
      <w:r w:rsidRPr="00FA0889">
        <w:rPr>
          <w:rFonts w:ascii="Arial" w:hAnsi="Arial" w:cs="Arial"/>
          <w:sz w:val="20"/>
          <w:szCs w:val="20"/>
          <w:lang w:val="en-US"/>
        </w:rPr>
        <w:t>Summary of clinical characteristics of the cohorts from the Montreal Neurological Institute- Hospital (MNI-H) and Mount Sinai Hospital (MSH).</w:t>
      </w:r>
    </w:p>
    <w:p w14:paraId="05F65B0E" w14:textId="77777777" w:rsidR="006F613A" w:rsidRPr="00FA0889" w:rsidRDefault="006F613A" w:rsidP="006F613A">
      <w:pPr>
        <w:spacing w:line="480" w:lineRule="auto"/>
        <w:jc w:val="center"/>
        <w:rPr>
          <w:rFonts w:ascii="Arial" w:hAnsi="Arial" w:cs="Arial"/>
          <w:b/>
          <w:bCs/>
          <w:sz w:val="20"/>
          <w:szCs w:val="20"/>
          <w:lang w:val="en-US"/>
        </w:rPr>
      </w:pPr>
      <w:r w:rsidRPr="00FA0889">
        <w:rPr>
          <w:rFonts w:ascii="Arial" w:hAnsi="Arial" w:cs="Arial"/>
          <w:b/>
          <w:bCs/>
          <w:noProof/>
          <w:sz w:val="20"/>
          <w:szCs w:val="20"/>
          <w:lang w:val="en-US"/>
        </w:rPr>
        <w:drawing>
          <wp:inline distT="0" distB="0" distL="0" distR="0" wp14:anchorId="19EFF38A" wp14:editId="255EA9BC">
            <wp:extent cx="2400300" cy="2581227"/>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5"/>
                    <a:stretch>
                      <a:fillRect/>
                    </a:stretch>
                  </pic:blipFill>
                  <pic:spPr>
                    <a:xfrm>
                      <a:off x="0" y="0"/>
                      <a:ext cx="2400300" cy="2581227"/>
                    </a:xfrm>
                    <a:prstGeom prst="rect">
                      <a:avLst/>
                    </a:prstGeom>
                  </pic:spPr>
                </pic:pic>
              </a:graphicData>
            </a:graphic>
          </wp:inline>
        </w:drawing>
      </w:r>
    </w:p>
    <w:p w14:paraId="570FCB87" w14:textId="77777777" w:rsidR="006F613A" w:rsidRPr="00FA0889" w:rsidRDefault="006F613A" w:rsidP="006F613A">
      <w:pPr>
        <w:spacing w:line="480" w:lineRule="auto"/>
        <w:rPr>
          <w:rFonts w:ascii="Arial" w:hAnsi="Arial" w:cs="Arial"/>
          <w:b/>
          <w:bCs/>
          <w:sz w:val="20"/>
          <w:szCs w:val="20"/>
          <w:lang w:val="en-US"/>
        </w:rPr>
      </w:pPr>
    </w:p>
    <w:p w14:paraId="13FFD0AA" w14:textId="77777777" w:rsidR="006F613A" w:rsidRPr="00FA0889" w:rsidRDefault="006F613A" w:rsidP="006F613A">
      <w:pPr>
        <w:spacing w:line="480" w:lineRule="auto"/>
        <w:rPr>
          <w:rFonts w:ascii="Arial" w:hAnsi="Arial" w:cs="Arial"/>
          <w:b/>
          <w:bCs/>
          <w:sz w:val="20"/>
          <w:szCs w:val="20"/>
          <w:lang w:val="en-US"/>
        </w:rPr>
      </w:pPr>
    </w:p>
    <w:p w14:paraId="57F4BC55" w14:textId="77777777" w:rsidR="006F613A" w:rsidRPr="00FA0889" w:rsidRDefault="006F613A" w:rsidP="006F613A">
      <w:pPr>
        <w:snapToGrid w:val="0"/>
        <w:spacing w:before="120" w:line="480" w:lineRule="auto"/>
        <w:contextualSpacing/>
        <w:rPr>
          <w:rFonts w:ascii="Arial" w:hAnsi="Arial" w:cs="Arial"/>
          <w:sz w:val="20"/>
          <w:szCs w:val="20"/>
        </w:rPr>
      </w:pPr>
      <w:r w:rsidRPr="00FA0889">
        <w:rPr>
          <w:rFonts w:ascii="Arial" w:hAnsi="Arial" w:cs="Arial"/>
          <w:b/>
          <w:bCs/>
          <w:sz w:val="20"/>
          <w:szCs w:val="20"/>
          <w:lang w:val="en-US"/>
        </w:rPr>
        <w:t>Table S3.</w:t>
      </w:r>
      <w:r w:rsidRPr="00FA0889">
        <w:rPr>
          <w:rFonts w:ascii="Arial" w:hAnsi="Arial" w:cs="Arial"/>
          <w:sz w:val="20"/>
          <w:szCs w:val="20"/>
          <w:lang w:val="en-US"/>
        </w:rPr>
        <w:t xml:space="preserve"> </w:t>
      </w:r>
      <w:r w:rsidRPr="00FA0889">
        <w:rPr>
          <w:rFonts w:ascii="Arial" w:hAnsi="Arial" w:cs="Arial"/>
          <w:sz w:val="20"/>
          <w:szCs w:val="20"/>
        </w:rPr>
        <w:t>Assignment of Raman-active biomolecular vibrational modes from literature. The features (peak center) assigned to “lipid” are in comparison to spectral fingerprints from purified brain lipids</w:t>
      </w:r>
      <w:r w:rsidRPr="00FA0889">
        <w:rPr>
          <w:rFonts w:ascii="Arial" w:hAnsi="Arial" w:cs="Arial"/>
          <w:sz w:val="20"/>
          <w:szCs w:val="20"/>
        </w:rPr>
        <w:fldChar w:fldCharType="begin"/>
      </w:r>
      <w:r w:rsidRPr="00FA0889">
        <w:rPr>
          <w:rFonts w:ascii="Arial" w:hAnsi="Arial" w:cs="Arial"/>
          <w:sz w:val="20"/>
          <w:szCs w:val="20"/>
        </w:rPr>
        <w:instrText xml:space="preserve"> ADDIN ZOTERO_ITEM CSL_CITATION {"citationID":"GDDt2jjo","properties":{"formattedCitation":"\\super 28\\nosupersub{}","plainCitation":"28","noteIndex":0},"citationItems":[{"id":271,"uris":["http://zotero.org/users/local/PNEHDy2Z/items/FK6BTYSC"],"itemData":{"id":271,"type":"chapter","abstract":"Abstract:\nAs lipids account for about half of the brain tissue dry weight, it is not surprising that lipid biochemistry, neurochemistry, membrane structure and function have evolved together with our knowledge of brain function, including studies on ageing. The lipids in the brain are both a structural component of cell membranes and act as regulators. The amount of lipids in the brain varies spatially, from one region to another, and temporally, with age. The main lipids in the brain are phospholipids, of which phosphatidyl-ethanolamines (including plasmalogens) are the most abundant and are most affected by age. They are followed by phosphatidyl-choline, phosphatidyl-serine and phospho-inositides. Although these last two are the least abundant, they are important in signal transduction. The phosphatidyl-glycerols, mainly cardiolipins, are present in mitochondrial membranes. Sphingolipids (sphingomyelin, cerebrosides, sulfatides) are mainly found in myelin, while others, like gangliosides, are found in all structures. Ceramides could be involved in apoptose during brain ageing. Lastly, there are very few triglycerides in the brain. Lipids containing long chain fatty acids (and their derivatives) and some essential fatty acids, like ALA, LA and DHA should be part of the diet. Therefore, diet is a key environmental factor that influences the structure and function of the nervous system - and consequently ageing. The fatty acid profile changes with age and each phospholipid in a given tissue (central or peripheral nervous system, retina, white or grey matter), cell, and organelle has a characteristic fatty acid composition. This is particularly so for myelin, which has typically very long chains of saturated, mono-unsaturated and alpha-hydroxylated fatty acids, and nerve-endings (synaptosomes, highly polyunsaturated). The brain has a very high content of omega-3 polyunsaturated fatty acids and these fats are involved in several neuropsychiatric diseases (depression, Alzheimer’s disease) and in the cognitive decline that occurs with age. There is growing evidence from observational, epidemiological, biological and biochemical studies that omega-3 polyunsaturated fatty acids can protect the brain against ageing and dementia. They may act by protecting neurones, and/or have anti-amyloid, anti-oxidant, anti-inflammatory and antiatherogenic properties. As docosahexaenoic acid (DHA) is a primary component of membrane phospholipids in the brain, an adequate omega-3 polyunsaturated fatty acid status is needed to maintain membrane integrity and neurone function; it may also protect against disease. Most reliable studies have been performed on animals, as the composition of human tissues, including brain lipid and fatty acid composition, may change post-mortem, due to cause of death, duration of any disease, delay before analysis, or temperature.","container-title":"Food for the Ageing Population","ISBN":"978-1-84569-193-6","note":"DOI: 10.1533/9781845695484.2.219","page":"219-251","publisher":"Woodhead Publishing","title":"12 - Brain lipids and ageing","URL":"https://www.sciencedirect.com/science/article/pii/B9781845691936500129","author":[{"family":"Bourre","given":"J.M."}],"editor":[{"family":"Raats","given":"Monique"},{"family":"Groot","given":"Lisette","non-dropping-particle":"de"},{"family":"Staveren","given":"Wija","non-dropping-particle":"van"}],"issued":{"date-parts":[["2009",1,1]]}}}],"schema":"https://github.com/citation-style-language/schema/raw/master/csl-citation.json"} </w:instrText>
      </w:r>
      <w:r w:rsidRPr="00FA0889">
        <w:rPr>
          <w:rFonts w:ascii="Arial" w:hAnsi="Arial" w:cs="Arial"/>
          <w:sz w:val="20"/>
          <w:szCs w:val="20"/>
        </w:rPr>
        <w:fldChar w:fldCharType="separate"/>
      </w:r>
      <w:r w:rsidRPr="00FA0889">
        <w:rPr>
          <w:rFonts w:ascii="Arial" w:hAnsi="Arial" w:cs="Arial"/>
          <w:sz w:val="20"/>
          <w:szCs w:val="24"/>
          <w:vertAlign w:val="superscript"/>
        </w:rPr>
        <w:t>28</w:t>
      </w:r>
      <w:r w:rsidRPr="00FA0889">
        <w:rPr>
          <w:rFonts w:ascii="Arial" w:hAnsi="Arial" w:cs="Arial"/>
          <w:sz w:val="20"/>
          <w:szCs w:val="20"/>
        </w:rPr>
        <w:fldChar w:fldCharType="end"/>
      </w:r>
      <w:r w:rsidRPr="00FA0889">
        <w:rPr>
          <w:rFonts w:ascii="Arial" w:hAnsi="Arial" w:cs="Arial"/>
          <w:sz w:val="20"/>
          <w:szCs w:val="20"/>
        </w:rPr>
        <w:t xml:space="preserve"> including phosphatidylethanolamine, phosphatidylcholine and sphingomyelin.</w:t>
      </w:r>
      <w:r w:rsidRPr="00FA0889">
        <w:rPr>
          <w:rFonts w:ascii="Arial" w:hAnsi="Arial" w:cs="Arial"/>
          <w:sz w:val="20"/>
          <w:szCs w:val="20"/>
        </w:rPr>
        <w:fldChar w:fldCharType="begin"/>
      </w:r>
      <w:r w:rsidRPr="00FA0889">
        <w:rPr>
          <w:rFonts w:ascii="Arial" w:hAnsi="Arial" w:cs="Arial"/>
          <w:sz w:val="20"/>
          <w:szCs w:val="20"/>
        </w:rPr>
        <w:instrText xml:space="preserve"> ADDIN ZOTERO_ITEM CSL_CITATION {"citationID":"IAgapLqJ","properties":{"formattedCitation":"\\super 13\\nosupersub{}","plainCitation":"13","noteIndex":0},"citationItems":[{"id":228,"uris":["http://zotero.org/users/local/PNEHDy2Z/items/RHBD3NJV"],"itemData":{"id":228,"type":"article-journal","abstract":"Raman spectra of 35 lipids are presented and analyzed in this work. Selected compounds, i.e. saturated/unsaturated fatty acids, triacylglycerols, cholesterol, cholesteryl esters and phospholipids, were chosen to review key lipids involved in cardiovascular disease development. Differences in Raman signatures both between diverse groups of lipids as well as various members of the same family are investigated in detail in order to elucidate marker features enabling detection and discrimination of lipids in complex samples, particularly of biological origin. This work complements our previous review on important biomolecules, i.e. proteins, and presents a comprehensive database of Raman spectra of naturally occurring lipids. Copyright ? 2014 John Wiley &amp; Sons, Ltd.","container-title":"Journal of Raman Spectroscopy","DOI":"10.1002/jrs.4607","ISSN":"0377-0486","issue":"1","journalAbbreviation":"Journal of Raman Spectroscopy","note":"publisher: John Wiley &amp; Sons, Ltd","page":"4-20","title":"Raman spectroscopy of lipids: a review","volume":"46","author":[{"family":"Czamara","given":"K."},{"family":"Majzner","given":"K."},{"family":"Pacia","given":"M. Z."},{"family":"Kochan","given":"K."},{"family":"Kaczor","given":"A."},{"family":"Baranska","given":"M."}],"issued":{"date-parts":[["2015",1,1]]}}}],"schema":"https://github.com/citation-style-language/schema/raw/master/csl-citation.json"} </w:instrText>
      </w:r>
      <w:r w:rsidRPr="00FA0889">
        <w:rPr>
          <w:rFonts w:ascii="Arial" w:hAnsi="Arial" w:cs="Arial"/>
          <w:sz w:val="20"/>
          <w:szCs w:val="20"/>
        </w:rPr>
        <w:fldChar w:fldCharType="separate"/>
      </w:r>
      <w:r w:rsidRPr="00FA0889">
        <w:rPr>
          <w:rFonts w:ascii="Arial" w:hAnsi="Arial" w:cs="Arial"/>
          <w:sz w:val="20"/>
          <w:szCs w:val="24"/>
          <w:vertAlign w:val="superscript"/>
        </w:rPr>
        <w:t>13</w:t>
      </w:r>
      <w:r w:rsidRPr="00FA0889">
        <w:rPr>
          <w:rFonts w:ascii="Arial" w:hAnsi="Arial" w:cs="Arial"/>
          <w:sz w:val="20"/>
          <w:szCs w:val="20"/>
        </w:rPr>
        <w:fldChar w:fldCharType="end"/>
      </w:r>
      <w:r w:rsidRPr="00FA0889">
        <w:rPr>
          <w:rFonts w:ascii="Arial" w:hAnsi="Arial" w:cs="Arial"/>
          <w:sz w:val="20"/>
          <w:szCs w:val="20"/>
        </w:rPr>
        <w:t xml:space="preserve"> The features assigned to “protein” are in comparison to spectral fingerprints from purified proteins such as collagen.</w:t>
      </w:r>
      <w:r w:rsidRPr="00FA0889">
        <w:rPr>
          <w:rFonts w:ascii="Arial" w:eastAsia="Times New Roman" w:hAnsi="Arial" w:cs="Arial"/>
          <w:color w:val="000000"/>
          <w:sz w:val="20"/>
          <w:szCs w:val="20"/>
          <w:lang w:eastAsia="en-CA"/>
        </w:rPr>
        <w:fldChar w:fldCharType="begin"/>
      </w:r>
      <w:r w:rsidRPr="00FA0889">
        <w:rPr>
          <w:rFonts w:ascii="Arial" w:eastAsia="Times New Roman" w:hAnsi="Arial" w:cs="Arial"/>
          <w:color w:val="000000"/>
          <w:sz w:val="20"/>
          <w:szCs w:val="20"/>
          <w:lang w:eastAsia="en-CA"/>
        </w:rPr>
        <w:instrText xml:space="preserve"> ADDIN ZOTERO_ITEM CSL_CITATION {"citationID":"sM7WJOKr","properties":{"formattedCitation":"\\super 10\\nosupersub{}","plainCitation":"10","noteIndex":0},"citationItems":[{"id":56,"uris":["http://zotero.org/users/local/PNEHDy2Z/items/WIS2A97I"],"itemData":{"id":56,"type":"article-journal","abstract":"In this work, 26 proteins of different structure, function and properties are investigated by Raman spectroscopy with 488, 532 and 1064 nm laser lines. The excitation lines were chosen in NIR and Vis range as the most common and to show the difference due to normal and resonance effect, sometimes accompanied by the fluorescence. The selected proteins were divided, according to the Structural Classification of Proteins, into four classes according to their secondary structure, i.e. α-helical (α), β-sheet (β), mixed structures (α/β, α + β, s) and others. For all compounds, FT-Raman and two Vis spectra are presented along with the detailed band assignment. To the best of our knowledge, this is the first review showing the potential of Raman spectroscopy for the measurement and analysis of such a large collection of individual proteins. This work can serve as a comprehensive vibrational spectra library, based on our and previous Raman measurements. Copyright © 2013 John Wiley &amp; Sons, Ltd.","container-title":"Journal of Raman Spectroscopy","DOI":"10.1002/jrs.4335","ISSN":"03770486","issue":"8","page":"1061-1076","title":"Raman spectroscopy of proteins: A review","volume":"44","author":[{"family":"Rygula","given":"A."},{"family":"Majzner","given":"K."},{"family":"Marzec","given":"K. M."},{"family":"Kaczor","given":"A."},{"family":"Pilarczyk","given":"M."},{"family":"Baranska","given":"M."}],"issued":{"date-parts":[["2013"]]}}}],"schema":"https://github.com/citation-style-language/schema/raw/master/csl-citation.json"} </w:instrText>
      </w:r>
      <w:r w:rsidRPr="00FA0889">
        <w:rPr>
          <w:rFonts w:ascii="Arial" w:eastAsia="Times New Roman" w:hAnsi="Arial" w:cs="Arial"/>
          <w:color w:val="000000"/>
          <w:sz w:val="20"/>
          <w:szCs w:val="20"/>
          <w:lang w:eastAsia="en-CA"/>
        </w:rPr>
        <w:fldChar w:fldCharType="separate"/>
      </w:r>
      <w:r w:rsidRPr="00FA0889">
        <w:rPr>
          <w:rFonts w:ascii="Arial" w:hAnsi="Arial" w:cs="Arial"/>
          <w:sz w:val="20"/>
          <w:szCs w:val="24"/>
          <w:vertAlign w:val="superscript"/>
        </w:rPr>
        <w:t>10</w:t>
      </w:r>
      <w:r w:rsidRPr="00FA0889">
        <w:rPr>
          <w:rFonts w:ascii="Arial" w:eastAsia="Times New Roman" w:hAnsi="Arial" w:cs="Arial"/>
          <w:color w:val="000000"/>
          <w:sz w:val="20"/>
          <w:szCs w:val="20"/>
          <w:lang w:eastAsia="en-CA"/>
        </w:rPr>
        <w:fldChar w:fldCharType="end"/>
      </w:r>
      <w:r w:rsidRPr="00FA0889">
        <w:rPr>
          <w:rFonts w:ascii="Arial" w:eastAsia="Times New Roman" w:hAnsi="Arial" w:cs="Arial"/>
          <w:color w:val="000000"/>
          <w:sz w:val="20"/>
          <w:szCs w:val="20"/>
          <w:lang w:eastAsia="en-CA"/>
        </w:rPr>
        <w:t xml:space="preserve"> </w:t>
      </w:r>
      <w:r w:rsidRPr="00FA0889">
        <w:rPr>
          <w:rFonts w:ascii="Arial" w:hAnsi="Arial" w:cs="Arial"/>
          <w:sz w:val="20"/>
          <w:szCs w:val="20"/>
          <w:lang w:val="en-US"/>
        </w:rPr>
        <w:t xml:space="preserve">Legend: </w:t>
      </w:r>
      <w:r w:rsidRPr="00FA0889">
        <w:rPr>
          <w:rFonts w:ascii="Arial" w:hAnsi="Arial" w:cs="Arial"/>
          <w:sz w:val="20"/>
          <w:szCs w:val="20"/>
        </w:rPr>
        <w:t>C-H: carbon-hydrogen single bonds, C=C: carbon-carbon double bonds (unsaturated), C-C: carbon-carbon bonds, CH</w:t>
      </w:r>
      <w:r w:rsidRPr="00FA0889">
        <w:rPr>
          <w:rFonts w:ascii="Arial" w:hAnsi="Arial" w:cs="Arial"/>
          <w:sz w:val="20"/>
          <w:szCs w:val="20"/>
          <w:vertAlign w:val="subscript"/>
        </w:rPr>
        <w:t>2</w:t>
      </w:r>
      <w:r w:rsidRPr="00FA0889">
        <w:rPr>
          <w:rFonts w:ascii="Arial" w:hAnsi="Arial" w:cs="Arial"/>
          <w:sz w:val="20"/>
          <w:szCs w:val="20"/>
        </w:rPr>
        <w:t>: ethyl group, CH</w:t>
      </w:r>
      <w:r w:rsidRPr="00FA0889">
        <w:rPr>
          <w:rFonts w:ascii="Arial" w:hAnsi="Arial" w:cs="Arial"/>
          <w:sz w:val="20"/>
          <w:szCs w:val="20"/>
          <w:vertAlign w:val="subscript"/>
        </w:rPr>
        <w:t>3</w:t>
      </w:r>
      <w:r w:rsidRPr="00FA0889">
        <w:rPr>
          <w:rFonts w:ascii="Arial" w:hAnsi="Arial" w:cs="Arial"/>
          <w:sz w:val="20"/>
          <w:szCs w:val="20"/>
        </w:rPr>
        <w:t xml:space="preserve">: methyl group. </w:t>
      </w:r>
    </w:p>
    <w:p w14:paraId="62E9FA05" w14:textId="77777777" w:rsidR="006F613A" w:rsidRPr="00FA0889" w:rsidRDefault="006F613A" w:rsidP="006F613A">
      <w:pPr>
        <w:spacing w:line="480" w:lineRule="auto"/>
        <w:jc w:val="center"/>
        <w:rPr>
          <w:rFonts w:ascii="Arial" w:hAnsi="Arial" w:cs="Arial"/>
          <w:b/>
          <w:bCs/>
          <w:sz w:val="20"/>
          <w:szCs w:val="20"/>
          <w:lang w:val="en-US"/>
        </w:rPr>
      </w:pPr>
      <w:r w:rsidRPr="00FA0889">
        <w:rPr>
          <w:rFonts w:ascii="Arial" w:hAnsi="Arial" w:cs="Arial"/>
          <w:b/>
          <w:bCs/>
          <w:noProof/>
          <w:sz w:val="20"/>
          <w:szCs w:val="20"/>
          <w:lang w:val="en-US"/>
        </w:rPr>
        <w:drawing>
          <wp:inline distT="0" distB="0" distL="0" distR="0" wp14:anchorId="3BA25868" wp14:editId="5E264FB7">
            <wp:extent cx="5184058" cy="234339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l="428"/>
                    <a:stretch/>
                  </pic:blipFill>
                  <pic:spPr bwMode="auto">
                    <a:xfrm>
                      <a:off x="0" y="0"/>
                      <a:ext cx="5201714" cy="2351375"/>
                    </a:xfrm>
                    <a:prstGeom prst="rect">
                      <a:avLst/>
                    </a:prstGeom>
                    <a:ln>
                      <a:noFill/>
                    </a:ln>
                    <a:extLst>
                      <a:ext uri="{53640926-AAD7-44D8-BBD7-CCE9431645EC}">
                        <a14:shadowObscured xmlns:a14="http://schemas.microsoft.com/office/drawing/2010/main"/>
                      </a:ext>
                    </a:extLst>
                  </pic:spPr>
                </pic:pic>
              </a:graphicData>
            </a:graphic>
          </wp:inline>
        </w:drawing>
      </w:r>
    </w:p>
    <w:p w14:paraId="4529764C" w14:textId="77777777" w:rsidR="006F613A" w:rsidRPr="00FA0889" w:rsidRDefault="006F613A" w:rsidP="006F613A">
      <w:pPr>
        <w:spacing w:line="480" w:lineRule="auto"/>
        <w:rPr>
          <w:rFonts w:ascii="Arial" w:hAnsi="Arial" w:cs="Arial"/>
          <w:sz w:val="20"/>
          <w:szCs w:val="20"/>
          <w:lang w:val="en-US"/>
        </w:rPr>
      </w:pPr>
    </w:p>
    <w:p w14:paraId="62AC0B56" w14:textId="77777777" w:rsidR="006F613A" w:rsidRPr="00FA0889" w:rsidRDefault="006F613A" w:rsidP="006F613A">
      <w:pPr>
        <w:spacing w:line="480" w:lineRule="auto"/>
        <w:rPr>
          <w:rFonts w:ascii="Arial" w:hAnsi="Arial" w:cs="Arial"/>
          <w:sz w:val="20"/>
          <w:szCs w:val="20"/>
          <w:lang w:val="en-US"/>
        </w:rPr>
      </w:pPr>
    </w:p>
    <w:p w14:paraId="7D3BD840" w14:textId="77777777" w:rsidR="006F613A" w:rsidRPr="00FA0889" w:rsidRDefault="006F613A" w:rsidP="006F613A">
      <w:pPr>
        <w:spacing w:line="480" w:lineRule="auto"/>
        <w:rPr>
          <w:rFonts w:ascii="Arial" w:hAnsi="Arial" w:cs="Arial"/>
          <w:b/>
          <w:bCs/>
          <w:sz w:val="20"/>
          <w:szCs w:val="20"/>
          <w:lang w:val="en-US"/>
        </w:rPr>
      </w:pPr>
    </w:p>
    <w:p w14:paraId="7BE412AC" w14:textId="77777777" w:rsidR="006F613A" w:rsidRPr="00FA0889" w:rsidRDefault="006F613A" w:rsidP="006F613A">
      <w:pPr>
        <w:spacing w:line="480" w:lineRule="auto"/>
        <w:rPr>
          <w:rFonts w:ascii="Arial" w:hAnsi="Arial" w:cs="Arial"/>
          <w:b/>
          <w:bCs/>
          <w:sz w:val="20"/>
          <w:szCs w:val="20"/>
          <w:lang w:val="en-US"/>
        </w:rPr>
      </w:pPr>
    </w:p>
    <w:p w14:paraId="77AD4166" w14:textId="77777777" w:rsidR="006F613A" w:rsidRPr="00FA0889" w:rsidRDefault="006F613A" w:rsidP="006F613A">
      <w:pPr>
        <w:spacing w:line="480" w:lineRule="auto"/>
        <w:rPr>
          <w:rFonts w:ascii="Arial" w:hAnsi="Arial" w:cs="Arial"/>
          <w:b/>
          <w:bCs/>
          <w:sz w:val="20"/>
          <w:szCs w:val="20"/>
          <w:lang w:val="en-US"/>
        </w:rPr>
      </w:pPr>
    </w:p>
    <w:p w14:paraId="4CB2DC11" w14:textId="77777777" w:rsidR="006F613A" w:rsidRPr="00FA0889" w:rsidRDefault="006F613A" w:rsidP="006F613A">
      <w:pPr>
        <w:spacing w:line="480" w:lineRule="auto"/>
        <w:rPr>
          <w:rFonts w:ascii="Arial" w:hAnsi="Arial" w:cs="Arial"/>
          <w:b/>
          <w:bCs/>
          <w:sz w:val="20"/>
          <w:szCs w:val="20"/>
          <w:lang w:val="en-US"/>
        </w:rPr>
      </w:pPr>
    </w:p>
    <w:p w14:paraId="04B15551" w14:textId="77777777" w:rsidR="006F613A" w:rsidRPr="00FA0889" w:rsidRDefault="006F613A" w:rsidP="006F613A">
      <w:pPr>
        <w:spacing w:line="480" w:lineRule="auto"/>
        <w:rPr>
          <w:rFonts w:ascii="Arial" w:hAnsi="Arial" w:cs="Arial"/>
          <w:b/>
          <w:bCs/>
          <w:sz w:val="20"/>
          <w:szCs w:val="20"/>
          <w:lang w:val="en-US"/>
        </w:rPr>
      </w:pPr>
    </w:p>
    <w:p w14:paraId="2222AF70" w14:textId="77777777" w:rsidR="006F613A" w:rsidRPr="00FA0889" w:rsidRDefault="006F613A" w:rsidP="006F613A">
      <w:pPr>
        <w:spacing w:line="480" w:lineRule="auto"/>
        <w:rPr>
          <w:rFonts w:ascii="Arial" w:hAnsi="Arial" w:cs="Arial"/>
          <w:b/>
          <w:bCs/>
          <w:sz w:val="20"/>
          <w:szCs w:val="20"/>
          <w:lang w:val="en-US"/>
        </w:rPr>
      </w:pPr>
    </w:p>
    <w:p w14:paraId="27B11935" w14:textId="77777777" w:rsidR="006F613A" w:rsidRPr="00FA0889" w:rsidRDefault="006F613A" w:rsidP="006F613A">
      <w:pPr>
        <w:spacing w:line="480" w:lineRule="auto"/>
        <w:rPr>
          <w:rFonts w:ascii="Arial" w:hAnsi="Arial" w:cs="Arial"/>
          <w:b/>
          <w:bCs/>
          <w:sz w:val="20"/>
          <w:szCs w:val="20"/>
          <w:lang w:val="en-US"/>
        </w:rPr>
      </w:pPr>
    </w:p>
    <w:p w14:paraId="5020BE99" w14:textId="77777777" w:rsidR="006F613A" w:rsidRPr="00FA0889" w:rsidRDefault="006F613A" w:rsidP="006F613A">
      <w:pPr>
        <w:spacing w:line="480" w:lineRule="auto"/>
        <w:rPr>
          <w:rFonts w:ascii="Arial" w:hAnsi="Arial" w:cs="Arial"/>
          <w:b/>
          <w:bCs/>
          <w:sz w:val="20"/>
          <w:szCs w:val="20"/>
          <w:lang w:val="en-US"/>
        </w:rPr>
      </w:pPr>
      <w:r w:rsidRPr="00FA0889">
        <w:rPr>
          <w:rFonts w:ascii="Arial" w:hAnsi="Arial" w:cs="Arial"/>
          <w:b/>
          <w:bCs/>
          <w:noProof/>
          <w:sz w:val="20"/>
          <w:szCs w:val="20"/>
          <w:lang w:val="en-US"/>
        </w:rPr>
        <w:lastRenderedPageBreak/>
        <w:drawing>
          <wp:inline distT="0" distB="0" distL="0" distR="0" wp14:anchorId="7ECD19AF" wp14:editId="1D5F5898">
            <wp:extent cx="5943600" cy="7214870"/>
            <wp:effectExtent l="0" t="0" r="0" b="508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7"/>
                    <a:stretch>
                      <a:fillRect/>
                    </a:stretch>
                  </pic:blipFill>
                  <pic:spPr>
                    <a:xfrm>
                      <a:off x="0" y="0"/>
                      <a:ext cx="5943600" cy="7214870"/>
                    </a:xfrm>
                    <a:prstGeom prst="rect">
                      <a:avLst/>
                    </a:prstGeom>
                  </pic:spPr>
                </pic:pic>
              </a:graphicData>
            </a:graphic>
          </wp:inline>
        </w:drawing>
      </w:r>
    </w:p>
    <w:p w14:paraId="133CE434" w14:textId="77777777" w:rsidR="006F613A" w:rsidRPr="00FA0889" w:rsidRDefault="006F613A" w:rsidP="006F613A">
      <w:pPr>
        <w:spacing w:line="480" w:lineRule="auto"/>
        <w:rPr>
          <w:rFonts w:ascii="Arial" w:hAnsi="Arial" w:cs="Arial"/>
          <w:b/>
          <w:bCs/>
          <w:color w:val="000000" w:themeColor="text1"/>
          <w:sz w:val="20"/>
          <w:szCs w:val="20"/>
          <w:lang w:val="en-US"/>
        </w:rPr>
      </w:pPr>
      <w:r w:rsidRPr="00FA0889">
        <w:rPr>
          <w:rFonts w:ascii="Arial" w:hAnsi="Arial" w:cs="Arial"/>
          <w:b/>
          <w:bCs/>
          <w:color w:val="000000" w:themeColor="text1"/>
          <w:sz w:val="20"/>
          <w:szCs w:val="20"/>
          <w:lang w:val="en-US"/>
        </w:rPr>
        <w:t xml:space="preserve">Supplementary Figure S1: Schematic diagram of the machine learning workflow. </w:t>
      </w:r>
      <w:r w:rsidRPr="00FA0889">
        <w:rPr>
          <w:rFonts w:ascii="Arial" w:hAnsi="Arial" w:cs="Arial"/>
          <w:color w:val="000000" w:themeColor="text1"/>
          <w:sz w:val="20"/>
          <w:szCs w:val="20"/>
          <w:lang w:val="en-US"/>
        </w:rPr>
        <w:t xml:space="preserve">The first step consisted in splitting the dataset into training (80% of the whole dataset) and holdout (20% of the whole dataset) subsets. Feature selection and classification hyperparameters were optimized by generating </w:t>
      </w:r>
      <w:r w:rsidRPr="00FA0889">
        <w:rPr>
          <w:rFonts w:ascii="Arial" w:hAnsi="Arial" w:cs="Arial"/>
          <w:color w:val="000000" w:themeColor="text1"/>
          <w:sz w:val="20"/>
          <w:szCs w:val="20"/>
          <w:lang w:val="en-US"/>
        </w:rPr>
        <w:lastRenderedPageBreak/>
        <w:t xml:space="preserve">machine learning models using support vector machines (SVM) for all predefined combinations of the hyperparameters </w:t>
      </w:r>
      <w:r w:rsidRPr="00FA0889">
        <w:rPr>
          <w:rFonts w:ascii="Arial" w:hAnsi="Arial" w:cs="Arial"/>
          <w:i/>
          <w:iCs/>
          <w:color w:val="000000" w:themeColor="text1"/>
          <w:sz w:val="20"/>
          <w:szCs w:val="20"/>
          <w:lang w:val="en-US"/>
        </w:rPr>
        <w:t xml:space="preserve">N </w:t>
      </w:r>
      <w:r w:rsidRPr="00FA0889">
        <w:rPr>
          <w:rFonts w:ascii="Arial" w:hAnsi="Arial" w:cs="Arial"/>
          <w:color w:val="000000" w:themeColor="text1"/>
          <w:sz w:val="20"/>
          <w:szCs w:val="20"/>
          <w:lang w:val="en-US"/>
        </w:rPr>
        <w:t xml:space="preserve">and </w:t>
      </w:r>
      <w:r w:rsidRPr="00FA0889">
        <w:rPr>
          <w:rFonts w:ascii="Arial" w:hAnsi="Arial" w:cs="Arial"/>
          <w:i/>
          <w:iCs/>
          <w:color w:val="000000" w:themeColor="text1"/>
          <w:sz w:val="20"/>
          <w:szCs w:val="20"/>
          <w:lang w:val="en-US"/>
        </w:rPr>
        <w:t>C</w:t>
      </w:r>
      <w:r w:rsidRPr="00FA0889">
        <w:rPr>
          <w:rFonts w:ascii="Arial" w:hAnsi="Arial" w:cs="Arial"/>
          <w:color w:val="000000" w:themeColor="text1"/>
          <w:sz w:val="20"/>
          <w:szCs w:val="20"/>
          <w:lang w:val="en-US"/>
        </w:rPr>
        <w:t xml:space="preserve">. The model performance associated with each combination was assessed using a 5-fold cross-validation technique based on ROC analyses comparing </w:t>
      </w:r>
      <w:r w:rsidRPr="00FA0889">
        <w:rPr>
          <w:rFonts w:ascii="Arial" w:hAnsi="Arial" w:cs="Arial"/>
          <w:color w:val="000000" w:themeColor="text1"/>
          <w:sz w:val="20"/>
          <w:szCs w:val="20"/>
          <w:lang w:val="en-GB"/>
        </w:rPr>
        <w:t>model predictions with the assigned pathology labels. The final model was trained on the complete training set using the hyperparameters that yielded the lowest number of false positives and false negatives.</w:t>
      </w:r>
      <w:r w:rsidRPr="00FA0889">
        <w:rPr>
          <w:rFonts w:ascii="Arial" w:hAnsi="Arial" w:cs="Arial"/>
          <w:color w:val="000000" w:themeColor="text1"/>
          <w:sz w:val="20"/>
          <w:szCs w:val="20"/>
          <w:lang w:val="en-US"/>
        </w:rPr>
        <w:t xml:space="preserve"> To evaluate the generalizability of the final model to new data, it was directly applied to the independent holdout set that was completely independent from the data used in the training</w:t>
      </w:r>
      <w:r w:rsidRPr="00FA0889">
        <w:rPr>
          <w:rFonts w:ascii="Arial" w:hAnsi="Arial" w:cs="Arial"/>
          <w:color w:val="000000" w:themeColor="text1"/>
          <w:sz w:val="20"/>
          <w:szCs w:val="20"/>
        </w:rPr>
        <w:t>/validation phase.</w:t>
      </w:r>
    </w:p>
    <w:p w14:paraId="220B5298" w14:textId="77777777" w:rsidR="006F613A" w:rsidRPr="00FA0889" w:rsidRDefault="006F613A" w:rsidP="006F613A">
      <w:pPr>
        <w:spacing w:line="480" w:lineRule="auto"/>
        <w:rPr>
          <w:rFonts w:ascii="Arial" w:hAnsi="Arial" w:cs="Arial"/>
          <w:b/>
          <w:bCs/>
          <w:sz w:val="20"/>
          <w:szCs w:val="20"/>
          <w:lang w:val="en-US"/>
        </w:rPr>
      </w:pPr>
      <w:r w:rsidRPr="00FA0889">
        <w:rPr>
          <w:noProof/>
        </w:rPr>
        <w:drawing>
          <wp:inline distT="0" distB="0" distL="0" distR="0" wp14:anchorId="6DD6892C" wp14:editId="5A594189">
            <wp:extent cx="5943600" cy="4618355"/>
            <wp:effectExtent l="0" t="0" r="0" b="0"/>
            <wp:docPr id="1599873725" name="Picture 15998737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4618355"/>
                    </a:xfrm>
                    <a:prstGeom prst="rect">
                      <a:avLst/>
                    </a:prstGeom>
                    <a:noFill/>
                    <a:ln>
                      <a:noFill/>
                    </a:ln>
                  </pic:spPr>
                </pic:pic>
              </a:graphicData>
            </a:graphic>
          </wp:inline>
        </w:drawing>
      </w:r>
    </w:p>
    <w:p w14:paraId="276C516F" w14:textId="77777777" w:rsidR="006F613A" w:rsidRPr="00FA0889" w:rsidRDefault="006F613A" w:rsidP="006F613A">
      <w:pPr>
        <w:spacing w:line="480" w:lineRule="auto"/>
        <w:rPr>
          <w:rFonts w:ascii="Arial" w:hAnsi="Arial" w:cs="Arial"/>
          <w:color w:val="000000" w:themeColor="text1"/>
          <w:sz w:val="20"/>
          <w:szCs w:val="20"/>
          <w:lang w:val="en-US"/>
        </w:rPr>
      </w:pPr>
      <w:r w:rsidRPr="00FA0889">
        <w:rPr>
          <w:rFonts w:ascii="Arial" w:hAnsi="Arial" w:cs="Arial"/>
          <w:b/>
          <w:bCs/>
          <w:color w:val="000000" w:themeColor="text1"/>
          <w:sz w:val="20"/>
          <w:szCs w:val="20"/>
          <w:lang w:val="en-US"/>
        </w:rPr>
        <w:t xml:space="preserve">Supplementary Figure S2: (A-F) Data processing process. </w:t>
      </w:r>
      <w:r w:rsidRPr="00FA0889">
        <w:rPr>
          <w:rFonts w:ascii="Arial" w:hAnsi="Arial" w:cs="Arial"/>
          <w:color w:val="000000" w:themeColor="text1"/>
          <w:sz w:val="20"/>
          <w:szCs w:val="20"/>
          <w:lang w:val="en-US"/>
        </w:rPr>
        <w:t xml:space="preserve">(A) Reference spectrum of polycarbonate used to convert CCD camera pixels into wavenumbers based on a polycarbonate spectrum measured with the Sentry system. (B) Instrument response function (IRF) measured with the system from the National Institute of Standards and Technology (NIST) Raman standard. (C) Dark count background </w:t>
      </w:r>
      <w:r w:rsidRPr="00FA0889">
        <w:rPr>
          <w:rFonts w:ascii="Arial" w:hAnsi="Arial" w:cs="Arial"/>
          <w:color w:val="000000" w:themeColor="text1"/>
          <w:sz w:val="20"/>
          <w:szCs w:val="20"/>
          <w:lang w:val="en-US"/>
        </w:rPr>
        <w:lastRenderedPageBreak/>
        <w:t xml:space="preserve">acquired with the laser turned off and unprocessed (raw) </w:t>
      </w:r>
      <w:r w:rsidRPr="00FA0889">
        <w:rPr>
          <w:rFonts w:ascii="Arial" w:hAnsi="Arial" w:cs="Arial"/>
          <w:i/>
          <w:iCs/>
          <w:color w:val="000000" w:themeColor="text1"/>
          <w:sz w:val="20"/>
          <w:szCs w:val="20"/>
          <w:lang w:val="en-US"/>
        </w:rPr>
        <w:t>in situ</w:t>
      </w:r>
      <w:r w:rsidRPr="00FA0889">
        <w:rPr>
          <w:rFonts w:ascii="Arial" w:hAnsi="Arial" w:cs="Arial"/>
          <w:color w:val="000000" w:themeColor="text1"/>
          <w:sz w:val="20"/>
          <w:szCs w:val="20"/>
          <w:lang w:val="en-US"/>
        </w:rPr>
        <w:t xml:space="preserve"> brain spectrum showing cosmic ray events. The grey dotted line designates the region that is truncated before further spectral pre-processing. (D) Spectrum after removal of cosmic rays and normalization with the IRF with the non-Raman baseline contribution isolated using the BubbleFiill shown in blue. The SNV-normalized Raman spectrum is shown at the bottom. Representation of one low quality spectrum (QF = 0.37) and one high quality spectrum (QF = 0.69).</w:t>
      </w:r>
    </w:p>
    <w:p w14:paraId="017CDC5B" w14:textId="77777777" w:rsidR="006F613A" w:rsidRPr="00FA0889" w:rsidRDefault="006F613A" w:rsidP="006F613A">
      <w:pPr>
        <w:spacing w:line="480" w:lineRule="auto"/>
        <w:jc w:val="center"/>
        <w:rPr>
          <w:rFonts w:ascii="Arial" w:hAnsi="Arial" w:cs="Arial"/>
          <w:b/>
          <w:bCs/>
          <w:sz w:val="20"/>
          <w:szCs w:val="20"/>
          <w:lang w:val="en-US"/>
        </w:rPr>
      </w:pPr>
      <w:r w:rsidRPr="00FA0889">
        <w:rPr>
          <w:rFonts w:ascii="Arial" w:hAnsi="Arial" w:cs="Arial"/>
          <w:b/>
          <w:bCs/>
          <w:noProof/>
          <w:sz w:val="20"/>
          <w:szCs w:val="20"/>
          <w:lang w:val="en-US"/>
        </w:rPr>
        <w:drawing>
          <wp:inline distT="0" distB="0" distL="0" distR="0" wp14:anchorId="2D341BFB" wp14:editId="432245A6">
            <wp:extent cx="5286375" cy="2905812"/>
            <wp:effectExtent l="0" t="0" r="0" b="889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a:stretch>
                      <a:fillRect/>
                    </a:stretch>
                  </pic:blipFill>
                  <pic:spPr>
                    <a:xfrm>
                      <a:off x="0" y="0"/>
                      <a:ext cx="5292086" cy="2908951"/>
                    </a:xfrm>
                    <a:prstGeom prst="rect">
                      <a:avLst/>
                    </a:prstGeom>
                  </pic:spPr>
                </pic:pic>
              </a:graphicData>
            </a:graphic>
          </wp:inline>
        </w:drawing>
      </w:r>
    </w:p>
    <w:p w14:paraId="2E1E380C" w14:textId="77777777" w:rsidR="006F613A" w:rsidRPr="00FA0889" w:rsidRDefault="006F613A" w:rsidP="006F613A">
      <w:pPr>
        <w:spacing w:line="480" w:lineRule="auto"/>
        <w:rPr>
          <w:rFonts w:ascii="Arial" w:hAnsi="Arial" w:cs="Arial"/>
          <w:sz w:val="20"/>
          <w:szCs w:val="20"/>
          <w:lang w:val="en-US"/>
        </w:rPr>
      </w:pPr>
      <w:r w:rsidRPr="00FA0889">
        <w:rPr>
          <w:rFonts w:ascii="Arial" w:hAnsi="Arial" w:cs="Arial"/>
          <w:b/>
          <w:bCs/>
          <w:sz w:val="20"/>
          <w:szCs w:val="20"/>
          <w:lang w:val="en-US"/>
        </w:rPr>
        <w:t xml:space="preserve">Supplementary Figure S3: (A-C) Machine learning model discriminating between spectral fingerprints from non-tumoral brain and glioblastoma. </w:t>
      </w:r>
      <w:r w:rsidRPr="00FA0889">
        <w:rPr>
          <w:rFonts w:ascii="Arial" w:hAnsi="Arial" w:cs="Arial"/>
          <w:sz w:val="20"/>
          <w:szCs w:val="20"/>
          <w:lang w:val="en-US"/>
        </w:rPr>
        <w:t xml:space="preserve">(A) Spectral fingerprints from all patients with glioblastoma. Main spectral features used in model building designated by dotted lines, with (C) peak location and biomolecular origin specified. Mean non-tumoral brain spectra are shown in black and glioblastoma spectra are shown in red. (B) Receiver operating curve (ROC) for the predictive model with area under curve (AUC). Legend: </w:t>
      </w:r>
      <w:r w:rsidRPr="00FA0889">
        <w:rPr>
          <w:rFonts w:ascii="Arial" w:hAnsi="Arial" w:cs="Arial"/>
          <w:sz w:val="20"/>
          <w:szCs w:val="20"/>
        </w:rPr>
        <w:t>C-H: carbon-hydrogen single bonds, C=C: carbon-carbon double bonds (unsaturated), C-C : carbon-carbon bonds, CH</w:t>
      </w:r>
      <w:r w:rsidRPr="00FA0889">
        <w:rPr>
          <w:rFonts w:ascii="Arial" w:hAnsi="Arial" w:cs="Arial"/>
          <w:sz w:val="20"/>
          <w:szCs w:val="20"/>
          <w:vertAlign w:val="subscript"/>
        </w:rPr>
        <w:t>2</w:t>
      </w:r>
      <w:r w:rsidRPr="00FA0889">
        <w:rPr>
          <w:rFonts w:ascii="Arial" w:hAnsi="Arial" w:cs="Arial"/>
          <w:sz w:val="20"/>
          <w:szCs w:val="20"/>
        </w:rPr>
        <w:t>: ethyl group, CH</w:t>
      </w:r>
      <w:r w:rsidRPr="00FA0889">
        <w:rPr>
          <w:rFonts w:ascii="Arial" w:hAnsi="Arial" w:cs="Arial"/>
          <w:sz w:val="20"/>
          <w:szCs w:val="20"/>
          <w:vertAlign w:val="subscript"/>
        </w:rPr>
        <w:t>3</w:t>
      </w:r>
      <w:r w:rsidRPr="00FA0889">
        <w:rPr>
          <w:rFonts w:ascii="Arial" w:hAnsi="Arial" w:cs="Arial"/>
          <w:sz w:val="20"/>
          <w:szCs w:val="20"/>
        </w:rPr>
        <w:t>: methyl group.</w:t>
      </w:r>
    </w:p>
    <w:p w14:paraId="5858E58C" w14:textId="77777777" w:rsidR="006F613A" w:rsidRPr="00FA0889" w:rsidRDefault="006F613A" w:rsidP="006F613A">
      <w:pPr>
        <w:spacing w:line="480" w:lineRule="auto"/>
        <w:jc w:val="center"/>
        <w:rPr>
          <w:rFonts w:ascii="Arial" w:hAnsi="Arial" w:cs="Arial"/>
          <w:sz w:val="20"/>
          <w:szCs w:val="20"/>
          <w:lang w:val="en-US"/>
        </w:rPr>
      </w:pPr>
      <w:r w:rsidRPr="00FA0889">
        <w:rPr>
          <w:rFonts w:ascii="Arial" w:hAnsi="Arial" w:cs="Arial"/>
          <w:noProof/>
          <w:sz w:val="20"/>
          <w:szCs w:val="20"/>
          <w:lang w:val="en-US"/>
        </w:rPr>
        <w:lastRenderedPageBreak/>
        <w:drawing>
          <wp:inline distT="0" distB="0" distL="0" distR="0" wp14:anchorId="14D6C680" wp14:editId="0E89E423">
            <wp:extent cx="5440023" cy="2990850"/>
            <wp:effectExtent l="0" t="0" r="889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0"/>
                    <a:stretch>
                      <a:fillRect/>
                    </a:stretch>
                  </pic:blipFill>
                  <pic:spPr>
                    <a:xfrm>
                      <a:off x="0" y="0"/>
                      <a:ext cx="5444461" cy="2993290"/>
                    </a:xfrm>
                    <a:prstGeom prst="rect">
                      <a:avLst/>
                    </a:prstGeom>
                  </pic:spPr>
                </pic:pic>
              </a:graphicData>
            </a:graphic>
          </wp:inline>
        </w:drawing>
      </w:r>
    </w:p>
    <w:p w14:paraId="656B123F" w14:textId="77777777" w:rsidR="006F613A" w:rsidRPr="00FA0889" w:rsidRDefault="006F613A" w:rsidP="006F613A">
      <w:pPr>
        <w:spacing w:line="480" w:lineRule="auto"/>
        <w:rPr>
          <w:rFonts w:ascii="Arial" w:hAnsi="Arial" w:cs="Arial"/>
          <w:sz w:val="20"/>
          <w:szCs w:val="20"/>
          <w:lang w:val="en-US"/>
        </w:rPr>
      </w:pPr>
      <w:r w:rsidRPr="00FA0889">
        <w:rPr>
          <w:rFonts w:ascii="Arial" w:hAnsi="Arial" w:cs="Arial"/>
          <w:b/>
          <w:bCs/>
          <w:sz w:val="20"/>
          <w:szCs w:val="20"/>
          <w:lang w:val="en-US"/>
        </w:rPr>
        <w:t xml:space="preserve">Supplementary Figure S4: (A-C) Machine learning model discriminating between spectral fingerprints from non-tumoral brain and metastases. </w:t>
      </w:r>
      <w:r w:rsidRPr="00FA0889">
        <w:rPr>
          <w:rFonts w:ascii="Arial" w:hAnsi="Arial" w:cs="Arial"/>
          <w:sz w:val="20"/>
          <w:szCs w:val="20"/>
          <w:lang w:val="en-US"/>
        </w:rPr>
        <w:t xml:space="preserve">(A) Spectral fingerprints from all patients with metastases. Main spectral features used in model building designated by dotted lines, with (C) peak location and biomolecular origin specified. Mean non-tumoral brain spectra are shown in black and metastases spectra are shown in red. (B) Receiver operating curve (ROC) for the predictive model with area under curve (AUC). Legend: </w:t>
      </w:r>
      <w:r w:rsidRPr="00FA0889">
        <w:rPr>
          <w:rFonts w:ascii="Arial" w:hAnsi="Arial" w:cs="Arial"/>
          <w:sz w:val="20"/>
          <w:szCs w:val="20"/>
        </w:rPr>
        <w:t>C-H: carbon-hydrogen single bonds, C=C: carbon-carbon double bonds (unsaturated), C-C : carbon-carbon bonds, CH</w:t>
      </w:r>
      <w:r w:rsidRPr="00FA0889">
        <w:rPr>
          <w:rFonts w:ascii="Arial" w:hAnsi="Arial" w:cs="Arial"/>
          <w:sz w:val="20"/>
          <w:szCs w:val="20"/>
          <w:vertAlign w:val="subscript"/>
        </w:rPr>
        <w:t>2</w:t>
      </w:r>
      <w:r w:rsidRPr="00FA0889">
        <w:rPr>
          <w:rFonts w:ascii="Arial" w:hAnsi="Arial" w:cs="Arial"/>
          <w:sz w:val="20"/>
          <w:szCs w:val="20"/>
        </w:rPr>
        <w:t>: ethyl group, CH</w:t>
      </w:r>
      <w:r w:rsidRPr="00FA0889">
        <w:rPr>
          <w:rFonts w:ascii="Arial" w:hAnsi="Arial" w:cs="Arial"/>
          <w:sz w:val="20"/>
          <w:szCs w:val="20"/>
          <w:vertAlign w:val="subscript"/>
        </w:rPr>
        <w:t>3</w:t>
      </w:r>
      <w:r w:rsidRPr="00FA0889">
        <w:rPr>
          <w:rFonts w:ascii="Arial" w:hAnsi="Arial" w:cs="Arial"/>
          <w:sz w:val="20"/>
          <w:szCs w:val="20"/>
        </w:rPr>
        <w:t>: methyl group.</w:t>
      </w:r>
    </w:p>
    <w:p w14:paraId="57A7F013" w14:textId="77777777" w:rsidR="006F613A" w:rsidRPr="00FA0889" w:rsidRDefault="006F613A" w:rsidP="006F613A">
      <w:pPr>
        <w:spacing w:line="480" w:lineRule="auto"/>
        <w:jc w:val="center"/>
        <w:rPr>
          <w:rFonts w:ascii="Arial" w:hAnsi="Arial" w:cs="Arial"/>
          <w:sz w:val="20"/>
          <w:szCs w:val="20"/>
          <w:lang w:val="en-US"/>
        </w:rPr>
      </w:pPr>
      <w:r w:rsidRPr="00FA0889">
        <w:rPr>
          <w:rFonts w:ascii="Arial" w:hAnsi="Arial" w:cs="Arial"/>
          <w:noProof/>
          <w:sz w:val="20"/>
          <w:szCs w:val="20"/>
          <w:lang w:val="en-US"/>
        </w:rPr>
        <w:lastRenderedPageBreak/>
        <w:drawing>
          <wp:inline distT="0" distB="0" distL="0" distR="0" wp14:anchorId="5B01B8B4" wp14:editId="6C17AEC0">
            <wp:extent cx="5943600" cy="3267710"/>
            <wp:effectExtent l="0" t="0" r="0" b="889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1"/>
                    <a:stretch>
                      <a:fillRect/>
                    </a:stretch>
                  </pic:blipFill>
                  <pic:spPr>
                    <a:xfrm>
                      <a:off x="0" y="0"/>
                      <a:ext cx="5943600" cy="3267710"/>
                    </a:xfrm>
                    <a:prstGeom prst="rect">
                      <a:avLst/>
                    </a:prstGeom>
                  </pic:spPr>
                </pic:pic>
              </a:graphicData>
            </a:graphic>
          </wp:inline>
        </w:drawing>
      </w:r>
    </w:p>
    <w:p w14:paraId="60B1E609" w14:textId="77777777" w:rsidR="006F613A" w:rsidRPr="00FA0889" w:rsidRDefault="006F613A" w:rsidP="006F613A">
      <w:pPr>
        <w:spacing w:line="480" w:lineRule="auto"/>
        <w:rPr>
          <w:rFonts w:ascii="Arial" w:hAnsi="Arial" w:cs="Arial"/>
          <w:sz w:val="20"/>
          <w:szCs w:val="20"/>
          <w:lang w:val="en-US"/>
        </w:rPr>
      </w:pPr>
      <w:r w:rsidRPr="00FA0889">
        <w:rPr>
          <w:rFonts w:ascii="Arial" w:hAnsi="Arial" w:cs="Arial"/>
          <w:b/>
          <w:bCs/>
          <w:sz w:val="20"/>
          <w:szCs w:val="20"/>
          <w:lang w:val="en-US"/>
        </w:rPr>
        <w:t xml:space="preserve">Supplementary Figure S5: (A-C) Machine learning model discriminating between spectral fingerprints from non-tumoral brain and meningioma. </w:t>
      </w:r>
      <w:r w:rsidRPr="00FA0889">
        <w:rPr>
          <w:rFonts w:ascii="Arial" w:hAnsi="Arial" w:cs="Arial"/>
          <w:sz w:val="20"/>
          <w:szCs w:val="20"/>
          <w:lang w:val="en-US"/>
        </w:rPr>
        <w:t xml:space="preserve">(A) Spectral fingerprints from all patients with meningioma. Main spectral features used in model building designated by dotted lines, with (C) peak location and biomolecular origin specified. Mean non-tumoral brain spectra are shown in black and meningioma spectra are shown in red. (B) Receiver operating curve (ROC) for the predictive model with area under curve (AUC). Legend: </w:t>
      </w:r>
      <w:r w:rsidRPr="00FA0889">
        <w:rPr>
          <w:rFonts w:ascii="Arial" w:hAnsi="Arial" w:cs="Arial"/>
          <w:sz w:val="20"/>
          <w:szCs w:val="20"/>
        </w:rPr>
        <w:t>C-H: carbon-hydrogen single bonds, C=C: carbon-carbon double bonds (unsaturated), C-C : carbon-carbon bonds, CH</w:t>
      </w:r>
      <w:r w:rsidRPr="00FA0889">
        <w:rPr>
          <w:rFonts w:ascii="Arial" w:hAnsi="Arial" w:cs="Arial"/>
          <w:sz w:val="20"/>
          <w:szCs w:val="20"/>
          <w:vertAlign w:val="subscript"/>
        </w:rPr>
        <w:t>2</w:t>
      </w:r>
      <w:r w:rsidRPr="00FA0889">
        <w:rPr>
          <w:rFonts w:ascii="Arial" w:hAnsi="Arial" w:cs="Arial"/>
          <w:sz w:val="20"/>
          <w:szCs w:val="20"/>
        </w:rPr>
        <w:t>: ethyl group, CH</w:t>
      </w:r>
      <w:r w:rsidRPr="00FA0889">
        <w:rPr>
          <w:rFonts w:ascii="Arial" w:hAnsi="Arial" w:cs="Arial"/>
          <w:sz w:val="20"/>
          <w:szCs w:val="20"/>
          <w:vertAlign w:val="subscript"/>
        </w:rPr>
        <w:t>3</w:t>
      </w:r>
      <w:r w:rsidRPr="00FA0889">
        <w:rPr>
          <w:rFonts w:ascii="Arial" w:hAnsi="Arial" w:cs="Arial"/>
          <w:sz w:val="20"/>
          <w:szCs w:val="20"/>
        </w:rPr>
        <w:t>: methyl group.</w:t>
      </w:r>
    </w:p>
    <w:p w14:paraId="23D2DF02" w14:textId="77777777" w:rsidR="006F613A" w:rsidRPr="00FA0889" w:rsidRDefault="006F613A" w:rsidP="006F613A">
      <w:pPr>
        <w:spacing w:line="480" w:lineRule="auto"/>
        <w:rPr>
          <w:rFonts w:ascii="Arial" w:hAnsi="Arial" w:cs="Arial"/>
          <w:sz w:val="20"/>
          <w:szCs w:val="20"/>
          <w:lang w:val="en-US"/>
        </w:rPr>
      </w:pPr>
    </w:p>
    <w:p w14:paraId="6BC20D3E" w14:textId="77777777" w:rsidR="006F613A" w:rsidRPr="00FA0889" w:rsidRDefault="006F613A" w:rsidP="006F613A">
      <w:pPr>
        <w:snapToGrid w:val="0"/>
        <w:spacing w:before="120" w:line="480" w:lineRule="auto"/>
        <w:contextualSpacing/>
        <w:jc w:val="center"/>
        <w:rPr>
          <w:rFonts w:ascii="Arial" w:hAnsi="Arial" w:cs="Arial"/>
          <w:sz w:val="20"/>
          <w:szCs w:val="20"/>
          <w:lang w:val="en-US"/>
        </w:rPr>
      </w:pPr>
      <w:r w:rsidRPr="00FA0889">
        <w:rPr>
          <w:rFonts w:ascii="Arial" w:hAnsi="Arial" w:cs="Arial"/>
          <w:noProof/>
          <w:sz w:val="20"/>
          <w:szCs w:val="20"/>
          <w:lang w:val="en-US"/>
        </w:rPr>
        <w:lastRenderedPageBreak/>
        <w:drawing>
          <wp:inline distT="0" distB="0" distL="0" distR="0" wp14:anchorId="6397E206" wp14:editId="54C6FE22">
            <wp:extent cx="5943600" cy="3267710"/>
            <wp:effectExtent l="0" t="0" r="0" b="889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2"/>
                    <a:stretch>
                      <a:fillRect/>
                    </a:stretch>
                  </pic:blipFill>
                  <pic:spPr>
                    <a:xfrm>
                      <a:off x="0" y="0"/>
                      <a:ext cx="5943600" cy="3267710"/>
                    </a:xfrm>
                    <a:prstGeom prst="rect">
                      <a:avLst/>
                    </a:prstGeom>
                  </pic:spPr>
                </pic:pic>
              </a:graphicData>
            </a:graphic>
          </wp:inline>
        </w:drawing>
      </w:r>
    </w:p>
    <w:p w14:paraId="0E82E23C" w14:textId="77777777" w:rsidR="006F613A" w:rsidRPr="00FA0889" w:rsidRDefault="006F613A" w:rsidP="006F613A">
      <w:pPr>
        <w:spacing w:line="480" w:lineRule="auto"/>
        <w:rPr>
          <w:rFonts w:ascii="Arial" w:hAnsi="Arial" w:cs="Arial"/>
          <w:sz w:val="20"/>
          <w:szCs w:val="20"/>
        </w:rPr>
      </w:pPr>
      <w:r w:rsidRPr="00FA0889">
        <w:rPr>
          <w:rFonts w:ascii="Arial" w:hAnsi="Arial" w:cs="Arial"/>
          <w:b/>
          <w:bCs/>
          <w:sz w:val="20"/>
          <w:szCs w:val="20"/>
          <w:lang w:val="en-US"/>
        </w:rPr>
        <w:t xml:space="preserve">Supplementary Figure S6: (A-C) Machine learning model discriminating between Raman spectra from non-tumoral brain and tumor tissue independent of disease type. </w:t>
      </w:r>
      <w:r w:rsidRPr="00FA0889">
        <w:rPr>
          <w:rFonts w:ascii="Arial" w:hAnsi="Arial" w:cs="Arial"/>
          <w:sz w:val="20"/>
          <w:szCs w:val="20"/>
          <w:lang w:val="en-US"/>
        </w:rPr>
        <w:t xml:space="preserve">(A) Spectra fingerprints from all patients with main features used in model building designated by dotted lines. Mean non-tumoral brain tissue spectra are shown in black and tumor spectra are shown in red. (B) Receiver operating curve (ROC) for the predictive model with area under curve (AUC). Legend: </w:t>
      </w:r>
      <w:r w:rsidRPr="00FA0889">
        <w:rPr>
          <w:rFonts w:ascii="Arial" w:hAnsi="Arial" w:cs="Arial"/>
          <w:sz w:val="20"/>
          <w:szCs w:val="20"/>
        </w:rPr>
        <w:t>C-H: carbon-hydrogen single bonds, C=C: carbon-carbon double bonds (unsaturated), C-C : carbon-carbon bonds, CH</w:t>
      </w:r>
      <w:r w:rsidRPr="00FA0889">
        <w:rPr>
          <w:rFonts w:ascii="Arial" w:hAnsi="Arial" w:cs="Arial"/>
          <w:sz w:val="20"/>
          <w:szCs w:val="20"/>
          <w:vertAlign w:val="subscript"/>
        </w:rPr>
        <w:t>2</w:t>
      </w:r>
      <w:r w:rsidRPr="00FA0889">
        <w:rPr>
          <w:rFonts w:ascii="Arial" w:hAnsi="Arial" w:cs="Arial"/>
          <w:sz w:val="20"/>
          <w:szCs w:val="20"/>
        </w:rPr>
        <w:t>: ethyl group, CH</w:t>
      </w:r>
      <w:r w:rsidRPr="00FA0889">
        <w:rPr>
          <w:rFonts w:ascii="Arial" w:hAnsi="Arial" w:cs="Arial"/>
          <w:sz w:val="20"/>
          <w:szCs w:val="20"/>
          <w:vertAlign w:val="subscript"/>
        </w:rPr>
        <w:t>3</w:t>
      </w:r>
      <w:r w:rsidRPr="00FA0889">
        <w:rPr>
          <w:rFonts w:ascii="Arial" w:hAnsi="Arial" w:cs="Arial"/>
          <w:sz w:val="20"/>
          <w:szCs w:val="20"/>
        </w:rPr>
        <w:t>: methyl group.</w:t>
      </w:r>
    </w:p>
    <w:p w14:paraId="4E2DE20D" w14:textId="77777777" w:rsidR="006F613A" w:rsidRPr="00FA0889" w:rsidRDefault="006F613A" w:rsidP="006F613A">
      <w:pPr>
        <w:spacing w:line="480" w:lineRule="auto"/>
        <w:rPr>
          <w:rFonts w:ascii="Arial" w:hAnsi="Arial" w:cs="Arial"/>
          <w:sz w:val="20"/>
          <w:szCs w:val="20"/>
        </w:rPr>
      </w:pPr>
    </w:p>
    <w:p w14:paraId="5145E6C9" w14:textId="77777777" w:rsidR="006F613A" w:rsidRPr="00FA0889" w:rsidRDefault="006F613A" w:rsidP="006F613A">
      <w:pPr>
        <w:spacing w:line="480" w:lineRule="auto"/>
        <w:jc w:val="center"/>
        <w:rPr>
          <w:rFonts w:ascii="Arial" w:hAnsi="Arial" w:cs="Arial"/>
          <w:b/>
          <w:bCs/>
          <w:sz w:val="20"/>
          <w:szCs w:val="20"/>
          <w:lang w:val="en-US"/>
        </w:rPr>
      </w:pPr>
      <w:r w:rsidRPr="00FA0889">
        <w:rPr>
          <w:rFonts w:ascii="Arial" w:hAnsi="Arial" w:cs="Arial"/>
          <w:b/>
          <w:bCs/>
          <w:noProof/>
          <w:sz w:val="20"/>
          <w:szCs w:val="20"/>
          <w:lang w:val="en-US"/>
        </w:rPr>
        <w:lastRenderedPageBreak/>
        <w:drawing>
          <wp:inline distT="0" distB="0" distL="0" distR="0" wp14:anchorId="71104527" wp14:editId="1839CB1A">
            <wp:extent cx="5943600" cy="3749040"/>
            <wp:effectExtent l="0" t="0" r="0" b="381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13"/>
                    <a:stretch>
                      <a:fillRect/>
                    </a:stretch>
                  </pic:blipFill>
                  <pic:spPr>
                    <a:xfrm>
                      <a:off x="0" y="0"/>
                      <a:ext cx="5943600" cy="3749040"/>
                    </a:xfrm>
                    <a:prstGeom prst="rect">
                      <a:avLst/>
                    </a:prstGeom>
                  </pic:spPr>
                </pic:pic>
              </a:graphicData>
            </a:graphic>
          </wp:inline>
        </w:drawing>
      </w:r>
    </w:p>
    <w:p w14:paraId="01B3939A" w14:textId="77777777" w:rsidR="006F613A" w:rsidRPr="00FA0889" w:rsidRDefault="006F613A" w:rsidP="006F613A">
      <w:pPr>
        <w:spacing w:line="480" w:lineRule="auto"/>
        <w:rPr>
          <w:rFonts w:ascii="Arial" w:hAnsi="Arial" w:cs="Arial"/>
          <w:color w:val="000000" w:themeColor="text1"/>
          <w:sz w:val="20"/>
          <w:szCs w:val="20"/>
          <w:lang w:val="en-US"/>
        </w:rPr>
      </w:pPr>
      <w:r w:rsidRPr="00FA0889">
        <w:rPr>
          <w:rFonts w:ascii="Arial" w:hAnsi="Arial" w:cs="Arial"/>
          <w:b/>
          <w:bCs/>
          <w:color w:val="000000" w:themeColor="text1"/>
          <w:sz w:val="20"/>
          <w:szCs w:val="20"/>
          <w:lang w:val="en-US"/>
        </w:rPr>
        <w:t xml:space="preserve">Supplementary Figure S7: (A-C) Depiction of the spectral quality factors for brain and tumor samples acquired with the Sentry system. </w:t>
      </w:r>
      <w:r w:rsidRPr="00FA0889">
        <w:rPr>
          <w:rFonts w:ascii="Arial" w:hAnsi="Arial" w:cs="Arial"/>
          <w:color w:val="000000" w:themeColor="text1"/>
          <w:sz w:val="20"/>
          <w:szCs w:val="20"/>
          <w:lang w:val="en-US"/>
        </w:rPr>
        <w:t xml:space="preserve">(A) Quality factor (QF) distribution of all Raman spectra with alternating grey and white bands denoting different patients. (B) Spectrogram of Raman spectra from non-tumoral brain (left) and average Raman spectra with their variance (right). Average spectral fingerprints are shown for all samples (no QF cutoff) as well as for high and lower quality spectra. (C) Spectrogram of Raman spectra from tumor samples (left) and average Raman spectra with their variance (right). Higher quality spectra are associated with smaller levels of stochastic (photonic) noise leading to smaller inter-measurement variances. </w:t>
      </w:r>
    </w:p>
    <w:p w14:paraId="6132219B" w14:textId="77777777" w:rsidR="006F613A" w:rsidRPr="00FA0889" w:rsidRDefault="006F613A" w:rsidP="006F613A">
      <w:pPr>
        <w:spacing w:line="480" w:lineRule="auto"/>
        <w:rPr>
          <w:rFonts w:ascii="Arial" w:hAnsi="Arial" w:cs="Arial"/>
          <w:sz w:val="20"/>
          <w:szCs w:val="20"/>
          <w:lang w:val="en-US"/>
        </w:rPr>
      </w:pPr>
    </w:p>
    <w:p w14:paraId="5B402D06" w14:textId="77777777" w:rsidR="006F613A" w:rsidRPr="00FA0889" w:rsidRDefault="006F613A" w:rsidP="006F613A">
      <w:pPr>
        <w:spacing w:line="480" w:lineRule="auto"/>
        <w:rPr>
          <w:rFonts w:ascii="Arial" w:hAnsi="Arial" w:cs="Arial"/>
          <w:sz w:val="20"/>
          <w:szCs w:val="20"/>
          <w:lang w:val="en-US"/>
        </w:rPr>
      </w:pPr>
    </w:p>
    <w:p w14:paraId="480C175F" w14:textId="77777777" w:rsidR="006F613A" w:rsidRPr="00FA0889" w:rsidRDefault="006F613A" w:rsidP="006F613A">
      <w:pPr>
        <w:spacing w:line="480" w:lineRule="auto"/>
        <w:rPr>
          <w:rFonts w:ascii="Arial" w:hAnsi="Arial" w:cs="Arial"/>
          <w:sz w:val="20"/>
          <w:szCs w:val="20"/>
          <w:lang w:val="en-US"/>
        </w:rPr>
      </w:pPr>
    </w:p>
    <w:p w14:paraId="12E96956" w14:textId="77777777" w:rsidR="006F613A" w:rsidRPr="00FA0889" w:rsidRDefault="006F613A" w:rsidP="006F613A">
      <w:pPr>
        <w:spacing w:line="480" w:lineRule="auto"/>
        <w:rPr>
          <w:rFonts w:ascii="Arial" w:hAnsi="Arial" w:cs="Arial"/>
          <w:sz w:val="20"/>
          <w:szCs w:val="20"/>
          <w:lang w:val="en-US"/>
        </w:rPr>
      </w:pPr>
    </w:p>
    <w:p w14:paraId="1F7AC935" w14:textId="77777777" w:rsidR="006F613A" w:rsidRPr="00FA0889" w:rsidRDefault="006F613A" w:rsidP="006F613A">
      <w:pPr>
        <w:spacing w:line="480" w:lineRule="auto"/>
        <w:rPr>
          <w:rFonts w:ascii="Arial" w:hAnsi="Arial" w:cs="Arial"/>
          <w:sz w:val="20"/>
          <w:szCs w:val="20"/>
          <w:lang w:val="en-US"/>
        </w:rPr>
      </w:pPr>
    </w:p>
    <w:p w14:paraId="4485BC3D" w14:textId="77777777" w:rsidR="006F613A" w:rsidRPr="00FA0889" w:rsidRDefault="006F613A" w:rsidP="006F613A">
      <w:pPr>
        <w:spacing w:line="480" w:lineRule="auto"/>
        <w:rPr>
          <w:rFonts w:ascii="Arial" w:hAnsi="Arial" w:cs="Arial"/>
          <w:sz w:val="20"/>
          <w:szCs w:val="20"/>
          <w:lang w:val="en-US"/>
        </w:rPr>
      </w:pPr>
    </w:p>
    <w:p w14:paraId="59933CA9" w14:textId="77777777" w:rsidR="006F613A" w:rsidRPr="00FA0889" w:rsidRDefault="006F613A" w:rsidP="006F613A">
      <w:pPr>
        <w:spacing w:line="480" w:lineRule="auto"/>
        <w:rPr>
          <w:rFonts w:ascii="Arial" w:hAnsi="Arial" w:cs="Arial"/>
          <w:sz w:val="20"/>
          <w:szCs w:val="20"/>
          <w:lang w:val="en-US"/>
        </w:rPr>
      </w:pPr>
    </w:p>
    <w:p w14:paraId="008B0AB2" w14:textId="77777777" w:rsidR="006F613A" w:rsidRPr="00FA0889" w:rsidRDefault="006F613A" w:rsidP="006F613A">
      <w:pPr>
        <w:snapToGrid w:val="0"/>
        <w:spacing w:before="120" w:line="480" w:lineRule="auto"/>
        <w:contextualSpacing/>
        <w:jc w:val="center"/>
        <w:rPr>
          <w:rFonts w:ascii="Arial" w:hAnsi="Arial" w:cs="Arial"/>
          <w:sz w:val="20"/>
          <w:szCs w:val="20"/>
          <w:lang w:val="en-US"/>
        </w:rPr>
      </w:pPr>
      <w:r w:rsidRPr="00FA0889">
        <w:rPr>
          <w:rFonts w:ascii="Arial" w:hAnsi="Arial" w:cs="Arial"/>
          <w:noProof/>
          <w:sz w:val="20"/>
          <w:szCs w:val="20"/>
          <w:lang w:val="en-US"/>
        </w:rPr>
        <w:drawing>
          <wp:inline distT="0" distB="0" distL="0" distR="0" wp14:anchorId="7C316781" wp14:editId="0E5CAF83">
            <wp:extent cx="5041900" cy="4178300"/>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4"/>
                    <a:stretch>
                      <a:fillRect/>
                    </a:stretch>
                  </pic:blipFill>
                  <pic:spPr>
                    <a:xfrm>
                      <a:off x="0" y="0"/>
                      <a:ext cx="5041900" cy="4178300"/>
                    </a:xfrm>
                    <a:prstGeom prst="rect">
                      <a:avLst/>
                    </a:prstGeom>
                  </pic:spPr>
                </pic:pic>
              </a:graphicData>
            </a:graphic>
          </wp:inline>
        </w:drawing>
      </w:r>
    </w:p>
    <w:p w14:paraId="71260655" w14:textId="77777777" w:rsidR="006F613A" w:rsidRPr="00FA0889" w:rsidRDefault="006F613A" w:rsidP="006F613A">
      <w:pPr>
        <w:snapToGrid w:val="0"/>
        <w:spacing w:before="120" w:line="480" w:lineRule="auto"/>
        <w:contextualSpacing/>
        <w:rPr>
          <w:rFonts w:ascii="Arial" w:hAnsi="Arial" w:cs="Arial"/>
          <w:sz w:val="20"/>
          <w:szCs w:val="20"/>
          <w:lang w:val="en-US"/>
        </w:rPr>
      </w:pPr>
      <w:r w:rsidRPr="00FA0889">
        <w:rPr>
          <w:rFonts w:ascii="Arial" w:hAnsi="Arial" w:cs="Arial"/>
          <w:b/>
          <w:bCs/>
          <w:sz w:val="20"/>
          <w:szCs w:val="20"/>
          <w:lang w:val="en-US"/>
        </w:rPr>
        <w:t xml:space="preserve">Supplementary Figure S8: (A-E) Machine learning model with no quality factor threshold applied to the data. </w:t>
      </w:r>
      <w:r w:rsidRPr="00FA0889">
        <w:rPr>
          <w:rFonts w:ascii="Arial" w:hAnsi="Arial" w:cs="Arial"/>
          <w:sz w:val="20"/>
          <w:szCs w:val="20"/>
          <w:lang w:val="en-US"/>
        </w:rPr>
        <w:t>(A) Table presenting all results from machine learning models discriminating between spectral fingerprints from non-tumoral brain and tumor in patients with different types of cancer. Spectral fingerprints were plotted for patients with (B) glioblastoma, (C) metastasis, (D) meningioma, and (E) all tumor types.</w:t>
      </w:r>
    </w:p>
    <w:p w14:paraId="5ACDE982" w14:textId="77777777" w:rsidR="006F613A" w:rsidRPr="00FA0889" w:rsidRDefault="006F613A" w:rsidP="006F613A">
      <w:pPr>
        <w:snapToGrid w:val="0"/>
        <w:spacing w:before="120" w:line="480" w:lineRule="auto"/>
        <w:contextualSpacing/>
        <w:rPr>
          <w:rFonts w:ascii="Arial" w:hAnsi="Arial" w:cs="Arial"/>
          <w:sz w:val="20"/>
          <w:szCs w:val="20"/>
          <w:lang w:val="en-US"/>
        </w:rPr>
      </w:pPr>
    </w:p>
    <w:p w14:paraId="2884048F" w14:textId="77777777" w:rsidR="006F613A" w:rsidRPr="00FA0889" w:rsidRDefault="006F613A" w:rsidP="006F613A">
      <w:pPr>
        <w:snapToGrid w:val="0"/>
        <w:spacing w:before="120" w:line="480" w:lineRule="auto"/>
        <w:contextualSpacing/>
        <w:jc w:val="center"/>
        <w:rPr>
          <w:rFonts w:ascii="Arial" w:hAnsi="Arial" w:cs="Arial"/>
          <w:sz w:val="20"/>
          <w:szCs w:val="20"/>
          <w:lang w:val="en-US"/>
        </w:rPr>
      </w:pPr>
      <w:r w:rsidRPr="00FA0889">
        <w:rPr>
          <w:rFonts w:ascii="Arial" w:hAnsi="Arial" w:cs="Arial"/>
          <w:noProof/>
          <w:sz w:val="20"/>
          <w:szCs w:val="20"/>
          <w:lang w:val="en-US"/>
        </w:rPr>
        <w:lastRenderedPageBreak/>
        <w:drawing>
          <wp:inline distT="0" distB="0" distL="0" distR="0" wp14:anchorId="14C5DA95" wp14:editId="055F3D21">
            <wp:extent cx="4986012" cy="2671716"/>
            <wp:effectExtent l="0" t="0" r="571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15"/>
                    <a:stretch>
                      <a:fillRect/>
                    </a:stretch>
                  </pic:blipFill>
                  <pic:spPr>
                    <a:xfrm>
                      <a:off x="0" y="0"/>
                      <a:ext cx="4986012" cy="2671716"/>
                    </a:xfrm>
                    <a:prstGeom prst="rect">
                      <a:avLst/>
                    </a:prstGeom>
                  </pic:spPr>
                </pic:pic>
              </a:graphicData>
            </a:graphic>
          </wp:inline>
        </w:drawing>
      </w:r>
    </w:p>
    <w:p w14:paraId="6BAF9DBD" w14:textId="77777777" w:rsidR="006F613A" w:rsidRPr="004F2A23" w:rsidRDefault="006F613A" w:rsidP="006F613A">
      <w:pPr>
        <w:snapToGrid w:val="0"/>
        <w:spacing w:before="120" w:line="480" w:lineRule="auto"/>
        <w:contextualSpacing/>
        <w:rPr>
          <w:rFonts w:ascii="Arial" w:hAnsi="Arial" w:cs="Arial"/>
          <w:sz w:val="20"/>
          <w:szCs w:val="20"/>
          <w:lang w:val="en-US"/>
        </w:rPr>
      </w:pPr>
      <w:r w:rsidRPr="00FA0889">
        <w:rPr>
          <w:rFonts w:ascii="Arial" w:hAnsi="Arial" w:cs="Arial"/>
          <w:b/>
          <w:bCs/>
          <w:sz w:val="20"/>
          <w:szCs w:val="20"/>
          <w:lang w:val="en-US"/>
        </w:rPr>
        <w:t xml:space="preserve">Supplementary Figure S9: (A-D): </w:t>
      </w:r>
      <w:r w:rsidRPr="00FA0889">
        <w:rPr>
          <w:rFonts w:ascii="Arial" w:hAnsi="Arial" w:cs="Arial"/>
          <w:sz w:val="20"/>
          <w:szCs w:val="20"/>
          <w:lang w:val="en-US"/>
        </w:rPr>
        <w:t>Box and whisker plots associated with the four most important bands selected by machine learning to distinguish non-tumoral brain from tumor: A) non-tumoral brain vs. glioblastoma, B) non-tumoral brain vs. metastases, B) non-tumoral brain vs. meningioma, C) non-tumoral brain vs. tumors (glioblastoma, metastases and meningioma measurements lumped together).</w:t>
      </w:r>
    </w:p>
    <w:p w14:paraId="4B4359EA" w14:textId="77777777" w:rsidR="006F613A" w:rsidRPr="00974E0D" w:rsidRDefault="006F613A" w:rsidP="006F613A">
      <w:pPr>
        <w:snapToGrid w:val="0"/>
        <w:spacing w:before="120" w:line="480" w:lineRule="auto"/>
        <w:contextualSpacing/>
        <w:rPr>
          <w:rFonts w:ascii="Arial" w:hAnsi="Arial" w:cs="Arial"/>
          <w:sz w:val="20"/>
          <w:szCs w:val="20"/>
          <w:lang w:val="en-US"/>
        </w:rPr>
      </w:pPr>
    </w:p>
    <w:p w14:paraId="3455CB55" w14:textId="77777777" w:rsidR="00F553FF" w:rsidRDefault="00F553FF"/>
    <w:sectPr w:rsidR="00F553F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613A"/>
    <w:rsid w:val="006F613A"/>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EAFCED"/>
  <w15:chartTrackingRefBased/>
  <w15:docId w15:val="{5A520DFB-35B0-4AA3-871F-9695C493D9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613A"/>
    <w:rPr>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g"/><Relationship Id="rId3" Type="http://schemas.openxmlformats.org/officeDocument/2006/relationships/webSettings" Target="webSettings.xml"/><Relationship Id="rId7" Type="http://schemas.openxmlformats.org/officeDocument/2006/relationships/image" Target="media/image4.jpg"/><Relationship Id="rId12" Type="http://schemas.openxmlformats.org/officeDocument/2006/relationships/image" Target="media/image9.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emf"/><Relationship Id="rId15" Type="http://schemas.openxmlformats.org/officeDocument/2006/relationships/image" Target="media/image12.jpg"/><Relationship Id="rId10" Type="http://schemas.openxmlformats.org/officeDocument/2006/relationships/image" Target="media/image7.png"/><Relationship Id="rId4" Type="http://schemas.openxmlformats.org/officeDocument/2006/relationships/image" Target="media/image1.emf"/><Relationship Id="rId9" Type="http://schemas.openxmlformats.org/officeDocument/2006/relationships/image" Target="media/image6.png"/><Relationship Id="rId14" Type="http://schemas.openxmlformats.org/officeDocument/2006/relationships/image" Target="media/image1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2171</Words>
  <Characters>12377</Characters>
  <Application>Microsoft Office Word</Application>
  <DocSecurity>0</DocSecurity>
  <Lines>103</Lines>
  <Paragraphs>29</Paragraphs>
  <ScaleCrop>false</ScaleCrop>
  <Company>Springer Nature</Company>
  <LinksUpToDate>false</LinksUpToDate>
  <CharactersWithSpaces>14519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2023-07-21T02:41:00Z</dcterms:created>
  <dcterms:modified xsi:type="dcterms:W3CDTF">2023-07-21T02:42:00Z</dcterms:modified>
</cp:coreProperties>
</file>