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b/>
          <w:sz w:val="28"/>
        </w:rPr>
      </w:pPr>
      <w:bookmarkStart w:id="1" w:name="_GoBack"/>
      <w:r>
        <w:rPr>
          <w:rFonts w:ascii="Arial" w:hAnsi="Arial" w:cs="Arial"/>
          <w:b/>
          <w:sz w:val="28"/>
        </w:rPr>
        <w:t>Supplementary Table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b/>
          <w:sz w:val="22"/>
        </w:rPr>
      </w:pPr>
      <w:bookmarkStart w:id="0" w:name="_Hlk112784731"/>
      <w:r>
        <w:rPr>
          <w:rFonts w:ascii="Arial" w:hAnsi="Arial" w:cs="Arial"/>
          <w:b/>
          <w:sz w:val="22"/>
        </w:rPr>
        <w:t xml:space="preserve">Table </w:t>
      </w:r>
      <w:bookmarkEnd w:id="0"/>
      <w:r>
        <w:rPr>
          <w:rFonts w:ascii="Arial" w:hAnsi="Arial" w:cs="Arial"/>
          <w:b/>
          <w:sz w:val="22"/>
        </w:rPr>
        <w:t xml:space="preserve">1. </w:t>
      </w:r>
      <w:r>
        <w:rPr>
          <w:rFonts w:ascii="Arial" w:hAnsi="Arial" w:cs="Arial"/>
          <w:bCs/>
          <w:sz w:val="22"/>
        </w:rPr>
        <w:t>Parameters of MRI Sequence</w:t>
      </w:r>
    </w:p>
    <w:bookmarkEnd w:id="1"/>
    <w:tbl>
      <w:tblPr>
        <w:tblStyle w:val="2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683"/>
        <w:gridCol w:w="776"/>
        <w:gridCol w:w="718"/>
        <w:gridCol w:w="985"/>
        <w:gridCol w:w="1109"/>
        <w:gridCol w:w="584"/>
        <w:gridCol w:w="560"/>
        <w:gridCol w:w="787"/>
        <w:gridCol w:w="82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Sequence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Plane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Slice thickness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Gap between slices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NEX</w:t>
            </w:r>
          </w:p>
        </w:tc>
        <w:tc>
          <w:tcPr>
            <w:tcW w:w="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FOV</w:t>
            </w: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Matrix size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T2WI with fat suppression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coronal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1280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3-4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5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288×192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FRFSE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T1WI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axial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3-4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288×192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T2WI with fat suppression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axial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3-4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320×224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FRFSE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DWI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axial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minimum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3-4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128×128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SS-EPI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Contrast-enhanced T1WI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axial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3-4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192×256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FSPGR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Units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ms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ms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mm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mm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cm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hd w:val="clear" w:color="auto" w:fill="FFFFFF"/>
        </w:rPr>
        <w:t xml:space="preserve">Abbreviations: </w:t>
      </w:r>
      <w:r>
        <w:rPr>
          <w:rFonts w:ascii="Arial" w:hAnsi="Arial" w:cs="Arial"/>
          <w:sz w:val="22"/>
          <w:shd w:val="clear" w:color="auto" w:fill="FFFFFF"/>
        </w:rPr>
        <w:t>TR, repetition time; TE, echo time; NEX, number of excitations; FOV, field of view; T2WIWI, T2WI-weighted image; T1WI, T1-weighted image; DWI, diffusion-weighted imaging; FRFSE, fast recovery fast spin echo; FSE, fast spin echo; SS-EPI, single shot echo-planar imaging; FSPGR, fast spoiled gradient echo.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b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Combined </w:t>
      </w:r>
      <w:r>
        <w:rPr>
          <w:rFonts w:hint="eastAsia" w:ascii="Arial" w:hAnsi="Arial" w:cs="Arial"/>
          <w:b/>
          <w:sz w:val="28"/>
        </w:rPr>
        <w:t>t</w:t>
      </w:r>
      <w:r>
        <w:rPr>
          <w:rFonts w:ascii="Arial" w:hAnsi="Arial" w:cs="Arial"/>
          <w:b/>
          <w:sz w:val="28"/>
        </w:rPr>
        <w:t>hresholds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parameters of ADC</w:t>
      </w:r>
      <w:r>
        <w:rPr>
          <w:rFonts w:ascii="Arial" w:hAnsi="Arial" w:cs="Arial"/>
          <w:sz w:val="22"/>
          <w:vertAlign w:val="subscript"/>
        </w:rPr>
        <w:t>min</w:t>
      </w:r>
      <w:r>
        <w:rPr>
          <w:rFonts w:ascii="Arial" w:hAnsi="Arial" w:cs="Arial"/>
          <w:sz w:val="22"/>
        </w:rPr>
        <w:t xml:space="preserve"> and </w:t>
      </w:r>
      <w:r>
        <w:rPr>
          <w:rFonts w:hint="eastAsia" w:ascii="Arial" w:hAnsi="Arial" w:cs="Arial"/>
          <w:sz w:val="22"/>
        </w:rPr>
        <w:t>DWI_SIR</w:t>
      </w:r>
      <w:r>
        <w:rPr>
          <w:rFonts w:ascii="Arial" w:hAnsi="Arial" w:cs="Arial"/>
          <w:sz w:val="22"/>
        </w:rPr>
        <w:t xml:space="preserve"> were combined to provide a single integrated diagnostic marker. Thresholds were established by </w:t>
      </w:r>
      <w:r>
        <w:rPr>
          <w:rFonts w:ascii="Arial" w:hAnsi="Arial" w:eastAsia="宋体" w:cs="Arial"/>
          <w:sz w:val="22"/>
        </w:rPr>
        <w:t>receiver operating characteristic analysis</w:t>
      </w:r>
      <w:r>
        <w:rPr>
          <w:rFonts w:ascii="Arial" w:hAnsi="Arial" w:cs="Arial"/>
          <w:sz w:val="22"/>
        </w:rPr>
        <w:t xml:space="preserve"> (ROC) curves to maximize the sensitivity and specificity of benign and malignant lesions. The threshold for ADC</w:t>
      </w:r>
      <w:r>
        <w:rPr>
          <w:rFonts w:ascii="Arial" w:hAnsi="Arial" w:cs="Arial"/>
          <w:sz w:val="22"/>
          <w:vertAlign w:val="subscript"/>
        </w:rPr>
        <w:t>min</w:t>
      </w:r>
      <w:r>
        <w:rPr>
          <w:rFonts w:ascii="Arial" w:hAnsi="Arial" w:cs="Arial"/>
          <w:sz w:val="22"/>
        </w:rPr>
        <w:t xml:space="preserve"> is 1.</w:t>
      </w:r>
      <w:r>
        <w:rPr>
          <w:rFonts w:hint="eastAsia"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3×10</w:t>
      </w:r>
      <w:r>
        <w:rPr>
          <w:rFonts w:ascii="Arial" w:hAnsi="Arial" w:cs="Arial"/>
          <w:sz w:val="22"/>
          <w:vertAlign w:val="superscript"/>
        </w:rPr>
        <w:t>-3</w:t>
      </w:r>
      <w:r>
        <w:rPr>
          <w:rFonts w:ascii="Arial" w:hAnsi="Arial" w:cs="Arial"/>
          <w:sz w:val="22"/>
        </w:rPr>
        <w:t xml:space="preserve"> mm</w:t>
      </w:r>
      <w:r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 xml:space="preserve">/sec and for </w:t>
      </w:r>
      <w:r>
        <w:rPr>
          <w:rFonts w:hint="eastAsia" w:ascii="Arial" w:hAnsi="Arial" w:cs="Arial"/>
          <w:sz w:val="22"/>
        </w:rPr>
        <w:t>DWI_SIR</w:t>
      </w:r>
      <w:r>
        <w:rPr>
          <w:rFonts w:ascii="Arial" w:hAnsi="Arial" w:cs="Arial"/>
          <w:sz w:val="22"/>
        </w:rPr>
        <w:t xml:space="preserve"> is 1</w:t>
      </w:r>
      <w:r>
        <w:rPr>
          <w:rFonts w:hint="eastAsia" w:ascii="Arial" w:hAnsi="Arial" w:cs="Arial"/>
          <w:sz w:val="22"/>
        </w:rPr>
        <w:t>.20</w:t>
      </w:r>
      <w:r>
        <w:rPr>
          <w:rFonts w:ascii="Arial" w:hAnsi="Arial" w:cs="Arial"/>
          <w:sz w:val="22"/>
        </w:rPr>
        <w:t>. If both ADC</w:t>
      </w:r>
      <w:r>
        <w:rPr>
          <w:rFonts w:ascii="Arial" w:hAnsi="Arial" w:cs="Arial"/>
          <w:sz w:val="22"/>
          <w:vertAlign w:val="subscript"/>
        </w:rPr>
        <w:t>min</w:t>
      </w:r>
      <w:r>
        <w:rPr>
          <w:rFonts w:ascii="Arial" w:hAnsi="Arial" w:cs="Arial"/>
          <w:sz w:val="22"/>
        </w:rPr>
        <w:t xml:space="preserve"> was less than 1.</w:t>
      </w:r>
      <w:r>
        <w:rPr>
          <w:rFonts w:hint="eastAsia"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3</w:t>
      </w:r>
      <w:r>
        <w:rPr>
          <w:rFonts w:hint="eastAsia" w:ascii="微软雅黑" w:hAnsi="微软雅黑" w:eastAsia="微软雅黑" w:cs="微软雅黑"/>
          <w:sz w:val="22"/>
        </w:rPr>
        <w:t>×</w:t>
      </w:r>
      <w:r>
        <w:rPr>
          <w:rFonts w:hint="eastAsia" w:ascii="Arial" w:hAnsi="Arial" w:eastAsia="微软雅黑" w:cs="Arial"/>
          <w:sz w:val="22"/>
        </w:rPr>
        <w:t>10</w:t>
      </w:r>
      <w:r>
        <w:rPr>
          <w:rFonts w:hint="eastAsia" w:ascii="Arial" w:hAnsi="Arial" w:eastAsia="微软雅黑" w:cs="Arial"/>
          <w:sz w:val="22"/>
          <w:vertAlign w:val="superscript"/>
        </w:rPr>
        <w:t xml:space="preserve">-3 </w:t>
      </w:r>
      <w:r>
        <w:rPr>
          <w:rFonts w:ascii="Arial" w:hAnsi="Arial" w:cs="Arial"/>
          <w:sz w:val="22"/>
        </w:rPr>
        <w:t>mm</w:t>
      </w:r>
      <w:r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 xml:space="preserve">/sec and </w:t>
      </w:r>
      <w:r>
        <w:rPr>
          <w:rFonts w:hint="eastAsia" w:ascii="Arial" w:hAnsi="Arial" w:cs="Arial"/>
          <w:sz w:val="22"/>
        </w:rPr>
        <w:t>DWI_SIR</w:t>
      </w:r>
      <w:r>
        <w:rPr>
          <w:rFonts w:ascii="Arial" w:hAnsi="Arial" w:cs="Arial"/>
          <w:sz w:val="22"/>
        </w:rPr>
        <w:t xml:space="preserve"> was greater than 1</w:t>
      </w:r>
      <w:r>
        <w:rPr>
          <w:rFonts w:hint="eastAsia" w:ascii="Arial" w:hAnsi="Arial" w:cs="Arial"/>
          <w:sz w:val="22"/>
        </w:rPr>
        <w:t>.20</w:t>
      </w:r>
      <w:r>
        <w:rPr>
          <w:rFonts w:ascii="Arial" w:hAnsi="Arial" w:cs="Arial"/>
          <w:sz w:val="22"/>
        </w:rPr>
        <w:t>, the combination threshold is determined to be malignant; otherwise, it is determined to be benign. Similarly, instead of ADC</w:t>
      </w:r>
      <w:r>
        <w:rPr>
          <w:rFonts w:ascii="Arial" w:hAnsi="Arial" w:cs="Arial"/>
          <w:sz w:val="22"/>
          <w:vertAlign w:val="subscript"/>
        </w:rPr>
        <w:t>min</w:t>
      </w:r>
      <w:r>
        <w:rPr>
          <w:rFonts w:ascii="Arial" w:hAnsi="Arial" w:cs="Arial"/>
          <w:sz w:val="22"/>
        </w:rPr>
        <w:t xml:space="preserve"> </w:t>
      </w:r>
      <w:r>
        <w:rPr>
          <w:rFonts w:hint="eastAsia" w:ascii="Arial" w:hAnsi="Arial" w:cs="Arial"/>
          <w:sz w:val="22"/>
        </w:rPr>
        <w:t>combined</w:t>
      </w:r>
      <w:r>
        <w:rPr>
          <w:rFonts w:ascii="Arial" w:hAnsi="Arial" w:cs="Arial"/>
          <w:sz w:val="22"/>
        </w:rPr>
        <w:t xml:space="preserve"> </w:t>
      </w:r>
      <w:r>
        <w:rPr>
          <w:rFonts w:hint="eastAsia" w:ascii="Arial" w:hAnsi="Arial" w:cs="Arial"/>
          <w:sz w:val="22"/>
        </w:rPr>
        <w:t>DWI_SIR</w:t>
      </w:r>
      <w:r>
        <w:rPr>
          <w:rFonts w:ascii="Arial" w:hAnsi="Arial" w:cs="Arial"/>
          <w:sz w:val="22"/>
        </w:rPr>
        <w:t xml:space="preserve"> with </w:t>
      </w:r>
      <w:r>
        <w:rPr>
          <w:rFonts w:hint="eastAsia" w:ascii="Arial" w:hAnsi="Arial" w:cs="Arial"/>
          <w:sz w:val="22"/>
        </w:rPr>
        <w:t>ADC_SIR</w:t>
      </w:r>
      <w:r>
        <w:rPr>
          <w:rFonts w:ascii="Arial" w:hAnsi="Arial" w:cs="Arial"/>
          <w:sz w:val="22"/>
        </w:rPr>
        <w:t xml:space="preserve"> to provide a single integrated diagnostic marker. The threshold for </w:t>
      </w:r>
      <w:r>
        <w:rPr>
          <w:rFonts w:hint="eastAsia" w:ascii="Arial" w:hAnsi="Arial" w:cs="Arial"/>
          <w:sz w:val="22"/>
        </w:rPr>
        <w:t>ADC_SIR</w:t>
      </w:r>
      <w:r>
        <w:rPr>
          <w:rFonts w:ascii="Arial" w:hAnsi="Arial" w:cs="Arial"/>
          <w:sz w:val="22"/>
        </w:rPr>
        <w:t xml:space="preserve"> is 1.</w:t>
      </w:r>
      <w:r>
        <w:rPr>
          <w:rFonts w:hint="eastAsia" w:ascii="Arial" w:hAnsi="Arial" w:cs="Arial"/>
          <w:sz w:val="22"/>
        </w:rPr>
        <w:t>25</w:t>
      </w:r>
      <w:r>
        <w:rPr>
          <w:rFonts w:ascii="Arial" w:hAnsi="Arial" w:cs="Arial"/>
          <w:sz w:val="22"/>
        </w:rPr>
        <w:t xml:space="preserve">. If both </w:t>
      </w:r>
      <w:r>
        <w:rPr>
          <w:rFonts w:hint="eastAsia" w:ascii="Arial" w:hAnsi="Arial" w:cs="Arial"/>
          <w:sz w:val="22"/>
        </w:rPr>
        <w:t>ADC_SIR</w:t>
      </w:r>
      <w:r>
        <w:rPr>
          <w:rFonts w:ascii="Arial" w:hAnsi="Arial" w:cs="Arial"/>
          <w:sz w:val="22"/>
        </w:rPr>
        <w:t xml:space="preserve"> was less than 1</w:t>
      </w:r>
      <w:r>
        <w:rPr>
          <w:rFonts w:hint="eastAsia" w:ascii="Arial" w:hAnsi="Arial" w:cs="Arial"/>
          <w:sz w:val="22"/>
        </w:rPr>
        <w:t>.25</w:t>
      </w:r>
      <w:r>
        <w:rPr>
          <w:rFonts w:ascii="Arial" w:hAnsi="Arial" w:cs="Arial"/>
          <w:sz w:val="22"/>
        </w:rPr>
        <w:t xml:space="preserve"> and </w:t>
      </w:r>
      <w:r>
        <w:rPr>
          <w:rFonts w:hint="eastAsia" w:ascii="Arial" w:hAnsi="Arial" w:cs="Arial"/>
          <w:sz w:val="22"/>
        </w:rPr>
        <w:t>DWI_SIR</w:t>
      </w:r>
      <w:r>
        <w:rPr>
          <w:rFonts w:ascii="Arial" w:hAnsi="Arial" w:cs="Arial"/>
          <w:sz w:val="22"/>
        </w:rPr>
        <w:t xml:space="preserve"> was greater than 1</w:t>
      </w:r>
      <w:r>
        <w:rPr>
          <w:rFonts w:hint="eastAsia" w:ascii="Arial" w:hAnsi="Arial" w:cs="Arial"/>
          <w:sz w:val="22"/>
        </w:rPr>
        <w:t>.20</w:t>
      </w:r>
      <w:r>
        <w:rPr>
          <w:rFonts w:ascii="Arial" w:hAnsi="Arial" w:cs="Arial"/>
          <w:sz w:val="22"/>
        </w:rPr>
        <w:t xml:space="preserve">, the combination threshold is determined to be malignant; otherwise, it is determined to be benign. The diagnostic efficacy of the combined thresholds was then calculated and compared with </w:t>
      </w:r>
      <w:r>
        <w:rPr>
          <w:rFonts w:ascii="Arial" w:hAnsi="Arial" w:eastAsia="宋体" w:cs="Arial"/>
          <w:bCs/>
          <w:sz w:val="22"/>
        </w:rPr>
        <w:t>ACR-TIRADS</w:t>
      </w:r>
      <w:r>
        <w:rPr>
          <w:rFonts w:ascii="Arial" w:hAnsi="Arial" w:cs="Arial"/>
          <w:sz w:val="22"/>
        </w:rPr>
        <w:t>.</w:t>
      </w:r>
    </w:p>
    <w:p>
      <w:pPr>
        <w:spacing w:line="360" w:lineRule="auto"/>
        <w:rPr>
          <w:rFonts w:ascii="Arial" w:hAnsi="Arial" w:cs="Arial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Supplementary Table 2</w:t>
      </w:r>
    </w:p>
    <w:tbl>
      <w:tblPr>
        <w:tblStyle w:val="3"/>
        <w:tblW w:w="8724" w:type="dxa"/>
        <w:tblInd w:w="7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0"/>
        <w:gridCol w:w="10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0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hint="eastAsia" w:ascii="Arial" w:hAnsi="Arial" w:cs="Arial"/>
                <w:sz w:val="22"/>
              </w:rPr>
              <w:t>Model</w:t>
            </w:r>
          </w:p>
        </w:tc>
        <w:tc>
          <w:tcPr>
            <w:tcW w:w="103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hint="eastAsia" w:ascii="Arial" w:hAnsi="Arial" w:cs="Arial"/>
                <w:sz w:val="22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69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Prediction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model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VS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Combined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thresholds</w:t>
            </w:r>
            <w:r>
              <w:rPr>
                <w:rFonts w:hint="eastAsia" w:ascii="Arial" w:hAnsi="Arial" w:cs="Arial"/>
                <w:sz w:val="22"/>
              </w:rPr>
              <w:t xml:space="preserve"> DWI_SIR </w:t>
            </w:r>
            <w:r>
              <w:rPr>
                <w:rFonts w:ascii="Arial" w:hAnsi="Arial" w:cs="Arial"/>
                <w:sz w:val="22"/>
              </w:rPr>
              <w:t>and</w:t>
            </w:r>
            <w:r>
              <w:rPr>
                <w:rFonts w:hint="eastAsia" w:ascii="Arial" w:hAnsi="Arial" w:cs="Arial"/>
                <w:sz w:val="22"/>
              </w:rPr>
              <w:t xml:space="preserve"> ADC_SIR</w:t>
            </w:r>
          </w:p>
        </w:tc>
        <w:tc>
          <w:tcPr>
            <w:tcW w:w="1034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hint="eastAsia" w:ascii="Arial" w:hAnsi="Arial" w:cs="Arial"/>
                <w:sz w:val="22"/>
              </w:rPr>
              <w:t>0.036</w:t>
            </w: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690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Prediction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model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VS</w:t>
            </w:r>
            <w:r>
              <w:rPr>
                <w:rFonts w:ascii="Arial" w:hAnsi="Arial" w:cs="Arial"/>
                <w:sz w:val="22"/>
              </w:rPr>
              <w:t xml:space="preserve"> Combined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thresholds</w:t>
            </w:r>
            <w:r>
              <w:rPr>
                <w:rFonts w:hint="eastAsia" w:ascii="Arial" w:hAnsi="Arial" w:cs="Arial"/>
                <w:sz w:val="22"/>
              </w:rPr>
              <w:t xml:space="preserve"> DWI_SIR </w:t>
            </w:r>
            <w:r>
              <w:rPr>
                <w:rFonts w:ascii="Arial" w:hAnsi="Arial" w:cs="Arial"/>
                <w:sz w:val="22"/>
              </w:rPr>
              <w:t>and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ADC</w:t>
            </w:r>
            <w:r>
              <w:rPr>
                <w:rFonts w:ascii="Arial" w:hAnsi="Arial" w:cs="Arial"/>
                <w:sz w:val="22"/>
                <w:vertAlign w:val="subscript"/>
              </w:rPr>
              <w:t>min</w:t>
            </w:r>
          </w:p>
        </w:tc>
        <w:tc>
          <w:tcPr>
            <w:tcW w:w="1034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hint="eastAsia" w:ascii="Arial" w:hAnsi="Arial" w:cs="Arial"/>
                <w:sz w:val="22"/>
              </w:rPr>
              <w:t>0.500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0" w:type="dxa"/>
            <w:tcBorders>
              <w:tl2br w:val="nil"/>
              <w:tr2bl w:val="nil"/>
            </w:tcBorders>
          </w:tcPr>
          <w:p>
            <w:pPr>
              <w:spacing w:line="360" w:lineRule="auto"/>
              <w:ind w:left="220" w:hanging="220" w:hangingChars="10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Combined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thresholds</w:t>
            </w:r>
            <w:r>
              <w:rPr>
                <w:rFonts w:hint="eastAsia" w:ascii="Arial" w:hAnsi="Arial" w:cs="Arial"/>
                <w:sz w:val="22"/>
              </w:rPr>
              <w:t xml:space="preserve"> DWI_SIR </w:t>
            </w:r>
            <w:r>
              <w:rPr>
                <w:rFonts w:ascii="Arial" w:hAnsi="Arial" w:cs="Arial"/>
                <w:sz w:val="22"/>
              </w:rPr>
              <w:t>and</w:t>
            </w:r>
            <w:r>
              <w:rPr>
                <w:rFonts w:hint="eastAsia" w:ascii="Arial" w:hAnsi="Arial" w:cs="Arial"/>
                <w:sz w:val="22"/>
              </w:rPr>
              <w:t xml:space="preserve"> ADC_SIR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>
            <w:pPr>
              <w:spacing w:line="360" w:lineRule="auto"/>
              <w:ind w:left="220" w:hanging="221" w:hangingChars="10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hint="eastAsia" w:ascii="Arial" w:hAnsi="Arial" w:cs="Arial"/>
                <w:b/>
                <w:bCs/>
                <w:sz w:val="22"/>
              </w:rPr>
              <w:t>VS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Combined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thresholds</w:t>
            </w:r>
            <w:r>
              <w:rPr>
                <w:rFonts w:hint="eastAsia" w:ascii="Arial" w:hAnsi="Arial" w:cs="Arial"/>
                <w:sz w:val="22"/>
              </w:rPr>
              <w:t xml:space="preserve"> DWI_SIR </w:t>
            </w:r>
            <w:r>
              <w:rPr>
                <w:rFonts w:ascii="Arial" w:hAnsi="Arial" w:cs="Arial"/>
                <w:sz w:val="22"/>
              </w:rPr>
              <w:t>and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ADC</w:t>
            </w:r>
            <w:r>
              <w:rPr>
                <w:rFonts w:ascii="Arial" w:hAnsi="Arial" w:cs="Arial"/>
                <w:sz w:val="22"/>
                <w:vertAlign w:val="subscript"/>
              </w:rPr>
              <w:t>min</w:t>
            </w:r>
          </w:p>
        </w:tc>
        <w:tc>
          <w:tcPr>
            <w:tcW w:w="1034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hint="eastAsia" w:ascii="Arial" w:hAnsi="Arial" w:cs="Arial"/>
                <w:sz w:val="22"/>
              </w:rPr>
              <w:t>0.018</w:t>
            </w: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0" w:type="dxa"/>
            <w:tcBorders>
              <w:tl2br w:val="nil"/>
              <w:tr2bl w:val="nil"/>
            </w:tcBorders>
          </w:tcPr>
          <w:p>
            <w:pPr>
              <w:spacing w:line="360" w:lineRule="auto"/>
              <w:ind w:left="220" w:hanging="220" w:hangingChars="1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ACR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TIRADS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VS</w:t>
            </w:r>
            <w:r>
              <w:rPr>
                <w:rFonts w:ascii="Arial" w:hAnsi="Arial" w:cs="Arial"/>
                <w:sz w:val="22"/>
              </w:rPr>
              <w:t xml:space="preserve"> Prediction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model</w:t>
            </w:r>
          </w:p>
        </w:tc>
        <w:tc>
          <w:tcPr>
            <w:tcW w:w="1034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hint="eastAsia" w:ascii="Arial" w:hAnsi="Arial" w:cs="Arial"/>
                <w:sz w:val="22"/>
              </w:rPr>
              <w:t>0.050</w:t>
            </w: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690" w:type="dxa"/>
            <w:tcBorders>
              <w:tl2br w:val="nil"/>
              <w:tr2bl w:val="nil"/>
            </w:tcBorders>
          </w:tcPr>
          <w:p>
            <w:pPr>
              <w:spacing w:line="360" w:lineRule="auto"/>
              <w:ind w:left="220" w:hanging="220" w:hangingChars="1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ACR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TIRADS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VS</w:t>
            </w:r>
            <w:r>
              <w:rPr>
                <w:rFonts w:ascii="Arial" w:hAnsi="Arial" w:cs="Arial"/>
                <w:sz w:val="22"/>
              </w:rPr>
              <w:t xml:space="preserve"> Combined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thresholds</w:t>
            </w:r>
            <w:r>
              <w:rPr>
                <w:rFonts w:hint="eastAsia" w:ascii="Arial" w:hAnsi="Arial" w:cs="Arial"/>
                <w:sz w:val="22"/>
              </w:rPr>
              <w:t xml:space="preserve"> DWI_SIR </w:t>
            </w:r>
            <w:r>
              <w:rPr>
                <w:rFonts w:ascii="Arial" w:hAnsi="Arial" w:cs="Arial"/>
                <w:sz w:val="22"/>
              </w:rPr>
              <w:t>and</w:t>
            </w:r>
            <w:r>
              <w:rPr>
                <w:rFonts w:hint="eastAsia" w:ascii="Arial" w:hAnsi="Arial" w:cs="Arial"/>
                <w:sz w:val="22"/>
              </w:rPr>
              <w:t xml:space="preserve"> ADC_SIR</w:t>
            </w:r>
          </w:p>
        </w:tc>
        <w:tc>
          <w:tcPr>
            <w:tcW w:w="1034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hint="eastAsia" w:ascii="Arial" w:hAnsi="Arial" w:cs="Arial"/>
                <w:sz w:val="22"/>
              </w:rPr>
              <w:t>0.475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0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ACR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TIRADS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VS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Combined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thresholds</w:t>
            </w:r>
            <w:r>
              <w:rPr>
                <w:rFonts w:hint="eastAsia" w:ascii="Arial" w:hAnsi="Arial" w:cs="Arial"/>
                <w:sz w:val="22"/>
              </w:rPr>
              <w:t xml:space="preserve"> DWI_SIR </w:t>
            </w:r>
            <w:r>
              <w:rPr>
                <w:rFonts w:ascii="Arial" w:hAnsi="Arial" w:cs="Arial"/>
                <w:sz w:val="22"/>
              </w:rPr>
              <w:t>and</w:t>
            </w:r>
            <w:r>
              <w:rPr>
                <w:rFonts w:hint="eastAsia"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ADC</w:t>
            </w:r>
            <w:r>
              <w:rPr>
                <w:rFonts w:ascii="Arial" w:hAnsi="Arial" w:cs="Arial"/>
                <w:sz w:val="22"/>
                <w:vertAlign w:val="subscript"/>
              </w:rPr>
              <w:t>min</w:t>
            </w:r>
          </w:p>
        </w:tc>
        <w:tc>
          <w:tcPr>
            <w:tcW w:w="1034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hint="eastAsia" w:ascii="Arial" w:hAnsi="Arial" w:cs="Arial"/>
                <w:sz w:val="22"/>
              </w:rPr>
              <w:t>0.041</w:t>
            </w: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  <w:shd w:val="clear" w:color="auto" w:fill="FFFFFF"/>
        </w:rPr>
        <w:t>Abbreviations:</w:t>
      </w:r>
      <w:r>
        <w:rPr>
          <w:rFonts w:ascii="Arial" w:hAnsi="Arial" w:cs="Arial"/>
          <w:sz w:val="22"/>
          <w:shd w:val="clear" w:color="auto" w:fill="FFFFFF"/>
        </w:rPr>
        <w:t xml:space="preserve"> </w:t>
      </w:r>
      <w:r>
        <w:rPr>
          <w:rFonts w:hint="eastAsia" w:ascii="Arial" w:hAnsi="Arial" w:cs="Arial"/>
          <w:sz w:val="22"/>
          <w:shd w:val="clear" w:color="auto" w:fill="FFFFFF"/>
        </w:rPr>
        <w:t xml:space="preserve">DWI, </w:t>
      </w:r>
      <w:r>
        <w:rPr>
          <w:rFonts w:ascii="Arial" w:hAnsi="Arial" w:cs="Arial"/>
          <w:sz w:val="22"/>
          <w:shd w:val="clear" w:color="auto" w:fill="FFFFFF"/>
        </w:rPr>
        <w:t>diffusion weighted imaging</w:t>
      </w:r>
      <w:r>
        <w:rPr>
          <w:rFonts w:hint="eastAsia" w:ascii="Arial" w:hAnsi="Arial" w:cs="Arial"/>
          <w:sz w:val="22"/>
          <w:shd w:val="clear" w:color="auto" w:fill="FFFFFF"/>
        </w:rPr>
        <w:t xml:space="preserve">; ADC, apparent diffusion coefficient; </w:t>
      </w:r>
      <w:r>
        <w:rPr>
          <w:rFonts w:hint="eastAsia" w:ascii="Arial" w:hAnsi="Arial" w:eastAsia="宋体" w:cs="Arial"/>
          <w:sz w:val="22"/>
          <w:szCs w:val="24"/>
          <w:lang w:bidi="ar"/>
        </w:rPr>
        <w:t xml:space="preserve"> </w:t>
      </w:r>
      <w:r>
        <w:rPr>
          <w:rFonts w:hint="eastAsia" w:ascii="Arial" w:hAnsi="Arial" w:cs="Arial"/>
          <w:sz w:val="22"/>
          <w:szCs w:val="28"/>
        </w:rPr>
        <w:t xml:space="preserve">AUC, area under the </w:t>
      </w:r>
      <w:r>
        <w:rPr>
          <w:rFonts w:ascii="Arial" w:hAnsi="Arial" w:eastAsia="宋体" w:cs="Arial"/>
          <w:sz w:val="22"/>
          <w:szCs w:val="28"/>
          <w:lang w:bidi="ar"/>
        </w:rPr>
        <w:t>receiver operating characteristic</w:t>
      </w:r>
      <w:r>
        <w:rPr>
          <w:rFonts w:hint="eastAsia" w:ascii="Arial" w:hAnsi="Arial" w:eastAsia="宋体" w:cs="Arial"/>
          <w:sz w:val="22"/>
          <w:szCs w:val="28"/>
          <w:lang w:bidi="ar"/>
        </w:rPr>
        <w:t xml:space="preserve"> </w:t>
      </w:r>
      <w:r>
        <w:rPr>
          <w:rFonts w:ascii="Arial" w:hAnsi="Arial" w:eastAsia="宋体" w:cs="Arial"/>
          <w:sz w:val="22"/>
          <w:szCs w:val="28"/>
          <w:lang w:bidi="ar"/>
        </w:rPr>
        <w:t>curve</w:t>
      </w:r>
      <w:r>
        <w:rPr>
          <w:rFonts w:hint="eastAsia" w:ascii="Arial" w:hAnsi="Arial" w:eastAsia="宋体" w:cs="Arial"/>
          <w:sz w:val="22"/>
          <w:szCs w:val="28"/>
          <w:lang w:bidi="ar"/>
        </w:rPr>
        <w:t>;</w:t>
      </w:r>
      <w:r>
        <w:rPr>
          <w:rFonts w:ascii="Arial" w:hAnsi="Arial" w:cs="Arial"/>
          <w:szCs w:val="21"/>
        </w:rPr>
        <w:t xml:space="preserve"> S</w:t>
      </w:r>
      <w:r>
        <w:rPr>
          <w:rFonts w:hint="eastAsia" w:ascii="Arial" w:hAnsi="Arial" w:cs="Arial"/>
          <w:szCs w:val="21"/>
        </w:rPr>
        <w:t xml:space="preserve">IR, signal intensity ratio of </w:t>
      </w:r>
      <w:r>
        <w:rPr>
          <w:rFonts w:ascii="Arial" w:hAnsi="Arial" w:cs="Arial"/>
          <w:szCs w:val="21"/>
        </w:rPr>
        <w:t>lesion</w:t>
      </w:r>
      <w:r>
        <w:rPr>
          <w:rFonts w:hint="eastAsia" w:ascii="Arial" w:hAnsi="Arial" w:cs="Arial"/>
          <w:szCs w:val="21"/>
        </w:rPr>
        <w:t xml:space="preserve"> to </w:t>
      </w:r>
      <w:r>
        <w:rPr>
          <w:rFonts w:ascii="Arial" w:hAnsi="Arial" w:eastAsia="宋体" w:cs="Arial"/>
          <w:bCs/>
          <w:sz w:val="22"/>
          <w:szCs w:val="24"/>
          <w:lang w:bidi="ar"/>
        </w:rPr>
        <w:t>contralateral-normal thyroid tissue</w:t>
      </w:r>
      <w:r>
        <w:rPr>
          <w:rFonts w:hint="eastAsia" w:ascii="Arial" w:hAnsi="Arial" w:cs="Arial"/>
          <w:sz w:val="22"/>
        </w:rPr>
        <w:t xml:space="preserve">; </w:t>
      </w:r>
      <w:r>
        <w:rPr>
          <w:rFonts w:hint="eastAsia" w:ascii="Arial" w:hAnsi="Arial" w:cs="Arial"/>
          <w:sz w:val="22"/>
          <w:szCs w:val="28"/>
        </w:rPr>
        <w:t xml:space="preserve">ACR-TIRADS, </w:t>
      </w:r>
      <w:r>
        <w:rPr>
          <w:rFonts w:ascii="Arial" w:hAnsi="Arial" w:eastAsia="宋体" w:cs="Arial"/>
          <w:bCs/>
          <w:sz w:val="22"/>
          <w:lang w:bidi="ar"/>
        </w:rPr>
        <w:t>American College of Radiology Thyroid Imaging Reporting and Data System</w:t>
      </w:r>
      <w:r>
        <w:rPr>
          <w:rFonts w:hint="eastAsia" w:ascii="Arial" w:hAnsi="Arial" w:eastAsia="宋体" w:cs="Arial"/>
          <w:bCs/>
          <w:sz w:val="22"/>
          <w:lang w:bidi="ar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000000"/>
    <w:rsid w:val="31FF4B42"/>
    <w:rsid w:val="66F6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等线" w:hAnsi="等线" w:eastAsia="等线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2023-03-27T14:42:00Z</dcterms:created>
  <dc:creator>19653</dc:creator>
  <cp:lastModifiedBy>郑婷婷</cp:lastModifiedBy>
  <dcterms:modified xsi:type="dcterms:W3CDTF">2023-07-12T11:01:24Z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A1EC1CAD7D1444CAA55682FC38F61B07</vt:lpwstr>
  </property>
</Properties>
</file>