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drawing>
          <wp:inline distT="0" distB="0" distL="0" distR="0">
            <wp:extent cx="5274310" cy="4706620"/>
            <wp:effectExtent l="0" t="0" r="2540" b="0"/>
            <wp:docPr id="8012187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18785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 Fig.1 </w:t>
      </w:r>
      <w:r>
        <w:rPr>
          <w:rFonts w:ascii="Times New Roman" w:hAnsi="Times New Roman" w:cs="Times New Roman"/>
        </w:rPr>
        <w:t>Pre-processing of LUAD number samples (A) Visualization of clustering results of LUAD samples before and after de-batching using UMAP plots (B) Box plots of expression values of LUAD samples before and after de-batching.</w:t>
      </w:r>
    </w:p>
    <w:p>
      <w:r>
        <w:drawing>
          <wp:inline distT="0" distB="0" distL="0" distR="0">
            <wp:extent cx="5274310" cy="5321935"/>
            <wp:effectExtent l="0" t="0" r="2540" b="0"/>
            <wp:docPr id="31935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5938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  <w:b/>
          <w:bCs/>
        </w:rPr>
        <w:t xml:space="preserve">Supplement Fig.2 Gene co-expression network construction. </w:t>
      </w:r>
      <w:r>
        <w:rPr>
          <w:rFonts w:hint="eastAsia" w:ascii="Times New Roman" w:hAnsi="Times New Roman" w:cs="Times New Roman"/>
        </w:rPr>
        <w:t>（A）</w:t>
      </w:r>
      <w:r>
        <w:rPr>
          <w:rFonts w:ascii="Times New Roman" w:hAnsi="Times New Roman" w:cs="Times New Roman"/>
        </w:rPr>
        <w:t xml:space="preserve"> Sample dendrogram and trait indicator. (B) Analyze the scale-free fit index of the 1-20 soft threshold power (β). (C) Analyze the average connectivity of 1-20 soft threshold power.</w:t>
      </w:r>
      <w:r>
        <w:t xml:space="preserve"> </w:t>
      </w:r>
    </w:p>
    <w:p>
      <w:pPr>
        <w:rPr>
          <w:rFonts w:ascii="Times New Roman" w:hAnsi="Times New Roman" w:cs="Times New Roman"/>
        </w:rPr>
      </w:pPr>
      <w:r>
        <w:drawing>
          <wp:inline distT="0" distB="0" distL="0" distR="0">
            <wp:extent cx="5274310" cy="3963670"/>
            <wp:effectExtent l="0" t="0" r="2540" b="0"/>
            <wp:docPr id="4747756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75690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 Fig.3 The prognostic value of the SPOCK1 </w:t>
      </w:r>
      <w:r>
        <w:rPr>
          <w:rFonts w:hint="eastAsia" w:ascii="Times New Roman" w:hAnsi="Times New Roman" w:cs="Times New Roman"/>
          <w:b/>
          <w:bCs/>
        </w:rPr>
        <w:t>in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the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combined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cohort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</w:rPr>
        <w:t>（A）</w:t>
      </w:r>
      <w:r>
        <w:rPr>
          <w:rFonts w:ascii="Times New Roman" w:hAnsi="Times New Roman" w:cs="Times New Roman"/>
        </w:rPr>
        <w:t xml:space="preserve"> Univariate and multivariate Cox regression analyses of the association between clinic</w:t>
      </w:r>
      <w:r>
        <w:rPr>
          <w:rFonts w:hint="eastAsia"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features</w:t>
      </w:r>
      <w:r>
        <w:rPr>
          <w:rFonts w:ascii="Times New Roman" w:hAnsi="Times New Roman" w:cs="Times New Roman"/>
        </w:rPr>
        <w:t xml:space="preserve"> and OS of patients. (B) Construction of a nomogram for survival prediction </w:t>
      </w:r>
      <w:r>
        <w:rPr>
          <w:rFonts w:hint="eastAsia" w:ascii="Times New Roman" w:hAnsi="Times New Roman" w:cs="Times New Roman"/>
        </w:rPr>
        <w:t>based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SPOCK1. (C) The calibration curve for the nomogram model. Three colored lines (purple, red, and black) represent the performance of the nomogram. A closer fit to the diagonal gray line indicates a better estimation.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drawing>
          <wp:inline distT="0" distB="0" distL="0" distR="0">
            <wp:extent cx="5274310" cy="1470025"/>
            <wp:effectExtent l="0" t="0" r="2540" b="0"/>
            <wp:docPr id="120050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0668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 Fig.4 Knockdown of SPOCK1 in cell lines. </w:t>
      </w:r>
      <w:r>
        <w:rPr>
          <w:rFonts w:ascii="Times New Roman" w:hAnsi="Times New Roman" w:cs="Times New Roman"/>
        </w:rPr>
        <w:t xml:space="preserve">Western blotting assay after knockdown of SPOCK1 in </w:t>
      </w:r>
      <w:r>
        <w:rPr>
          <w:rFonts w:hint="eastAsia" w:ascii="Times New Roman" w:hAnsi="Times New Roman" w:cs="Times New Roman"/>
        </w:rPr>
        <w:t>（A）</w:t>
      </w:r>
      <w:r>
        <w:rPr>
          <w:rFonts w:ascii="Times New Roman" w:hAnsi="Times New Roman" w:cs="Times New Roman"/>
        </w:rPr>
        <w:t xml:space="preserve">H1975 and </w:t>
      </w:r>
      <w:r>
        <w:rPr>
          <w:rFonts w:hint="eastAsia" w:ascii="Times New Roman" w:hAnsi="Times New Roman" w:cs="Times New Roman"/>
        </w:rPr>
        <w:t>（B）</w:t>
      </w:r>
      <w:r>
        <w:rPr>
          <w:rFonts w:ascii="Times New Roman" w:hAnsi="Times New Roman" w:cs="Times New Roman"/>
        </w:rPr>
        <w:t>A549</w:t>
      </w:r>
      <w:r>
        <w:rPr>
          <w:rFonts w:hint="eastAsia"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r>
        <w:t xml:space="preserve"> </w:t>
      </w:r>
      <w:r>
        <w:drawing>
          <wp:inline distT="0" distB="0" distL="0" distR="0">
            <wp:extent cx="5274310" cy="4215130"/>
            <wp:effectExtent l="0" t="0" r="2540" b="0"/>
            <wp:docPr id="291789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897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</w:rPr>
        <w:t xml:space="preserve">Supplement Fig.5 </w:t>
      </w:r>
      <w:r>
        <w:rPr>
          <w:rFonts w:hint="eastAsia" w:ascii="Times New Roman" w:hAnsi="Times New Roman" w:cs="Times New Roman"/>
          <w:b/>
          <w:bCs/>
        </w:rPr>
        <w:t>Pan-cancer study of SPOCK1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（C）The mRNA expression of SPOCK1 between tumor and normal tissues was assessed from the TCGA database. （D）Univariate Cox regression analyses estimating prognostic value (OS/PFI/DSS/DFI) of SPOCK1 in pan-cancers from the TCGA database. （***p &lt; 0.001; **p &lt; 0.01; *p &lt; 0.05; ns. no significance.）</w:t>
      </w: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46"/>
    <w:rsid w:val="00100BCE"/>
    <w:rsid w:val="001C0C60"/>
    <w:rsid w:val="00202DC6"/>
    <w:rsid w:val="002200C1"/>
    <w:rsid w:val="00275D46"/>
    <w:rsid w:val="002A474D"/>
    <w:rsid w:val="002B48A8"/>
    <w:rsid w:val="00310A69"/>
    <w:rsid w:val="0044189D"/>
    <w:rsid w:val="004B07C8"/>
    <w:rsid w:val="004D36A5"/>
    <w:rsid w:val="00513B32"/>
    <w:rsid w:val="0055732A"/>
    <w:rsid w:val="005742B1"/>
    <w:rsid w:val="006A403A"/>
    <w:rsid w:val="006C6B02"/>
    <w:rsid w:val="0073389D"/>
    <w:rsid w:val="0096202E"/>
    <w:rsid w:val="009971E6"/>
    <w:rsid w:val="009D05C0"/>
    <w:rsid w:val="00A92FF0"/>
    <w:rsid w:val="00AD6D99"/>
    <w:rsid w:val="00AE04CA"/>
    <w:rsid w:val="00AE3EA2"/>
    <w:rsid w:val="00B20738"/>
    <w:rsid w:val="00B40599"/>
    <w:rsid w:val="00C07C76"/>
    <w:rsid w:val="00C34D6B"/>
    <w:rsid w:val="00C55C46"/>
    <w:rsid w:val="00DB79A6"/>
    <w:rsid w:val="00E116AD"/>
    <w:rsid w:val="00E207D9"/>
    <w:rsid w:val="00F2260D"/>
    <w:rsid w:val="00F31AC9"/>
    <w:rsid w:val="00FE75D4"/>
    <w:rsid w:val="0140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805144-5290-44B1-A02A-78E1B5D7C2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</Words>
  <Characters>1232</Characters>
  <Lines>10</Lines>
  <Paragraphs>2</Paragraphs>
  <TotalTime>2771</TotalTime>
  <ScaleCrop>false</ScaleCrop>
  <LinksUpToDate>false</LinksUpToDate>
  <CharactersWithSpaces>1446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2023-06-05T03:51:00Z</dcterms:created>
  <dc:creator>xiao junshi</dc:creator>
  <cp:lastModifiedBy>lyf</cp:lastModifiedBy>
  <dcterms:modified xsi:type="dcterms:W3CDTF">2023-07-05T14:21:08Z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b6978f01c30570f439d99babe3ce954f4b73c21889daaffba61576b6c182fa26</vt:lpwstr>
  </property>
  <property fmtid="{D5CDD505-2E9C-101B-9397-08002B2CF9AE}" pid="3" name="KSOProductBuildVer">
    <vt:lpwstr>2052-11.8.6.8556</vt:lpwstr>
  </property>
</Properties>
</file>