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2590"/>
        <w:gridCol w:w="2106"/>
        <w:gridCol w:w="1050"/>
        <w:gridCol w:w="1056"/>
        <w:gridCol w:w="998"/>
      </w:tblGrid>
      <w:tr w:rsidR="006B087E" w:rsidRPr="00F87566" w14:paraId="44C8CB68" w14:textId="77777777" w:rsidTr="00380305">
        <w:trPr>
          <w:trHeight w:val="208"/>
        </w:trPr>
        <w:tc>
          <w:tcPr>
            <w:tcW w:w="37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FBD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bookmarkStart w:id="0" w:name="_Hlk137647451"/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Table 1: baseline characteristics</w:t>
            </w:r>
          </w:p>
          <w:p w14:paraId="63712D6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</w:p>
          <w:p w14:paraId="07E7175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</w:p>
        </w:tc>
        <w:tc>
          <w:tcPr>
            <w:tcW w:w="12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3F6B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4DCA4F87" w14:textId="77777777" w:rsidTr="00380305">
        <w:trPr>
          <w:trHeight w:val="218"/>
        </w:trPr>
        <w:tc>
          <w:tcPr>
            <w:tcW w:w="223" w:type="pct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6301EF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A</w:t>
            </w:r>
          </w:p>
        </w:tc>
        <w:tc>
          <w:tcPr>
            <w:tcW w:w="1586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F20967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general characteristics</w:t>
            </w:r>
          </w:p>
        </w:tc>
        <w:tc>
          <w:tcPr>
            <w:tcW w:w="1290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039179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ALS</w:t>
            </w:r>
          </w:p>
          <w:p w14:paraId="2949E25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(n=790)</w:t>
            </w:r>
          </w:p>
        </w:tc>
        <w:tc>
          <w:tcPr>
            <w:tcW w:w="1290" w:type="pct"/>
            <w:gridSpan w:val="2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27C836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controls</w:t>
            </w:r>
          </w:p>
          <w:p w14:paraId="4DC9512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(n=577)</w:t>
            </w:r>
          </w:p>
        </w:tc>
        <w:tc>
          <w:tcPr>
            <w:tcW w:w="611" w:type="pct"/>
            <w:tcBorders>
              <w:top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3ACCA9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p-value</w:t>
            </w:r>
          </w:p>
        </w:tc>
      </w:tr>
      <w:tr w:rsidR="006B087E" w:rsidRPr="00F87566" w14:paraId="034670DF" w14:textId="77777777" w:rsidTr="00380305">
        <w:trPr>
          <w:trHeight w:val="218"/>
        </w:trPr>
        <w:tc>
          <w:tcPr>
            <w:tcW w:w="223" w:type="pct"/>
            <w:tcBorders>
              <w:top w:val="double" w:sz="4" w:space="0" w:color="auto"/>
              <w:left w:val="nil"/>
            </w:tcBorders>
            <w:shd w:val="clear" w:color="auto" w:fill="auto"/>
            <w:vAlign w:val="bottom"/>
            <w:hideMark/>
          </w:tcPr>
          <w:p w14:paraId="6559C99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tcBorders>
              <w:top w:val="double" w:sz="4" w:space="0" w:color="auto"/>
            </w:tcBorders>
            <w:shd w:val="clear" w:color="auto" w:fill="auto"/>
            <w:vAlign w:val="bottom"/>
            <w:hideMark/>
          </w:tcPr>
          <w:p w14:paraId="409817C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</w:p>
          <w:p w14:paraId="25D5DAC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sex</w:t>
            </w:r>
          </w:p>
        </w:tc>
        <w:tc>
          <w:tcPr>
            <w:tcW w:w="1290" w:type="pct"/>
            <w:tcBorders>
              <w:top w:val="double" w:sz="4" w:space="0" w:color="auto"/>
            </w:tcBorders>
            <w:shd w:val="clear" w:color="auto" w:fill="auto"/>
            <w:vAlign w:val="bottom"/>
            <w:hideMark/>
          </w:tcPr>
          <w:p w14:paraId="1837E7A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290" w:type="pct"/>
            <w:gridSpan w:val="2"/>
            <w:tcBorders>
              <w:top w:val="double" w:sz="4" w:space="0" w:color="auto"/>
            </w:tcBorders>
            <w:shd w:val="clear" w:color="auto" w:fill="auto"/>
            <w:vAlign w:val="bottom"/>
            <w:hideMark/>
          </w:tcPr>
          <w:p w14:paraId="33BFC5B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611" w:type="pct"/>
            <w:tcBorders>
              <w:top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FFC1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2B1DDE88" w14:textId="77777777" w:rsidTr="00380305">
        <w:trPr>
          <w:trHeight w:val="218"/>
        </w:trPr>
        <w:tc>
          <w:tcPr>
            <w:tcW w:w="223" w:type="pct"/>
            <w:vMerge w:val="restart"/>
            <w:tcBorders>
              <w:left w:val="nil"/>
            </w:tcBorders>
            <w:shd w:val="clear" w:color="auto" w:fill="auto"/>
            <w:vAlign w:val="center"/>
            <w:hideMark/>
          </w:tcPr>
          <w:p w14:paraId="4064DA2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shd w:val="clear" w:color="auto" w:fill="auto"/>
            <w:vAlign w:val="center"/>
            <w:hideMark/>
          </w:tcPr>
          <w:p w14:paraId="7812CEE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male</w:t>
            </w:r>
          </w:p>
        </w:tc>
        <w:tc>
          <w:tcPr>
            <w:tcW w:w="1290" w:type="pct"/>
            <w:shd w:val="clear" w:color="auto" w:fill="auto"/>
            <w:noWrap/>
            <w:vAlign w:val="center"/>
            <w:hideMark/>
          </w:tcPr>
          <w:p w14:paraId="049893F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478 (60.5)</w:t>
            </w:r>
          </w:p>
        </w:tc>
        <w:tc>
          <w:tcPr>
            <w:tcW w:w="1290" w:type="pct"/>
            <w:gridSpan w:val="2"/>
            <w:shd w:val="clear" w:color="auto" w:fill="auto"/>
            <w:noWrap/>
            <w:vAlign w:val="center"/>
            <w:hideMark/>
          </w:tcPr>
          <w:p w14:paraId="6C7143F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335 (58.1)</w:t>
            </w:r>
          </w:p>
        </w:tc>
        <w:tc>
          <w:tcPr>
            <w:tcW w:w="611" w:type="pct"/>
            <w:vMerge w:val="restart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504967B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0.363</w:t>
            </w:r>
          </w:p>
        </w:tc>
      </w:tr>
      <w:tr w:rsidR="006B087E" w:rsidRPr="00F87566" w14:paraId="6B266652" w14:textId="77777777" w:rsidTr="00380305">
        <w:trPr>
          <w:trHeight w:val="218"/>
        </w:trPr>
        <w:tc>
          <w:tcPr>
            <w:tcW w:w="223" w:type="pct"/>
            <w:vMerge/>
            <w:tcBorders>
              <w:left w:val="nil"/>
            </w:tcBorders>
            <w:vAlign w:val="center"/>
            <w:hideMark/>
          </w:tcPr>
          <w:p w14:paraId="33EEE09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shd w:val="clear" w:color="auto" w:fill="auto"/>
            <w:vAlign w:val="center"/>
            <w:hideMark/>
          </w:tcPr>
          <w:p w14:paraId="6E2A20B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female</w:t>
            </w:r>
          </w:p>
        </w:tc>
        <w:tc>
          <w:tcPr>
            <w:tcW w:w="1290" w:type="pct"/>
            <w:shd w:val="clear" w:color="auto" w:fill="auto"/>
            <w:noWrap/>
            <w:vAlign w:val="center"/>
            <w:hideMark/>
          </w:tcPr>
          <w:p w14:paraId="6136315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312 (39.5)</w:t>
            </w:r>
          </w:p>
        </w:tc>
        <w:tc>
          <w:tcPr>
            <w:tcW w:w="1290" w:type="pct"/>
            <w:gridSpan w:val="2"/>
            <w:shd w:val="clear" w:color="auto" w:fill="auto"/>
            <w:noWrap/>
            <w:vAlign w:val="center"/>
            <w:hideMark/>
          </w:tcPr>
          <w:p w14:paraId="770F080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242 (41.9)</w:t>
            </w:r>
          </w:p>
        </w:tc>
        <w:tc>
          <w:tcPr>
            <w:tcW w:w="611" w:type="pct"/>
            <w:vMerge/>
            <w:tcBorders>
              <w:right w:val="nil"/>
            </w:tcBorders>
            <w:vAlign w:val="center"/>
            <w:hideMark/>
          </w:tcPr>
          <w:p w14:paraId="16B2F9D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451431A6" w14:textId="77777777" w:rsidTr="00380305">
        <w:trPr>
          <w:trHeight w:val="218"/>
        </w:trPr>
        <w:tc>
          <w:tcPr>
            <w:tcW w:w="223" w:type="pct"/>
            <w:vMerge/>
            <w:tcBorders>
              <w:left w:val="nil"/>
            </w:tcBorders>
            <w:vAlign w:val="center"/>
            <w:hideMark/>
          </w:tcPr>
          <w:p w14:paraId="3B3035C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shd w:val="clear" w:color="auto" w:fill="auto"/>
            <w:vAlign w:val="center"/>
            <w:hideMark/>
          </w:tcPr>
          <w:p w14:paraId="438AD83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proofErr w:type="gramStart"/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female :</w:t>
            </w:r>
            <w:proofErr w:type="gramEnd"/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 xml:space="preserve"> male ratio</w:t>
            </w:r>
          </w:p>
        </w:tc>
        <w:tc>
          <w:tcPr>
            <w:tcW w:w="1290" w:type="pct"/>
            <w:shd w:val="clear" w:color="auto" w:fill="auto"/>
            <w:noWrap/>
            <w:vAlign w:val="center"/>
            <w:hideMark/>
          </w:tcPr>
          <w:p w14:paraId="4094E10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1:1.53</w:t>
            </w:r>
          </w:p>
        </w:tc>
        <w:tc>
          <w:tcPr>
            <w:tcW w:w="1290" w:type="pct"/>
            <w:gridSpan w:val="2"/>
            <w:shd w:val="clear" w:color="auto" w:fill="auto"/>
            <w:noWrap/>
            <w:vAlign w:val="center"/>
            <w:hideMark/>
          </w:tcPr>
          <w:p w14:paraId="2A890AA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1:1.38</w:t>
            </w:r>
          </w:p>
        </w:tc>
        <w:tc>
          <w:tcPr>
            <w:tcW w:w="611" w:type="pct"/>
            <w:vMerge/>
            <w:tcBorders>
              <w:right w:val="nil"/>
            </w:tcBorders>
            <w:vAlign w:val="center"/>
            <w:hideMark/>
          </w:tcPr>
          <w:p w14:paraId="666B7FD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07F9CD16" w14:textId="77777777" w:rsidTr="00380305">
        <w:trPr>
          <w:trHeight w:val="218"/>
        </w:trPr>
        <w:tc>
          <w:tcPr>
            <w:tcW w:w="223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32C17F4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shd w:val="clear" w:color="auto" w:fill="auto"/>
            <w:hideMark/>
          </w:tcPr>
          <w:p w14:paraId="443C95B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age [y], median (IQR)</w:t>
            </w:r>
          </w:p>
        </w:tc>
        <w:tc>
          <w:tcPr>
            <w:tcW w:w="1290" w:type="pct"/>
            <w:shd w:val="clear" w:color="auto" w:fill="auto"/>
            <w:noWrap/>
            <w:hideMark/>
          </w:tcPr>
          <w:p w14:paraId="63478B6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66.5 (58.2 - 73.8)</w:t>
            </w:r>
          </w:p>
        </w:tc>
        <w:tc>
          <w:tcPr>
            <w:tcW w:w="1290" w:type="pct"/>
            <w:gridSpan w:val="2"/>
            <w:shd w:val="clear" w:color="auto" w:fill="auto"/>
            <w:noWrap/>
            <w:hideMark/>
          </w:tcPr>
          <w:p w14:paraId="4ABBE20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66.1 (59.3 - 72.4)</w:t>
            </w:r>
          </w:p>
        </w:tc>
        <w:tc>
          <w:tcPr>
            <w:tcW w:w="611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4DB312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0.515</w:t>
            </w:r>
          </w:p>
        </w:tc>
      </w:tr>
      <w:tr w:rsidR="006B087E" w:rsidRPr="00F87566" w14:paraId="156F042B" w14:textId="77777777" w:rsidTr="00380305">
        <w:trPr>
          <w:trHeight w:val="218"/>
        </w:trPr>
        <w:tc>
          <w:tcPr>
            <w:tcW w:w="223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153D7AA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1586" w:type="pct"/>
            <w:shd w:val="clear" w:color="auto" w:fill="auto"/>
            <w:hideMark/>
          </w:tcPr>
          <w:p w14:paraId="7296C18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BMI [kg/m²], median (IQR)</w:t>
            </w:r>
          </w:p>
        </w:tc>
        <w:tc>
          <w:tcPr>
            <w:tcW w:w="1290" w:type="pct"/>
            <w:shd w:val="clear" w:color="auto" w:fill="auto"/>
            <w:noWrap/>
            <w:hideMark/>
          </w:tcPr>
          <w:p w14:paraId="1C8AB9E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24.34 (21.97 - 26.93)</w:t>
            </w:r>
          </w:p>
        </w:tc>
        <w:tc>
          <w:tcPr>
            <w:tcW w:w="1290" w:type="pct"/>
            <w:gridSpan w:val="2"/>
            <w:shd w:val="clear" w:color="auto" w:fill="auto"/>
            <w:noWrap/>
            <w:hideMark/>
          </w:tcPr>
          <w:p w14:paraId="110B6BF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26.08 (23.51 - 28.83)</w:t>
            </w:r>
          </w:p>
        </w:tc>
        <w:tc>
          <w:tcPr>
            <w:tcW w:w="611" w:type="pc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E3A161B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&lt; .001</w:t>
            </w:r>
          </w:p>
        </w:tc>
      </w:tr>
      <w:tr w:rsidR="006B087E" w:rsidRPr="00F87566" w14:paraId="552D6191" w14:textId="77777777" w:rsidTr="00380305">
        <w:trPr>
          <w:trHeight w:val="270"/>
        </w:trPr>
        <w:tc>
          <w:tcPr>
            <w:tcW w:w="223" w:type="pct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5EFFB0E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12333CA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</w:p>
        </w:tc>
        <w:tc>
          <w:tcPr>
            <w:tcW w:w="1258" w:type="pct"/>
            <w:gridSpan w:val="2"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9BFB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5A0D9901" w14:textId="77777777" w:rsidTr="00380305">
        <w:trPr>
          <w:trHeight w:val="433"/>
        </w:trPr>
        <w:tc>
          <w:tcPr>
            <w:tcW w:w="223" w:type="pct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4904E27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B</w:t>
            </w:r>
          </w:p>
        </w:tc>
        <w:tc>
          <w:tcPr>
            <w:tcW w:w="3518" w:type="pct"/>
            <w:gridSpan w:val="3"/>
            <w:tcBorders>
              <w:top w:val="nil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B70296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ALS specific characteristics</w:t>
            </w:r>
          </w:p>
        </w:tc>
        <w:tc>
          <w:tcPr>
            <w:tcW w:w="1258" w:type="pct"/>
            <w:gridSpan w:val="2"/>
            <w:tcBorders>
              <w:top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0FCC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-2771" w:firstLine="2771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ALS</w:t>
            </w:r>
          </w:p>
          <w:p w14:paraId="501F410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(n=790)</w:t>
            </w:r>
          </w:p>
        </w:tc>
      </w:tr>
      <w:tr w:rsidR="006B087E" w:rsidRPr="00F87566" w14:paraId="365B99AD" w14:textId="77777777" w:rsidTr="00380305">
        <w:trPr>
          <w:trHeight w:val="208"/>
        </w:trPr>
        <w:tc>
          <w:tcPr>
            <w:tcW w:w="223" w:type="pct"/>
            <w:tcBorders>
              <w:top w:val="double" w:sz="4" w:space="0" w:color="auto"/>
              <w:left w:val="nil"/>
            </w:tcBorders>
            <w:shd w:val="clear" w:color="auto" w:fill="auto"/>
            <w:vAlign w:val="bottom"/>
          </w:tcPr>
          <w:p w14:paraId="56B3ACC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tcBorders>
              <w:top w:val="double" w:sz="4" w:space="0" w:color="auto"/>
            </w:tcBorders>
            <w:shd w:val="clear" w:color="auto" w:fill="auto"/>
          </w:tcPr>
          <w:p w14:paraId="45F934D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  <w:p w14:paraId="046C624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disease duration at baseline [m]; median (IQR)</w:t>
            </w:r>
          </w:p>
        </w:tc>
        <w:tc>
          <w:tcPr>
            <w:tcW w:w="1258" w:type="pct"/>
            <w:gridSpan w:val="2"/>
            <w:tcBorders>
              <w:top w:val="double" w:sz="4" w:space="0" w:color="auto"/>
              <w:right w:val="nil"/>
            </w:tcBorders>
            <w:shd w:val="clear" w:color="auto" w:fill="auto"/>
          </w:tcPr>
          <w:p w14:paraId="4D02757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  <w:p w14:paraId="72620B6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12.1 (7.8 - 19.3)</w:t>
            </w:r>
          </w:p>
        </w:tc>
      </w:tr>
      <w:tr w:rsidR="006B087E" w:rsidRPr="00F87566" w14:paraId="2B61F906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73234B0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2C031D5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ALSFRS-R sum score [pt], median (IQR)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0E88A65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38 (33 - 42)</w:t>
            </w:r>
          </w:p>
        </w:tc>
      </w:tr>
      <w:tr w:rsidR="006B087E" w:rsidRPr="00F87566" w14:paraId="258A0DEB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689B357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255F11B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disease progression at baseline [pt lost/month]; median (IQR)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4B375A2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0.75 (0.41 - 1.33)</w:t>
            </w:r>
          </w:p>
        </w:tc>
      </w:tr>
      <w:tr w:rsidR="006B087E" w:rsidRPr="00F87566" w14:paraId="65E61F5A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3C44A6F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vAlign w:val="bottom"/>
          </w:tcPr>
          <w:p w14:paraId="30C7481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follow-up disease progression [pt lost/month], median (IQR); n=386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6824C6A9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0.58 (0.28 - 1.06)</w:t>
            </w:r>
          </w:p>
        </w:tc>
      </w:tr>
      <w:tr w:rsidR="006B087E" w:rsidRPr="00F87566" w14:paraId="7833F3F9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484DB75B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687FFAF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follow-up time after baseline [m]; median (IQR)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10CBDEE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18.8 (10.2 - 35.7)</w:t>
            </w:r>
          </w:p>
        </w:tc>
      </w:tr>
      <w:tr w:rsidR="006B087E" w:rsidRPr="00F87566" w14:paraId="10D72DE1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7C239B6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7D0DB9A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deceased at data closure,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1298F40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554 (70.1)</w:t>
            </w:r>
          </w:p>
        </w:tc>
      </w:tr>
      <w:tr w:rsidR="006B087E" w:rsidRPr="00F87566" w14:paraId="5D5465DA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2A07C91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07BA1B4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Survival time from disease onset [y]; median (95%CI)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09B419F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3.15 (2.94 - 3.36)</w:t>
            </w:r>
          </w:p>
        </w:tc>
      </w:tr>
      <w:tr w:rsidR="006B087E" w:rsidRPr="00F87566" w14:paraId="2B9B26EC" w14:textId="77777777" w:rsidTr="00380305">
        <w:trPr>
          <w:trHeight w:hRule="exact" w:val="57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</w:tcPr>
          <w:p w14:paraId="09D44F9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30FDFCD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0"/>
                <w:szCs w:val="10"/>
                <w:lang w:val="en-GB" w:eastAsia="de-DE"/>
              </w:rPr>
            </w:pP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1AD9ABA9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0"/>
                <w:szCs w:val="10"/>
                <w:lang w:val="en-GB" w:eastAsia="de-DE"/>
              </w:rPr>
            </w:pPr>
          </w:p>
        </w:tc>
      </w:tr>
      <w:tr w:rsidR="006B087E" w:rsidRPr="00F87566" w14:paraId="166999CC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vAlign w:val="bottom"/>
            <w:hideMark/>
          </w:tcPr>
          <w:p w14:paraId="7A30EBD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41D5B66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El Escorial status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vAlign w:val="bottom"/>
            <w:hideMark/>
          </w:tcPr>
          <w:p w14:paraId="3EC493D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0B9391C0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14:paraId="6C3DDB0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1C08BD6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suspected,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165665F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223 (28.2)</w:t>
            </w:r>
          </w:p>
        </w:tc>
      </w:tr>
      <w:tr w:rsidR="006B087E" w:rsidRPr="00F87566" w14:paraId="64D5733F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374B296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597F0B4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possible,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79E1C1D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97 (12.3)</w:t>
            </w:r>
          </w:p>
        </w:tc>
      </w:tr>
      <w:tr w:rsidR="006B087E" w:rsidRPr="00F87566" w14:paraId="5216F515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6BB32FB2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5439AA8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possible (lab supported),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434F3E5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161 (20.4)</w:t>
            </w:r>
          </w:p>
        </w:tc>
      </w:tr>
      <w:tr w:rsidR="006B087E" w:rsidRPr="00F87566" w14:paraId="7263BECA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55C4F4E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7FF5212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probable,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7A06CFE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247 (31.3)</w:t>
            </w:r>
          </w:p>
        </w:tc>
      </w:tr>
      <w:tr w:rsidR="006B087E" w:rsidRPr="00F87566" w14:paraId="7306AA6C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779B49C9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1B6A8E5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definite,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61E3963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62 (7.8)</w:t>
            </w:r>
          </w:p>
        </w:tc>
      </w:tr>
      <w:tr w:rsidR="006B087E" w:rsidRPr="00F87566" w14:paraId="0F49E183" w14:textId="77777777" w:rsidTr="00380305">
        <w:trPr>
          <w:trHeight w:hRule="exact" w:val="57"/>
        </w:trPr>
        <w:tc>
          <w:tcPr>
            <w:tcW w:w="223" w:type="pct"/>
            <w:tcBorders>
              <w:left w:val="nil"/>
            </w:tcBorders>
            <w:shd w:val="clear" w:color="auto" w:fill="auto"/>
          </w:tcPr>
          <w:p w14:paraId="61C4E76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59EDF8C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00"/>
              <w:rPr>
                <w:rFonts w:ascii="Arial" w:eastAsia="Times New Roman" w:hAnsi="Arial" w:cs="Arial"/>
                <w:sz w:val="10"/>
                <w:szCs w:val="10"/>
                <w:lang w:val="en-GB" w:eastAsia="de-DE"/>
              </w:rPr>
            </w:pP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196D4056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0"/>
                <w:szCs w:val="10"/>
                <w:lang w:val="en-GB" w:eastAsia="de-DE"/>
              </w:rPr>
            </w:pPr>
          </w:p>
        </w:tc>
      </w:tr>
      <w:tr w:rsidR="006B087E" w:rsidRPr="00F87566" w14:paraId="7E79C80C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205D0FE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2D378B99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onset site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46F34A6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576C24D0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20FC7FE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11C2969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bulbar,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7118972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230 (29.1)</w:t>
            </w:r>
          </w:p>
        </w:tc>
      </w:tr>
      <w:tr w:rsidR="006B087E" w:rsidRPr="00F87566" w14:paraId="0E52FD1F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6ACD117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5823A3C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cervical,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6A4FB15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228 (28.9)</w:t>
            </w:r>
          </w:p>
        </w:tc>
      </w:tr>
      <w:tr w:rsidR="006B087E" w:rsidRPr="00F87566" w14:paraId="059C7203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20C54FA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4C8E694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thoracic,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0E69A2E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25 (3.2)</w:t>
            </w:r>
          </w:p>
        </w:tc>
      </w:tr>
      <w:tr w:rsidR="006B087E" w:rsidRPr="00F87566" w14:paraId="164B889C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5DCE7FA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56033993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lumbar,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54C4A06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270 (34.2)</w:t>
            </w:r>
          </w:p>
        </w:tc>
      </w:tr>
      <w:tr w:rsidR="006B087E" w:rsidRPr="00F87566" w14:paraId="08281FAF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</w:tcPr>
          <w:p w14:paraId="6AC48AA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1109366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uncertain,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2978538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37 (4.7)</w:t>
            </w:r>
          </w:p>
        </w:tc>
      </w:tr>
      <w:tr w:rsidR="006B087E" w:rsidRPr="00F87566" w14:paraId="493F219B" w14:textId="77777777" w:rsidTr="00380305">
        <w:trPr>
          <w:trHeight w:hRule="exact" w:val="57"/>
        </w:trPr>
        <w:tc>
          <w:tcPr>
            <w:tcW w:w="223" w:type="pct"/>
            <w:tcBorders>
              <w:left w:val="nil"/>
            </w:tcBorders>
            <w:shd w:val="clear" w:color="auto" w:fill="auto"/>
          </w:tcPr>
          <w:p w14:paraId="0654294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65C18008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00"/>
              <w:rPr>
                <w:rFonts w:ascii="Arial" w:eastAsia="Times New Roman" w:hAnsi="Arial" w:cs="Arial"/>
                <w:sz w:val="10"/>
                <w:szCs w:val="10"/>
                <w:lang w:val="en-GB" w:eastAsia="de-DE"/>
              </w:rPr>
            </w:pP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4B59A5E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0"/>
                <w:szCs w:val="10"/>
                <w:lang w:val="en-GB" w:eastAsia="de-DE"/>
              </w:rPr>
            </w:pPr>
          </w:p>
        </w:tc>
      </w:tr>
      <w:tr w:rsidR="006B087E" w:rsidRPr="00F87566" w14:paraId="11A95665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15F90D1B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0E78777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DE"/>
              </w:rPr>
              <w:t>phenotype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3E8BBB9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6B087E" w:rsidRPr="00F87566" w14:paraId="575AD5AD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</w:tcPr>
          <w:p w14:paraId="28642ACC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</w:tcPr>
          <w:p w14:paraId="25CAA03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classical ALS,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</w:tcPr>
          <w:p w14:paraId="69720C9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605 (76.6)</w:t>
            </w:r>
          </w:p>
        </w:tc>
      </w:tr>
      <w:tr w:rsidR="006B087E" w:rsidRPr="00F87566" w14:paraId="115D18B7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52C4243D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49AF228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progressive bulbar palsy,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5ECD9F1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58 (7.3)</w:t>
            </w:r>
          </w:p>
        </w:tc>
      </w:tr>
      <w:tr w:rsidR="006B087E" w:rsidRPr="00F87566" w14:paraId="3775AC62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3B89D26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3159ED3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primary lateral sclerosis (PLS),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61EF6154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24 (3.0)</w:t>
            </w:r>
          </w:p>
        </w:tc>
      </w:tr>
      <w:tr w:rsidR="006B087E" w:rsidRPr="00F87566" w14:paraId="4ADB8332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3862EF6A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468777B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Progressive muscular atrophy (PMA),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5609A3BE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87 (11.0)</w:t>
            </w:r>
          </w:p>
        </w:tc>
      </w:tr>
      <w:tr w:rsidR="006B087E" w:rsidRPr="00F87566" w14:paraId="263CE749" w14:textId="77777777" w:rsidTr="00380305">
        <w:trPr>
          <w:trHeight w:val="208"/>
        </w:trPr>
        <w:tc>
          <w:tcPr>
            <w:tcW w:w="223" w:type="pct"/>
            <w:tcBorders>
              <w:left w:val="nil"/>
            </w:tcBorders>
            <w:shd w:val="clear" w:color="auto" w:fill="auto"/>
            <w:hideMark/>
          </w:tcPr>
          <w:p w14:paraId="6244E077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shd w:val="clear" w:color="auto" w:fill="auto"/>
            <w:hideMark/>
          </w:tcPr>
          <w:p w14:paraId="07642421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flail arm syndrome, n (%)</w:t>
            </w:r>
          </w:p>
        </w:tc>
        <w:tc>
          <w:tcPr>
            <w:tcW w:w="1258" w:type="pct"/>
            <w:gridSpan w:val="2"/>
            <w:tcBorders>
              <w:right w:val="nil"/>
            </w:tcBorders>
            <w:shd w:val="clear" w:color="auto" w:fill="auto"/>
            <w:hideMark/>
          </w:tcPr>
          <w:p w14:paraId="27CAB2D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15 (1.9)</w:t>
            </w:r>
          </w:p>
        </w:tc>
      </w:tr>
      <w:tr w:rsidR="006B087E" w:rsidRPr="00F87566" w14:paraId="76F80C67" w14:textId="77777777" w:rsidTr="00380305">
        <w:trPr>
          <w:trHeight w:val="208"/>
        </w:trPr>
        <w:tc>
          <w:tcPr>
            <w:tcW w:w="223" w:type="pct"/>
            <w:tcBorders>
              <w:left w:val="nil"/>
              <w:bottom w:val="nil"/>
            </w:tcBorders>
            <w:shd w:val="clear" w:color="auto" w:fill="auto"/>
            <w:hideMark/>
          </w:tcPr>
          <w:p w14:paraId="09819FEF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3518" w:type="pct"/>
            <w:gridSpan w:val="3"/>
            <w:tcBorders>
              <w:bottom w:val="nil"/>
            </w:tcBorders>
            <w:shd w:val="clear" w:color="auto" w:fill="auto"/>
            <w:hideMark/>
          </w:tcPr>
          <w:p w14:paraId="4CE14115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flail leg syndrome, n (%)</w:t>
            </w:r>
          </w:p>
        </w:tc>
        <w:tc>
          <w:tcPr>
            <w:tcW w:w="1258" w:type="pct"/>
            <w:gridSpan w:val="2"/>
            <w:tcBorders>
              <w:bottom w:val="nil"/>
              <w:right w:val="nil"/>
            </w:tcBorders>
            <w:shd w:val="clear" w:color="auto" w:fill="auto"/>
            <w:hideMark/>
          </w:tcPr>
          <w:p w14:paraId="788A9160" w14:textId="77777777" w:rsidR="006B087E" w:rsidRPr="00F87566" w:rsidRDefault="006B087E" w:rsidP="00380305">
            <w:pPr>
              <w:tabs>
                <w:tab w:val="left" w:pos="235"/>
              </w:tabs>
              <w:spacing w:after="0" w:line="240" w:lineRule="auto"/>
              <w:ind w:left="206"/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</w:pPr>
            <w:r w:rsidRPr="00F87566">
              <w:rPr>
                <w:rFonts w:ascii="Arial" w:eastAsia="Times New Roman" w:hAnsi="Arial" w:cs="Arial"/>
                <w:sz w:val="18"/>
                <w:szCs w:val="18"/>
                <w:lang w:val="en-GB" w:eastAsia="de-DE"/>
              </w:rPr>
              <w:t>1 (0.1)</w:t>
            </w:r>
          </w:p>
        </w:tc>
      </w:tr>
      <w:bookmarkEnd w:id="0"/>
    </w:tbl>
    <w:p w14:paraId="2500C76D" w14:textId="77777777" w:rsidR="006B087E" w:rsidRPr="00F87566" w:rsidRDefault="006B087E" w:rsidP="006B087E">
      <w:pPr>
        <w:rPr>
          <w:rStyle w:val="Emphasis"/>
          <w:rFonts w:eastAsiaTheme="majorEastAsia" w:cstheme="majorBidi"/>
          <w:color w:val="000000" w:themeColor="text1"/>
          <w:lang w:val="en-GB"/>
        </w:rPr>
      </w:pPr>
      <w:r w:rsidRPr="00F87566">
        <w:rPr>
          <w:rStyle w:val="Emphasis"/>
          <w:color w:val="000000" w:themeColor="text1"/>
          <w:lang w:val="en-GB"/>
        </w:rPr>
        <w:br w:type="page"/>
      </w:r>
    </w:p>
    <w:p w14:paraId="53D32D4F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87E"/>
    <w:rsid w:val="001777A1"/>
    <w:rsid w:val="006B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C4449"/>
  <w15:chartTrackingRefBased/>
  <w15:docId w15:val="{85DB3AD9-26FB-46CF-A1E1-E84B92A6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87E"/>
    <w:pPr>
      <w:spacing w:line="360" w:lineRule="auto"/>
    </w:pPr>
    <w:rPr>
      <w:kern w:val="0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B087E"/>
    <w:rPr>
      <w:rFonts w:asciiTheme="majorHAnsi" w:hAnsiTheme="majorHAnsi"/>
      <w:b/>
      <w:i w:val="0"/>
      <w:iCs/>
      <w:caps w:val="0"/>
      <w:smallCaps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2023-11-28T18:10:00Z</dcterms:created>
  <dcterms:modified xsi:type="dcterms:W3CDTF">2023-11-28T18:10:00Z</dcterms:modified>
</cp:coreProperties>
</file>