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1B9A" w14:textId="77777777" w:rsidR="00E564E1" w:rsidRPr="00A20B0B" w:rsidRDefault="00E564E1" w:rsidP="00E564E1">
      <w:pPr>
        <w:spacing w:line="480" w:lineRule="auto"/>
        <w:rPr>
          <w:rFonts w:ascii="Times New Roman" w:hAnsi="Times New Roman" w:cs="Times New Roman"/>
          <w:b/>
          <w:bCs/>
          <w:sz w:val="24"/>
          <w:szCs w:val="24"/>
        </w:rPr>
      </w:pPr>
      <w:r w:rsidRPr="00A20B0B">
        <w:rPr>
          <w:rFonts w:ascii="Times New Roman" w:hAnsi="Times New Roman" w:cs="Times New Roman"/>
          <w:b/>
          <w:bCs/>
          <w:sz w:val="24"/>
          <w:szCs w:val="24"/>
        </w:rPr>
        <w:t xml:space="preserve">Appendix A. Supplementary files </w:t>
      </w:r>
    </w:p>
    <w:p w14:paraId="0B5E966D" w14:textId="77777777" w:rsidR="00E564E1" w:rsidRPr="00A20B0B" w:rsidRDefault="00E564E1" w:rsidP="00E564E1">
      <w:pPr>
        <w:spacing w:line="480" w:lineRule="auto"/>
        <w:rPr>
          <w:rFonts w:ascii="Times New Roman" w:hAnsi="Times New Roman" w:cs="Times New Roman"/>
          <w:sz w:val="24"/>
          <w:szCs w:val="24"/>
        </w:rPr>
      </w:pPr>
      <w:r w:rsidRPr="00A20B0B">
        <w:rPr>
          <w:rFonts w:ascii="Times New Roman" w:hAnsi="Times New Roman" w:cs="Times New Roman"/>
          <w:sz w:val="24"/>
          <w:szCs w:val="24"/>
        </w:rPr>
        <w:t xml:space="preserve">Supplementary material related to this article can be found </w:t>
      </w:r>
      <w:r w:rsidRPr="00A20B0B">
        <w:rPr>
          <w:rFonts w:ascii="Times New Roman" w:hAnsi="Times New Roman" w:cs="Times New Roman" w:hint="eastAsia"/>
          <w:sz w:val="24"/>
          <w:szCs w:val="24"/>
        </w:rPr>
        <w:t>in</w:t>
      </w:r>
      <w:r w:rsidRPr="00A20B0B">
        <w:rPr>
          <w:rFonts w:ascii="Times New Roman" w:hAnsi="Times New Roman" w:cs="Times New Roman"/>
          <w:sz w:val="24"/>
          <w:szCs w:val="24"/>
        </w:rPr>
        <w:t xml:space="preserve"> Appendix A.</w:t>
      </w:r>
    </w:p>
    <w:p w14:paraId="46BD7EE8" w14:textId="77777777" w:rsidR="00E564E1" w:rsidRDefault="00E564E1" w:rsidP="00E564E1">
      <w:pPr>
        <w:spacing w:line="480" w:lineRule="auto"/>
        <w:rPr>
          <w:noProof/>
        </w:rPr>
      </w:pPr>
    </w:p>
    <w:p w14:paraId="6EBA63AB" w14:textId="77777777" w:rsidR="00E564E1" w:rsidRDefault="00E564E1" w:rsidP="00E564E1">
      <w:pPr>
        <w:spacing w:line="480" w:lineRule="auto"/>
        <w:jc w:val="center"/>
        <w:rPr>
          <w:noProof/>
        </w:rPr>
      </w:pPr>
      <w:r>
        <w:rPr>
          <w:noProof/>
        </w:rPr>
        <w:drawing>
          <wp:inline distT="0" distB="0" distL="0" distR="0" wp14:anchorId="28881FEF" wp14:editId="093DEC3E">
            <wp:extent cx="2795588" cy="2977338"/>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00941" cy="2983039"/>
                    </a:xfrm>
                    <a:prstGeom prst="rect">
                      <a:avLst/>
                    </a:prstGeom>
                  </pic:spPr>
                </pic:pic>
              </a:graphicData>
            </a:graphic>
          </wp:inline>
        </w:drawing>
      </w:r>
    </w:p>
    <w:p w14:paraId="7F8E8BB5" w14:textId="77777777" w:rsidR="00E564E1" w:rsidRDefault="00E564E1" w:rsidP="00E564E1">
      <w:pPr>
        <w:spacing w:line="480" w:lineRule="auto"/>
        <w:rPr>
          <w:rFonts w:ascii="Times New Roman" w:hAnsi="Times New Roman" w:cs="Times New Roman"/>
          <w:sz w:val="24"/>
          <w:szCs w:val="24"/>
        </w:rPr>
      </w:pPr>
      <w:r w:rsidRPr="00C372BF">
        <w:rPr>
          <w:rFonts w:ascii="Times New Roman" w:hAnsi="Times New Roman" w:cs="Times New Roman"/>
          <w:sz w:val="24"/>
          <w:szCs w:val="24"/>
        </w:rPr>
        <w:t>Figure</w:t>
      </w:r>
      <w:r>
        <w:rPr>
          <w:rFonts w:ascii="Times New Roman" w:hAnsi="Times New Roman" w:cs="Times New Roman"/>
          <w:sz w:val="24"/>
          <w:szCs w:val="24"/>
        </w:rPr>
        <w:t xml:space="preserve"> </w:t>
      </w:r>
      <w:r w:rsidRPr="00C372BF">
        <w:rPr>
          <w:rFonts w:ascii="Times New Roman" w:hAnsi="Times New Roman" w:cs="Times New Roman"/>
          <w:sz w:val="24"/>
          <w:szCs w:val="24"/>
        </w:rPr>
        <w:t>S</w:t>
      </w:r>
      <w:r>
        <w:rPr>
          <w:rFonts w:ascii="Times New Roman" w:hAnsi="Times New Roman" w:cs="Times New Roman"/>
          <w:sz w:val="24"/>
          <w:szCs w:val="24"/>
        </w:rPr>
        <w:t xml:space="preserve">1. </w:t>
      </w:r>
      <w:r>
        <w:rPr>
          <w:rFonts w:ascii="Georgia" w:hAnsi="Georgia"/>
          <w:color w:val="333333"/>
          <w:shd w:val="clear" w:color="auto" w:fill="FFFFFF"/>
        </w:rPr>
        <w:t>α-diversity of the soil bacterial communities in three systems. </w:t>
      </w:r>
      <w:r>
        <w:rPr>
          <w:rFonts w:ascii="Georgia" w:hAnsi="Georgia"/>
          <w:b/>
          <w:bCs/>
          <w:color w:val="333333"/>
          <w:shd w:val="clear" w:color="auto" w:fill="FFFFFF"/>
        </w:rPr>
        <w:t>a</w:t>
      </w:r>
      <w:r>
        <w:rPr>
          <w:rFonts w:ascii="Georgia" w:hAnsi="Georgia"/>
          <w:color w:val="333333"/>
          <w:shd w:val="clear" w:color="auto" w:fill="FFFFFF"/>
        </w:rPr>
        <w:t> Richness. </w:t>
      </w:r>
      <w:r>
        <w:rPr>
          <w:rFonts w:ascii="Georgia" w:hAnsi="Georgia"/>
          <w:b/>
          <w:bCs/>
          <w:color w:val="333333"/>
          <w:shd w:val="clear" w:color="auto" w:fill="FFFFFF"/>
        </w:rPr>
        <w:t>b</w:t>
      </w:r>
      <w:r>
        <w:rPr>
          <w:rFonts w:ascii="Georgia" w:hAnsi="Georgia"/>
          <w:color w:val="333333"/>
          <w:shd w:val="clear" w:color="auto" w:fill="FFFFFF"/>
        </w:rPr>
        <w:t> Shannon index. </w:t>
      </w:r>
      <w:r>
        <w:rPr>
          <w:rFonts w:ascii="Georgia" w:hAnsi="Georgia"/>
          <w:b/>
          <w:bCs/>
          <w:color w:val="333333"/>
          <w:shd w:val="clear" w:color="auto" w:fill="FFFFFF"/>
        </w:rPr>
        <w:t>c</w:t>
      </w:r>
      <w:r>
        <w:rPr>
          <w:rFonts w:ascii="Georgia" w:hAnsi="Georgia"/>
          <w:color w:val="333333"/>
          <w:shd w:val="clear" w:color="auto" w:fill="FFFFFF"/>
        </w:rPr>
        <w:t xml:space="preserve"> Chao1. </w:t>
      </w:r>
      <w:r w:rsidRPr="007D7788">
        <w:rPr>
          <w:rFonts w:ascii="Georgia" w:hAnsi="Georgia"/>
          <w:b/>
          <w:bCs/>
          <w:color w:val="333333"/>
          <w:shd w:val="clear" w:color="auto" w:fill="FFFFFF"/>
        </w:rPr>
        <w:t>d</w:t>
      </w:r>
      <w:r>
        <w:rPr>
          <w:rFonts w:ascii="Georgia" w:hAnsi="Georgia"/>
          <w:color w:val="333333"/>
          <w:shd w:val="clear" w:color="auto" w:fill="FFFFFF"/>
        </w:rPr>
        <w:t xml:space="preserve"> ACE. Different letters on the column showed the significant difference among the three systems.</w:t>
      </w:r>
    </w:p>
    <w:p w14:paraId="1A9290DF" w14:textId="77777777" w:rsidR="00E564E1" w:rsidRPr="00673168" w:rsidRDefault="00E564E1" w:rsidP="00E564E1">
      <w:pPr>
        <w:spacing w:line="480" w:lineRule="auto"/>
        <w:rPr>
          <w:noProof/>
        </w:rPr>
      </w:pPr>
    </w:p>
    <w:p w14:paraId="03CC8711" w14:textId="77777777" w:rsidR="00E564E1" w:rsidRDefault="00E564E1" w:rsidP="00E564E1">
      <w:pPr>
        <w:spacing w:line="480" w:lineRule="auto"/>
        <w:rPr>
          <w:noProof/>
        </w:rPr>
      </w:pPr>
    </w:p>
    <w:p w14:paraId="586658A9" w14:textId="77777777" w:rsidR="00E564E1" w:rsidRDefault="00E564E1" w:rsidP="00E564E1">
      <w:pPr>
        <w:spacing w:line="480" w:lineRule="auto"/>
        <w:jc w:val="center"/>
      </w:pPr>
      <w:r>
        <w:rPr>
          <w:noProof/>
        </w:rPr>
        <w:lastRenderedPageBreak/>
        <w:drawing>
          <wp:inline distT="0" distB="0" distL="0" distR="0" wp14:anchorId="279CC6E3" wp14:editId="4486CD6E">
            <wp:extent cx="2654347" cy="284321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4051" cy="2853607"/>
                    </a:xfrm>
                    <a:prstGeom prst="rect">
                      <a:avLst/>
                    </a:prstGeom>
                  </pic:spPr>
                </pic:pic>
              </a:graphicData>
            </a:graphic>
          </wp:inline>
        </w:drawing>
      </w:r>
    </w:p>
    <w:p w14:paraId="69644227" w14:textId="77777777" w:rsidR="00E564E1" w:rsidRDefault="00E564E1" w:rsidP="00E564E1">
      <w:pPr>
        <w:spacing w:line="480" w:lineRule="auto"/>
        <w:rPr>
          <w:rFonts w:ascii="Times New Roman" w:hAnsi="Times New Roman" w:cs="Times New Roman"/>
          <w:sz w:val="24"/>
          <w:szCs w:val="24"/>
        </w:rPr>
      </w:pPr>
      <w:r w:rsidRPr="00C372BF">
        <w:rPr>
          <w:rFonts w:ascii="Times New Roman" w:hAnsi="Times New Roman" w:cs="Times New Roman"/>
          <w:sz w:val="24"/>
          <w:szCs w:val="24"/>
        </w:rPr>
        <w:t>Figure S</w:t>
      </w:r>
      <w:r>
        <w:rPr>
          <w:rFonts w:ascii="Times New Roman" w:hAnsi="Times New Roman" w:cs="Times New Roman"/>
          <w:sz w:val="24"/>
          <w:szCs w:val="24"/>
        </w:rPr>
        <w:t xml:space="preserve">2. </w:t>
      </w:r>
      <w:r>
        <w:rPr>
          <w:rFonts w:ascii="Georgia" w:hAnsi="Georgia"/>
          <w:color w:val="333333"/>
          <w:shd w:val="clear" w:color="auto" w:fill="FFFFFF"/>
        </w:rPr>
        <w:t>α-diversity of the soil fungal communities in three systems. </w:t>
      </w:r>
      <w:r>
        <w:rPr>
          <w:rFonts w:ascii="Georgia" w:hAnsi="Georgia"/>
          <w:b/>
          <w:bCs/>
          <w:color w:val="333333"/>
          <w:shd w:val="clear" w:color="auto" w:fill="FFFFFF"/>
        </w:rPr>
        <w:t>a</w:t>
      </w:r>
      <w:r>
        <w:rPr>
          <w:rFonts w:ascii="Georgia" w:hAnsi="Georgia"/>
          <w:color w:val="333333"/>
          <w:shd w:val="clear" w:color="auto" w:fill="FFFFFF"/>
        </w:rPr>
        <w:t> Richness. </w:t>
      </w:r>
      <w:r>
        <w:rPr>
          <w:rFonts w:ascii="Georgia" w:hAnsi="Georgia"/>
          <w:b/>
          <w:bCs/>
          <w:color w:val="333333"/>
          <w:shd w:val="clear" w:color="auto" w:fill="FFFFFF"/>
        </w:rPr>
        <w:t>b</w:t>
      </w:r>
      <w:r>
        <w:rPr>
          <w:rFonts w:ascii="Georgia" w:hAnsi="Georgia"/>
          <w:color w:val="333333"/>
          <w:shd w:val="clear" w:color="auto" w:fill="FFFFFF"/>
        </w:rPr>
        <w:t> Shannon index. </w:t>
      </w:r>
      <w:r>
        <w:rPr>
          <w:rFonts w:ascii="Georgia" w:hAnsi="Georgia"/>
          <w:b/>
          <w:bCs/>
          <w:color w:val="333333"/>
          <w:shd w:val="clear" w:color="auto" w:fill="FFFFFF"/>
        </w:rPr>
        <w:t>c</w:t>
      </w:r>
      <w:r>
        <w:rPr>
          <w:rFonts w:ascii="Georgia" w:hAnsi="Georgia"/>
          <w:color w:val="333333"/>
          <w:shd w:val="clear" w:color="auto" w:fill="FFFFFF"/>
        </w:rPr>
        <w:t xml:space="preserve"> Chao1. </w:t>
      </w:r>
      <w:r w:rsidRPr="007D7788">
        <w:rPr>
          <w:rFonts w:ascii="Georgia" w:hAnsi="Georgia"/>
          <w:b/>
          <w:bCs/>
          <w:color w:val="333333"/>
          <w:shd w:val="clear" w:color="auto" w:fill="FFFFFF"/>
        </w:rPr>
        <w:t>d</w:t>
      </w:r>
      <w:r>
        <w:rPr>
          <w:rFonts w:ascii="Georgia" w:hAnsi="Georgia"/>
          <w:color w:val="333333"/>
          <w:shd w:val="clear" w:color="auto" w:fill="FFFFFF"/>
        </w:rPr>
        <w:t xml:space="preserve"> ACE. Different letters on the column showed the significant difference among the three systems.</w:t>
      </w:r>
    </w:p>
    <w:p w14:paraId="464ACE8D" w14:textId="77777777" w:rsidR="00E564E1" w:rsidRPr="007D7788" w:rsidRDefault="00E564E1" w:rsidP="00E564E1">
      <w:pPr>
        <w:spacing w:line="480" w:lineRule="auto"/>
      </w:pPr>
    </w:p>
    <w:p w14:paraId="3EE2BEC8" w14:textId="77777777" w:rsidR="00E564E1" w:rsidRDefault="00E564E1" w:rsidP="00E564E1">
      <w:pPr>
        <w:spacing w:line="480" w:lineRule="auto"/>
      </w:pPr>
    </w:p>
    <w:p w14:paraId="1BBDC40B" w14:textId="77777777" w:rsidR="00E564E1" w:rsidRDefault="00E564E1" w:rsidP="00E564E1">
      <w:pPr>
        <w:spacing w:line="480" w:lineRule="auto"/>
      </w:pPr>
    </w:p>
    <w:p w14:paraId="5A16951D" w14:textId="77777777" w:rsidR="00E564E1" w:rsidRDefault="00E564E1" w:rsidP="00E564E1">
      <w:pPr>
        <w:spacing w:line="480" w:lineRule="auto"/>
      </w:pPr>
    </w:p>
    <w:p w14:paraId="2F635F70" w14:textId="77777777" w:rsidR="00E564E1" w:rsidRDefault="00E564E1" w:rsidP="00E564E1">
      <w:pPr>
        <w:spacing w:line="480" w:lineRule="auto"/>
      </w:pPr>
    </w:p>
    <w:p w14:paraId="125126BA" w14:textId="77777777" w:rsidR="00E564E1" w:rsidRDefault="00E564E1" w:rsidP="00E564E1">
      <w:pPr>
        <w:spacing w:line="480" w:lineRule="auto"/>
      </w:pPr>
    </w:p>
    <w:p w14:paraId="4E477BA5" w14:textId="77777777" w:rsidR="00E564E1" w:rsidRDefault="00E564E1" w:rsidP="00E564E1">
      <w:pPr>
        <w:spacing w:line="480" w:lineRule="auto"/>
      </w:pPr>
    </w:p>
    <w:p w14:paraId="275F4D1F" w14:textId="77777777" w:rsidR="00E564E1" w:rsidRDefault="00E564E1" w:rsidP="00E564E1">
      <w:pPr>
        <w:spacing w:line="480" w:lineRule="auto"/>
      </w:pPr>
    </w:p>
    <w:p w14:paraId="0E1E727C" w14:textId="77777777" w:rsidR="00E564E1" w:rsidRDefault="00E564E1" w:rsidP="00E564E1">
      <w:pPr>
        <w:spacing w:line="480" w:lineRule="auto"/>
      </w:pPr>
    </w:p>
    <w:p w14:paraId="411AB8D1" w14:textId="77777777" w:rsidR="00E564E1" w:rsidRDefault="00E564E1" w:rsidP="00E564E1">
      <w:pPr>
        <w:spacing w:line="480" w:lineRule="auto"/>
      </w:pPr>
    </w:p>
    <w:p w14:paraId="3931057D" w14:textId="77777777" w:rsidR="00E564E1" w:rsidRDefault="00E564E1" w:rsidP="00E564E1">
      <w:pPr>
        <w:spacing w:line="480" w:lineRule="auto"/>
      </w:pPr>
    </w:p>
    <w:p w14:paraId="28AC64E7" w14:textId="77777777" w:rsidR="00E564E1" w:rsidRDefault="00E564E1" w:rsidP="00E564E1">
      <w:pPr>
        <w:spacing w:line="480" w:lineRule="auto"/>
      </w:pPr>
    </w:p>
    <w:p w14:paraId="78A7B93F" w14:textId="77777777" w:rsidR="00E564E1" w:rsidRDefault="00E564E1" w:rsidP="00E564E1">
      <w:pPr>
        <w:spacing w:line="480" w:lineRule="auto"/>
      </w:pPr>
      <w:r>
        <w:rPr>
          <w:noProof/>
        </w:rPr>
        <w:lastRenderedPageBreak/>
        <w:drawing>
          <wp:inline distT="0" distB="0" distL="0" distR="0" wp14:anchorId="0283BC12" wp14:editId="12D2C07B">
            <wp:extent cx="5274310" cy="427291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4272915"/>
                    </a:xfrm>
                    <a:prstGeom prst="rect">
                      <a:avLst/>
                    </a:prstGeom>
                  </pic:spPr>
                </pic:pic>
              </a:graphicData>
            </a:graphic>
          </wp:inline>
        </w:drawing>
      </w:r>
    </w:p>
    <w:p w14:paraId="557AA317" w14:textId="77777777" w:rsidR="00E564E1" w:rsidRPr="00EE7C06" w:rsidRDefault="00E564E1" w:rsidP="00E564E1">
      <w:pPr>
        <w:spacing w:line="480" w:lineRule="auto"/>
        <w:rPr>
          <w:rFonts w:ascii="Times New Roman" w:hAnsi="Times New Roman" w:cs="Times New Roman"/>
          <w:sz w:val="24"/>
          <w:szCs w:val="24"/>
        </w:rPr>
      </w:pPr>
      <w:r w:rsidRPr="00C372BF">
        <w:rPr>
          <w:rFonts w:ascii="Times New Roman" w:hAnsi="Times New Roman" w:cs="Times New Roman"/>
          <w:sz w:val="24"/>
          <w:szCs w:val="24"/>
        </w:rPr>
        <w:t>Figure S</w:t>
      </w:r>
      <w:r>
        <w:rPr>
          <w:rFonts w:ascii="Times New Roman" w:hAnsi="Times New Roman" w:cs="Times New Roman"/>
          <w:sz w:val="24"/>
          <w:szCs w:val="24"/>
        </w:rPr>
        <w:t xml:space="preserve">3. </w:t>
      </w:r>
      <w:r w:rsidRPr="00EE7C06">
        <w:rPr>
          <w:rFonts w:ascii="Times New Roman" w:hAnsi="Times New Roman" w:cs="Times New Roman"/>
          <w:sz w:val="24"/>
          <w:szCs w:val="24"/>
        </w:rPr>
        <w:t xml:space="preserve">Abundances of total bacteria (16S rRNA gene) and fungal (ITS) </w:t>
      </w:r>
      <w:r w:rsidRPr="000C775B">
        <w:rPr>
          <w:rFonts w:ascii="Times New Roman" w:hAnsi="Times New Roman" w:cs="Times New Roman"/>
          <w:sz w:val="24"/>
          <w:szCs w:val="24"/>
        </w:rPr>
        <w:t>among the three systems</w:t>
      </w:r>
      <w:r w:rsidRPr="00EE7C06">
        <w:rPr>
          <w:rFonts w:ascii="Times New Roman" w:hAnsi="Times New Roman" w:cs="Times New Roman"/>
          <w:sz w:val="24"/>
          <w:szCs w:val="24"/>
        </w:rPr>
        <w:t xml:space="preserve">. </w:t>
      </w:r>
      <w:r w:rsidRPr="000C775B">
        <w:rPr>
          <w:rFonts w:ascii="Times New Roman" w:hAnsi="Times New Roman" w:cs="Times New Roman"/>
          <w:sz w:val="24"/>
          <w:szCs w:val="24"/>
        </w:rPr>
        <w:t xml:space="preserve">Percentage of phylum in the total bacterial </w:t>
      </w:r>
      <w:r>
        <w:rPr>
          <w:rFonts w:ascii="Times New Roman" w:hAnsi="Times New Roman" w:cs="Times New Roman"/>
          <w:sz w:val="24"/>
          <w:szCs w:val="24"/>
        </w:rPr>
        <w:t xml:space="preserve">(a) </w:t>
      </w:r>
      <w:r w:rsidRPr="00EE7C06">
        <w:rPr>
          <w:rFonts w:ascii="Times New Roman" w:hAnsi="Times New Roman" w:cs="Times New Roman"/>
          <w:sz w:val="24"/>
          <w:szCs w:val="24"/>
        </w:rPr>
        <w:t>fungal</w:t>
      </w:r>
      <w:r w:rsidRPr="000C775B">
        <w:rPr>
          <w:rFonts w:ascii="Times New Roman" w:hAnsi="Times New Roman" w:cs="Times New Roman"/>
          <w:sz w:val="24"/>
          <w:szCs w:val="24"/>
        </w:rPr>
        <w:t xml:space="preserve"> </w:t>
      </w:r>
      <w:r>
        <w:rPr>
          <w:rFonts w:ascii="Times New Roman" w:hAnsi="Times New Roman" w:cs="Times New Roman"/>
          <w:sz w:val="24"/>
          <w:szCs w:val="24"/>
        </w:rPr>
        <w:t xml:space="preserve">(c) </w:t>
      </w:r>
      <w:r w:rsidRPr="000C775B">
        <w:rPr>
          <w:rFonts w:ascii="Times New Roman" w:hAnsi="Times New Roman" w:cs="Times New Roman"/>
          <w:sz w:val="24"/>
          <w:szCs w:val="24"/>
        </w:rPr>
        <w:t>community.</w:t>
      </w:r>
    </w:p>
    <w:p w14:paraId="5CCF9746" w14:textId="77777777" w:rsidR="00E564E1" w:rsidRPr="000C775B" w:rsidRDefault="00E564E1" w:rsidP="00E564E1">
      <w:pPr>
        <w:spacing w:line="480" w:lineRule="auto"/>
        <w:rPr>
          <w:rFonts w:ascii="Times New Roman" w:hAnsi="Times New Roman" w:cs="Times New Roman"/>
          <w:sz w:val="24"/>
          <w:szCs w:val="24"/>
        </w:rPr>
      </w:pPr>
      <w:r w:rsidRPr="000C775B">
        <w:rPr>
          <w:rFonts w:ascii="Times New Roman" w:hAnsi="Times New Roman" w:cs="Times New Roman"/>
          <w:sz w:val="24"/>
          <w:szCs w:val="24"/>
        </w:rPr>
        <w:t xml:space="preserve">The VennDiagram represents </w:t>
      </w:r>
      <w:r w:rsidRPr="00647D47">
        <w:rPr>
          <w:rFonts w:ascii="Times New Roman" w:hAnsi="Times New Roman" w:cs="Times New Roman"/>
          <w:sz w:val="24"/>
          <w:szCs w:val="24"/>
        </w:rPr>
        <w:t xml:space="preserve">the number of common and unique </w:t>
      </w:r>
      <w:r w:rsidRPr="000C775B">
        <w:rPr>
          <w:rFonts w:ascii="Times New Roman" w:hAnsi="Times New Roman" w:cs="Times New Roman"/>
          <w:sz w:val="24"/>
          <w:szCs w:val="24"/>
        </w:rPr>
        <w:t>OTU</w:t>
      </w:r>
      <w:r w:rsidRPr="00647D47">
        <w:rPr>
          <w:rFonts w:ascii="Times New Roman" w:hAnsi="Times New Roman" w:cs="Times New Roman"/>
          <w:sz w:val="24"/>
          <w:szCs w:val="24"/>
        </w:rPr>
        <w:t xml:space="preserve">s in </w:t>
      </w:r>
      <w:r w:rsidRPr="000C775B">
        <w:rPr>
          <w:rFonts w:ascii="Times New Roman" w:hAnsi="Times New Roman" w:cs="Times New Roman"/>
          <w:sz w:val="24"/>
          <w:szCs w:val="24"/>
        </w:rPr>
        <w:t xml:space="preserve">bacterial </w:t>
      </w:r>
      <w:r>
        <w:rPr>
          <w:rFonts w:ascii="Times New Roman" w:hAnsi="Times New Roman" w:cs="Times New Roman"/>
          <w:sz w:val="24"/>
          <w:szCs w:val="24"/>
        </w:rPr>
        <w:t xml:space="preserve">(b) </w:t>
      </w:r>
      <w:r w:rsidRPr="00EE7C06">
        <w:rPr>
          <w:rFonts w:ascii="Times New Roman" w:hAnsi="Times New Roman" w:cs="Times New Roman"/>
          <w:sz w:val="24"/>
          <w:szCs w:val="24"/>
        </w:rPr>
        <w:t>fungal</w:t>
      </w:r>
      <w:r w:rsidRPr="000C775B">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0C775B">
        <w:rPr>
          <w:rFonts w:ascii="Times New Roman" w:hAnsi="Times New Roman" w:cs="Times New Roman"/>
          <w:sz w:val="24"/>
          <w:szCs w:val="24"/>
        </w:rPr>
        <w:t>community</w:t>
      </w:r>
      <w:r w:rsidRPr="00647D47">
        <w:rPr>
          <w:rFonts w:ascii="Times New Roman" w:hAnsi="Times New Roman" w:cs="Times New Roman"/>
          <w:sz w:val="24"/>
          <w:szCs w:val="24"/>
        </w:rPr>
        <w:t xml:space="preserve">, and can compare the similarity and overlap of </w:t>
      </w:r>
      <w:r w:rsidRPr="000C775B">
        <w:rPr>
          <w:rFonts w:ascii="Times New Roman" w:hAnsi="Times New Roman" w:cs="Times New Roman"/>
          <w:sz w:val="24"/>
          <w:szCs w:val="24"/>
        </w:rPr>
        <w:t>OTU</w:t>
      </w:r>
      <w:r w:rsidRPr="00647D47">
        <w:rPr>
          <w:rFonts w:ascii="Times New Roman" w:hAnsi="Times New Roman" w:cs="Times New Roman"/>
          <w:sz w:val="24"/>
          <w:szCs w:val="24"/>
        </w:rPr>
        <w:t>s composition of environmental samples.</w:t>
      </w:r>
      <w:r>
        <w:rPr>
          <w:rFonts w:ascii="Times New Roman" w:hAnsi="Times New Roman" w:cs="Times New Roman"/>
          <w:sz w:val="24"/>
          <w:szCs w:val="24"/>
        </w:rPr>
        <w:t xml:space="preserve"> </w:t>
      </w:r>
      <w:r w:rsidRPr="006D67D2">
        <w:rPr>
          <w:rFonts w:ascii="Times New Roman" w:hAnsi="Times New Roman" w:cs="Times New Roman"/>
          <w:sz w:val="24"/>
          <w:szCs w:val="24"/>
        </w:rPr>
        <w:t>Different colors represent different samples</w:t>
      </w:r>
      <w:r>
        <w:rPr>
          <w:rFonts w:ascii="Times New Roman" w:hAnsi="Times New Roman" w:cs="Times New Roman"/>
          <w:sz w:val="24"/>
          <w:szCs w:val="24"/>
        </w:rPr>
        <w:t>.</w:t>
      </w:r>
    </w:p>
    <w:p w14:paraId="22EB442E" w14:textId="77777777" w:rsidR="00E564E1" w:rsidRDefault="00E564E1" w:rsidP="00E564E1">
      <w:pPr>
        <w:spacing w:line="480" w:lineRule="auto"/>
      </w:pPr>
    </w:p>
    <w:p w14:paraId="36A353D5" w14:textId="77777777" w:rsidR="00E564E1" w:rsidRDefault="00E564E1" w:rsidP="00E564E1">
      <w:pPr>
        <w:spacing w:line="480" w:lineRule="auto"/>
      </w:pPr>
    </w:p>
    <w:p w14:paraId="32D3D1EB" w14:textId="77777777" w:rsidR="00E564E1" w:rsidRDefault="00E564E1" w:rsidP="00E564E1">
      <w:pPr>
        <w:spacing w:line="480" w:lineRule="auto"/>
      </w:pPr>
    </w:p>
    <w:p w14:paraId="0328FF6A" w14:textId="77777777" w:rsidR="00E564E1" w:rsidRDefault="00E564E1" w:rsidP="00E564E1">
      <w:pPr>
        <w:spacing w:line="480" w:lineRule="auto"/>
      </w:pPr>
    </w:p>
    <w:p w14:paraId="56DB2D38" w14:textId="77777777" w:rsidR="00E564E1" w:rsidRDefault="00E564E1" w:rsidP="00E564E1">
      <w:pPr>
        <w:spacing w:line="480" w:lineRule="auto"/>
      </w:pPr>
    </w:p>
    <w:p w14:paraId="3162A187" w14:textId="77777777" w:rsidR="00E564E1" w:rsidRDefault="00E564E1" w:rsidP="00E564E1">
      <w:pPr>
        <w:spacing w:line="480" w:lineRule="auto"/>
      </w:pPr>
    </w:p>
    <w:p w14:paraId="2FDB7CE7" w14:textId="77777777" w:rsidR="00E564E1" w:rsidRDefault="00E564E1" w:rsidP="00E564E1">
      <w:pPr>
        <w:spacing w:line="480" w:lineRule="auto"/>
      </w:pPr>
      <w:r>
        <w:rPr>
          <w:noProof/>
        </w:rPr>
        <w:lastRenderedPageBreak/>
        <w:drawing>
          <wp:inline distT="0" distB="0" distL="0" distR="0" wp14:anchorId="3A2EDC2B" wp14:editId="32C131EB">
            <wp:extent cx="5574887" cy="3118339"/>
            <wp:effectExtent l="0" t="0" r="6985"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77921" cy="3120036"/>
                    </a:xfrm>
                    <a:prstGeom prst="rect">
                      <a:avLst/>
                    </a:prstGeom>
                  </pic:spPr>
                </pic:pic>
              </a:graphicData>
            </a:graphic>
          </wp:inline>
        </w:drawing>
      </w:r>
    </w:p>
    <w:p w14:paraId="125380FD" w14:textId="77777777" w:rsidR="00E564E1" w:rsidRPr="00A20B0B" w:rsidRDefault="00E564E1" w:rsidP="00E564E1">
      <w:pPr>
        <w:spacing w:line="480" w:lineRule="auto"/>
      </w:pPr>
      <w:r w:rsidRPr="00C372BF">
        <w:rPr>
          <w:rFonts w:ascii="Times New Roman" w:hAnsi="Times New Roman" w:cs="Times New Roman"/>
          <w:sz w:val="24"/>
          <w:szCs w:val="24"/>
        </w:rPr>
        <w:t>Figure S</w:t>
      </w:r>
      <w:r>
        <w:rPr>
          <w:rFonts w:ascii="Times New Roman" w:hAnsi="Times New Roman" w:cs="Times New Roman"/>
          <w:sz w:val="24"/>
          <w:szCs w:val="24"/>
        </w:rPr>
        <w:t>4.</w:t>
      </w:r>
      <w:r>
        <w:rPr>
          <w:rFonts w:hint="eastAsia"/>
        </w:rPr>
        <w:t xml:space="preserve"> </w:t>
      </w:r>
      <w:r w:rsidRPr="003427F9">
        <w:rPr>
          <w:rFonts w:ascii="Times New Roman" w:hAnsi="Times New Roman" w:cs="Times New Roman"/>
          <w:sz w:val="24"/>
          <w:szCs w:val="24"/>
        </w:rPr>
        <w:t>Associations across microbial groups differ among the continuous cropping systems</w:t>
      </w:r>
      <w:r>
        <w:rPr>
          <w:rFonts w:hint="eastAsia"/>
        </w:rPr>
        <w:t>.</w:t>
      </w:r>
      <w:r>
        <w:t xml:space="preserve"> </w:t>
      </w:r>
      <w:r w:rsidRPr="00081E45">
        <w:rPr>
          <w:rFonts w:ascii="Times New Roman" w:hAnsi="Times New Roman" w:cs="Times New Roman"/>
          <w:sz w:val="24"/>
          <w:szCs w:val="24"/>
        </w:rPr>
        <w:t>Nodes are colored according to their taxonomic af</w:t>
      </w:r>
      <w:r>
        <w:rPr>
          <w:rFonts w:ascii="Times New Roman" w:hAnsi="Times New Roman" w:cs="Times New Roman"/>
          <w:sz w:val="24"/>
          <w:szCs w:val="24"/>
        </w:rPr>
        <w:t>fi</w:t>
      </w:r>
      <w:r w:rsidRPr="00081E45">
        <w:rPr>
          <w:rFonts w:ascii="Times New Roman" w:hAnsi="Times New Roman" w:cs="Times New Roman"/>
          <w:sz w:val="24"/>
          <w:szCs w:val="24"/>
        </w:rPr>
        <w:t>liation at phylum levels. The size of the nodes is proportional to the number of links per node (i.e. degree). Link thickness is proportional to partial correlations between nodes and represents associative (</w:t>
      </w:r>
      <w:r>
        <w:rPr>
          <w:rFonts w:ascii="Times New Roman" w:hAnsi="Times New Roman" w:cs="Times New Roman"/>
          <w:sz w:val="24"/>
          <w:szCs w:val="24"/>
        </w:rPr>
        <w:t>blue</w:t>
      </w:r>
      <w:r w:rsidRPr="00081E45">
        <w:rPr>
          <w:rFonts w:ascii="Times New Roman" w:hAnsi="Times New Roman" w:cs="Times New Roman"/>
          <w:sz w:val="24"/>
          <w:szCs w:val="24"/>
        </w:rPr>
        <w:t>, ρ&gt;0.1) or exclusionary relationships (</w:t>
      </w:r>
      <w:r>
        <w:rPr>
          <w:rFonts w:ascii="Times New Roman" w:hAnsi="Times New Roman" w:cs="Times New Roman"/>
          <w:sz w:val="24"/>
          <w:szCs w:val="24"/>
        </w:rPr>
        <w:t>yellow</w:t>
      </w:r>
      <w:r w:rsidRPr="00081E45">
        <w:rPr>
          <w:rFonts w:ascii="Times New Roman" w:hAnsi="Times New Roman" w:cs="Times New Roman"/>
          <w:sz w:val="24"/>
          <w:szCs w:val="24"/>
        </w:rPr>
        <w:t>, ρ&lt;−0.1)</w:t>
      </w:r>
    </w:p>
    <w:p w14:paraId="4FA2C2D9" w14:textId="77777777" w:rsidR="00F553FF" w:rsidRDefault="00F553FF"/>
    <w:sectPr w:rsidR="00F553FF" w:rsidSect="002E6B3E">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4E1"/>
    <w:rsid w:val="00E564E1"/>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B0DC"/>
  <w15:chartTrackingRefBased/>
  <w15:docId w15:val="{8C208AA6-EFAD-4643-95AD-927E8837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4E1"/>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56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205</Words>
  <Characters>1171</Characters>
  <Application>Microsoft Office Word</Application>
  <DocSecurity>0</DocSecurity>
  <Lines>9</Lines>
  <Paragraphs>2</Paragraphs>
  <ScaleCrop>false</ScaleCrop>
  <Company>Springer Nature</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2023-08-21T06:16:00Z</dcterms:created>
  <dcterms:modified xsi:type="dcterms:W3CDTF">2023-08-21T06:16:00Z</dcterms:modified>
</cp:coreProperties>
</file>